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0BFCD">
      <w:pPr>
        <w:rPr>
          <w:rFonts w:ascii="Times New Roman" w:hAnsi="Times New Roman"/>
          <w:color w:val="auto"/>
          <w:sz w:val="36"/>
          <w:szCs w:val="36"/>
        </w:rPr>
      </w:pPr>
    </w:p>
    <w:p w14:paraId="0DABDB8F">
      <w:pPr>
        <w:rPr>
          <w:rFonts w:ascii="Times New Roman" w:hAnsi="Times New Roman"/>
          <w:color w:val="auto"/>
          <w:sz w:val="36"/>
          <w:szCs w:val="36"/>
        </w:rPr>
      </w:pPr>
    </w:p>
    <w:p w14:paraId="7E46B6AD">
      <w:pPr>
        <w:rPr>
          <w:rFonts w:ascii="Times New Roman" w:hAnsi="Times New Roman"/>
          <w:color w:val="auto"/>
          <w:sz w:val="36"/>
          <w:szCs w:val="36"/>
        </w:rPr>
      </w:pPr>
    </w:p>
    <w:p w14:paraId="1A8C173B">
      <w:pPr>
        <w:rPr>
          <w:rFonts w:ascii="Times New Roman" w:hAnsi="Times New Roman"/>
          <w:color w:val="auto"/>
          <w:sz w:val="36"/>
          <w:szCs w:val="36"/>
        </w:rPr>
      </w:pPr>
    </w:p>
    <w:p w14:paraId="0CC3EEAA">
      <w:pPr>
        <w:adjustRightInd w:val="0"/>
        <w:snapToGrid w:val="0"/>
        <w:jc w:val="center"/>
        <w:outlineLvl w:val="0"/>
        <w:rPr>
          <w:rFonts w:ascii="Times New Roman" w:hAnsi="Times New Roman"/>
          <w:bCs/>
          <w:color w:val="auto"/>
          <w:sz w:val="72"/>
          <w:szCs w:val="72"/>
        </w:rPr>
      </w:pPr>
      <w:r>
        <w:rPr>
          <w:rFonts w:ascii="Times New Roman" w:hAnsi="Times New Roman"/>
          <w:bCs/>
          <w:color w:val="auto"/>
          <w:sz w:val="72"/>
          <w:szCs w:val="72"/>
        </w:rPr>
        <w:t>建设项目环境影响报告表</w:t>
      </w:r>
    </w:p>
    <w:p w14:paraId="102F9BCD">
      <w:pPr>
        <w:adjustRightInd w:val="0"/>
        <w:snapToGrid w:val="0"/>
        <w:spacing w:before="192" w:beforeLines="80"/>
        <w:jc w:val="center"/>
        <w:rPr>
          <w:rFonts w:ascii="Times New Roman" w:hAnsi="Times New Roman"/>
          <w:bCs/>
          <w:color w:val="auto"/>
          <w:sz w:val="48"/>
          <w:szCs w:val="48"/>
        </w:rPr>
      </w:pPr>
      <w:r>
        <w:rPr>
          <w:rFonts w:ascii="Times New Roman" w:hAnsi="Times New Roman"/>
          <w:bCs/>
          <w:color w:val="auto"/>
          <w:sz w:val="48"/>
          <w:szCs w:val="48"/>
        </w:rPr>
        <w:t>（污染影响类）</w:t>
      </w:r>
    </w:p>
    <w:p w14:paraId="4E361ACE">
      <w:pPr>
        <w:adjustRightInd w:val="0"/>
        <w:snapToGrid w:val="0"/>
        <w:spacing w:line="288" w:lineRule="auto"/>
        <w:jc w:val="center"/>
        <w:rPr>
          <w:rFonts w:ascii="Times New Roman" w:hAnsi="Times New Roman"/>
          <w:color w:val="auto"/>
          <w:kern w:val="44"/>
          <w:sz w:val="44"/>
          <w:szCs w:val="44"/>
        </w:rPr>
      </w:pPr>
    </w:p>
    <w:p w14:paraId="6D2AAD12">
      <w:pPr>
        <w:jc w:val="center"/>
        <w:rPr>
          <w:rFonts w:ascii="Times New Roman" w:hAnsi="Times New Roman"/>
          <w:color w:val="auto"/>
          <w:sz w:val="52"/>
          <w:szCs w:val="52"/>
        </w:rPr>
      </w:pPr>
    </w:p>
    <w:p w14:paraId="7A031607">
      <w:pPr>
        <w:ind w:firstLine="1040"/>
        <w:rPr>
          <w:rFonts w:ascii="Times New Roman" w:hAnsi="Times New Roman"/>
          <w:color w:val="auto"/>
          <w:sz w:val="44"/>
          <w:szCs w:val="44"/>
        </w:rPr>
      </w:pPr>
    </w:p>
    <w:p w14:paraId="5973A7BE">
      <w:pPr>
        <w:ind w:firstLine="1040"/>
        <w:rPr>
          <w:rFonts w:ascii="Times New Roman" w:hAnsi="Times New Roman"/>
          <w:color w:val="auto"/>
          <w:sz w:val="44"/>
          <w:szCs w:val="44"/>
        </w:rPr>
      </w:pPr>
    </w:p>
    <w:p w14:paraId="408DCAD2">
      <w:pPr>
        <w:ind w:firstLine="1040"/>
        <w:rPr>
          <w:rFonts w:ascii="Times New Roman" w:hAnsi="Times New Roman"/>
          <w:color w:val="auto"/>
          <w:sz w:val="44"/>
          <w:szCs w:val="44"/>
        </w:rPr>
      </w:pPr>
    </w:p>
    <w:p w14:paraId="765A9F58">
      <w:pPr>
        <w:ind w:firstLine="1040"/>
        <w:rPr>
          <w:rFonts w:ascii="Times New Roman" w:hAnsi="Times New Roman"/>
          <w:color w:val="auto"/>
          <w:sz w:val="44"/>
          <w:szCs w:val="44"/>
        </w:rPr>
      </w:pPr>
    </w:p>
    <w:p w14:paraId="06CC20FC">
      <w:pPr>
        <w:ind w:firstLine="1040"/>
        <w:rPr>
          <w:rFonts w:ascii="Times New Roman" w:hAnsi="Times New Roman"/>
          <w:color w:val="auto"/>
          <w:sz w:val="44"/>
          <w:szCs w:val="44"/>
        </w:rPr>
      </w:pPr>
    </w:p>
    <w:p w14:paraId="6DD8D086">
      <w:pPr>
        <w:ind w:firstLine="1040"/>
        <w:rPr>
          <w:rFonts w:ascii="Times New Roman" w:hAnsi="Times New Roman"/>
          <w:color w:val="auto"/>
          <w:sz w:val="44"/>
          <w:szCs w:val="44"/>
        </w:rPr>
      </w:pPr>
    </w:p>
    <w:p w14:paraId="4853FBBA">
      <w:pPr>
        <w:ind w:firstLine="1040"/>
        <w:rPr>
          <w:rFonts w:ascii="Times New Roman" w:hAnsi="Times New Roman"/>
          <w:color w:val="auto"/>
          <w:sz w:val="44"/>
          <w:szCs w:val="44"/>
        </w:rPr>
      </w:pPr>
    </w:p>
    <w:p w14:paraId="020B19CC">
      <w:pPr>
        <w:adjustRightInd w:val="0"/>
        <w:snapToGrid w:val="0"/>
        <w:spacing w:line="360" w:lineRule="auto"/>
        <w:ind w:firstLine="1280" w:firstLineChars="400"/>
        <w:rPr>
          <w:rFonts w:hint="eastAsia" w:ascii="Times New Roman" w:hAnsi="Times New Roman" w:cs="Times New Roman"/>
          <w:color w:val="auto"/>
          <w:sz w:val="32"/>
          <w:szCs w:val="32"/>
          <w:u w:val="single"/>
          <w:lang w:eastAsia="zh-CN"/>
        </w:rPr>
      </w:pPr>
      <w:bookmarkStart w:id="0" w:name="_Hlk57884087"/>
      <w:r>
        <w:rPr>
          <w:rFonts w:ascii="Times New Roman" w:hAnsi="Times New Roman" w:cs="Times New Roman"/>
          <w:color w:val="auto"/>
          <w:sz w:val="32"/>
          <w:szCs w:val="32"/>
        </w:rPr>
        <w:t>项目名称</w:t>
      </w:r>
      <w:r>
        <w:rPr>
          <w:rFonts w:ascii="Times New Roman" w:hAnsi="Times New Roman" w:cs="Times New Roman"/>
          <w:color w:val="auto"/>
          <w:sz w:val="32"/>
          <w:szCs w:val="32"/>
          <w:u w:val="none"/>
        </w:rPr>
        <w:t>：</w:t>
      </w:r>
      <w:r>
        <w:rPr>
          <w:rFonts w:hint="eastAsia" w:cs="Times New Roman"/>
          <w:color w:val="auto"/>
          <w:sz w:val="32"/>
          <w:szCs w:val="32"/>
          <w:u w:val="single"/>
          <w:lang w:val="en-US" w:eastAsia="zh-CN"/>
        </w:rPr>
        <w:t xml:space="preserve">  </w:t>
      </w:r>
      <w:r>
        <w:rPr>
          <w:rFonts w:hint="eastAsia"/>
          <w:color w:val="auto"/>
          <w:sz w:val="32"/>
          <w:szCs w:val="32"/>
          <w:u w:val="single"/>
          <w:lang w:eastAsia="zh-CN"/>
        </w:rPr>
        <w:t>生物质气化炉炭渣资源化综合利用项目</w:t>
      </w:r>
      <w:r>
        <w:rPr>
          <w:rFonts w:hint="eastAsia" w:cs="Times New Roman"/>
          <w:color w:val="auto"/>
          <w:sz w:val="32"/>
          <w:szCs w:val="32"/>
          <w:u w:val="single"/>
          <w:lang w:val="en-US" w:eastAsia="zh-CN"/>
        </w:rPr>
        <w:t xml:space="preserve"> </w:t>
      </w:r>
    </w:p>
    <w:p w14:paraId="7FE76ABC">
      <w:pPr>
        <w:adjustRightInd w:val="0"/>
        <w:snapToGrid w:val="0"/>
        <w:spacing w:line="360" w:lineRule="auto"/>
        <w:ind w:firstLine="1280" w:firstLineChars="400"/>
        <w:rPr>
          <w:rFonts w:hint="default" w:ascii="Times New Roman" w:hAnsi="Times New Roman" w:cs="Times New Roman"/>
          <w:color w:val="auto"/>
          <w:sz w:val="32"/>
          <w:szCs w:val="32"/>
          <w:lang w:val="en-US"/>
        </w:rPr>
      </w:pPr>
      <w:r>
        <w:rPr>
          <w:rFonts w:ascii="Times New Roman" w:hAnsi="Times New Roman" w:cs="Times New Roman"/>
          <w:color w:val="auto"/>
          <w:sz w:val="32"/>
          <w:szCs w:val="32"/>
        </w:rPr>
        <w:t>建设单位（盖章）：</w:t>
      </w:r>
      <w:r>
        <w:rPr>
          <w:rFonts w:hint="eastAsia"/>
          <w:color w:val="auto"/>
          <w:sz w:val="32"/>
          <w:szCs w:val="32"/>
          <w:u w:val="single"/>
          <w:lang w:val="en-US" w:eastAsia="zh-CN"/>
        </w:rPr>
        <w:t xml:space="preserve"> </w:t>
      </w:r>
      <w:r>
        <w:rPr>
          <w:rFonts w:hint="eastAsia"/>
          <w:color w:val="auto"/>
          <w:sz w:val="32"/>
          <w:szCs w:val="32"/>
          <w:u w:val="single"/>
          <w:lang w:eastAsia="zh-CN"/>
        </w:rPr>
        <w:t>宁德市广拓材料科技有限公司</w:t>
      </w:r>
      <w:r>
        <w:rPr>
          <w:rFonts w:hint="eastAsia"/>
          <w:color w:val="auto"/>
          <w:sz w:val="32"/>
          <w:szCs w:val="32"/>
          <w:u w:val="single"/>
          <w:lang w:val="en-US" w:eastAsia="zh-CN"/>
        </w:rPr>
        <w:t xml:space="preserve"> </w:t>
      </w:r>
    </w:p>
    <w:p w14:paraId="7DFC01E5">
      <w:pPr>
        <w:adjustRightInd w:val="0"/>
        <w:snapToGrid w:val="0"/>
        <w:spacing w:line="360" w:lineRule="auto"/>
        <w:ind w:firstLine="1280" w:firstLineChars="400"/>
        <w:rPr>
          <w:rFonts w:ascii="Times New Roman" w:hAnsi="Times New Roman" w:cs="Times New Roman"/>
          <w:color w:val="auto"/>
          <w:sz w:val="32"/>
          <w:szCs w:val="32"/>
        </w:rPr>
      </w:pPr>
      <w:r>
        <w:rPr>
          <w:rFonts w:ascii="Times New Roman" w:hAnsi="Times New Roman" w:cs="Times New Roman"/>
          <w:color w:val="auto"/>
          <w:sz w:val="32"/>
          <w:szCs w:val="32"/>
        </w:rPr>
        <w:t>编制日期：</w:t>
      </w:r>
      <w:r>
        <w:rPr>
          <w:rFonts w:ascii="Times New Roman" w:hAnsi="Times New Roman"/>
          <w:color w:val="auto"/>
          <w:sz w:val="32"/>
          <w:szCs w:val="32"/>
          <w:u w:val="single"/>
        </w:rPr>
        <w:t xml:space="preserve"> </w:t>
      </w:r>
      <w:r>
        <w:rPr>
          <w:rFonts w:hint="eastAsia" w:ascii="Times New Roman" w:hAnsi="Times New Roman"/>
          <w:color w:val="auto"/>
          <w:sz w:val="32"/>
          <w:szCs w:val="32"/>
          <w:u w:val="single"/>
        </w:rPr>
        <w:t xml:space="preserve">       </w:t>
      </w:r>
      <w:r>
        <w:rPr>
          <w:rFonts w:ascii="Times New Roman" w:hAnsi="Times New Roman"/>
          <w:color w:val="auto"/>
          <w:sz w:val="32"/>
          <w:szCs w:val="32"/>
          <w:u w:val="single"/>
        </w:rPr>
        <w:t>202</w:t>
      </w:r>
      <w:r>
        <w:rPr>
          <w:rFonts w:hint="eastAsia" w:ascii="Times New Roman" w:hAnsi="Times New Roman"/>
          <w:color w:val="auto"/>
          <w:sz w:val="32"/>
          <w:szCs w:val="32"/>
          <w:u w:val="single"/>
          <w:lang w:val="en-US" w:eastAsia="zh-CN"/>
        </w:rPr>
        <w:t>5</w:t>
      </w:r>
      <w:r>
        <w:rPr>
          <w:rFonts w:ascii="Times New Roman" w:hAnsi="Times New Roman"/>
          <w:color w:val="auto"/>
          <w:sz w:val="32"/>
          <w:szCs w:val="32"/>
          <w:u w:val="single"/>
        </w:rPr>
        <w:t>年</w:t>
      </w:r>
      <w:r>
        <w:rPr>
          <w:rFonts w:hint="eastAsia"/>
          <w:color w:val="auto"/>
          <w:sz w:val="32"/>
          <w:szCs w:val="32"/>
          <w:u w:val="single"/>
          <w:lang w:val="en-US" w:eastAsia="zh-CN"/>
        </w:rPr>
        <w:t>8</w:t>
      </w:r>
      <w:r>
        <w:rPr>
          <w:rFonts w:ascii="Times New Roman" w:hAnsi="Times New Roman"/>
          <w:color w:val="auto"/>
          <w:sz w:val="32"/>
          <w:szCs w:val="32"/>
          <w:u w:val="single"/>
        </w:rPr>
        <w:t>月</w:t>
      </w:r>
      <w:r>
        <w:rPr>
          <w:rFonts w:hint="eastAsia" w:ascii="Times New Roman" w:hAnsi="Times New Roman"/>
          <w:color w:val="auto"/>
          <w:sz w:val="32"/>
          <w:szCs w:val="32"/>
          <w:u w:val="single"/>
        </w:rPr>
        <w:t xml:space="preserve">   </w:t>
      </w:r>
      <w:r>
        <w:rPr>
          <w:rFonts w:hint="eastAsia" w:ascii="Times New Roman" w:hAnsi="Times New Roman"/>
          <w:color w:val="auto"/>
          <w:sz w:val="32"/>
          <w:szCs w:val="32"/>
          <w:u w:val="single"/>
          <w:lang w:val="en-US" w:eastAsia="zh-CN"/>
        </w:rPr>
        <w:t xml:space="preserve"> </w:t>
      </w:r>
      <w:r>
        <w:rPr>
          <w:rFonts w:hint="eastAsia"/>
          <w:color w:val="auto"/>
          <w:sz w:val="32"/>
          <w:szCs w:val="32"/>
          <w:u w:val="single"/>
          <w:lang w:val="en-US" w:eastAsia="zh-CN"/>
        </w:rPr>
        <w:t xml:space="preserve">        </w:t>
      </w:r>
      <w:r>
        <w:rPr>
          <w:rFonts w:hint="eastAsia" w:ascii="Times New Roman" w:hAnsi="Times New Roman"/>
          <w:color w:val="auto"/>
          <w:sz w:val="32"/>
          <w:szCs w:val="32"/>
          <w:u w:val="single"/>
        </w:rPr>
        <w:t xml:space="preserve">     </w:t>
      </w:r>
      <w:r>
        <w:rPr>
          <w:rFonts w:hint="eastAsia"/>
          <w:color w:val="auto"/>
          <w:sz w:val="32"/>
          <w:szCs w:val="32"/>
          <w:u w:val="single"/>
          <w:lang w:val="en-US" w:eastAsia="zh-CN"/>
        </w:rPr>
        <w:t xml:space="preserve"> </w:t>
      </w:r>
      <w:r>
        <w:rPr>
          <w:rFonts w:ascii="Times New Roman" w:hAnsi="Times New Roman" w:cs="Times New Roman"/>
          <w:color w:val="auto"/>
          <w:sz w:val="32"/>
          <w:szCs w:val="32"/>
        </w:rPr>
        <w:t xml:space="preserve">     </w:t>
      </w:r>
    </w:p>
    <w:p w14:paraId="76DBD7E6">
      <w:pPr>
        <w:adjustRightInd w:val="0"/>
        <w:snapToGrid w:val="0"/>
        <w:spacing w:line="360" w:lineRule="auto"/>
        <w:ind w:firstLine="1040"/>
        <w:rPr>
          <w:rFonts w:ascii="Times New Roman" w:hAnsi="Times New Roman"/>
          <w:color w:val="auto"/>
          <w:sz w:val="36"/>
          <w:szCs w:val="36"/>
          <w:u w:val="single"/>
        </w:rPr>
      </w:pPr>
    </w:p>
    <w:p w14:paraId="003185FD">
      <w:pPr>
        <w:adjustRightInd w:val="0"/>
        <w:snapToGrid w:val="0"/>
        <w:spacing w:line="360" w:lineRule="auto"/>
        <w:ind w:firstLine="1040"/>
        <w:rPr>
          <w:rFonts w:ascii="Times New Roman" w:hAnsi="Times New Roman"/>
          <w:color w:val="auto"/>
          <w:sz w:val="36"/>
          <w:szCs w:val="36"/>
          <w:u w:val="single"/>
        </w:rPr>
      </w:pPr>
    </w:p>
    <w:p w14:paraId="170731F6">
      <w:pPr>
        <w:adjustRightInd w:val="0"/>
        <w:snapToGrid w:val="0"/>
        <w:spacing w:line="360" w:lineRule="auto"/>
        <w:ind w:firstLine="1040"/>
        <w:rPr>
          <w:rFonts w:ascii="Times New Roman" w:hAnsi="Times New Roman"/>
          <w:color w:val="auto"/>
          <w:sz w:val="36"/>
          <w:szCs w:val="36"/>
          <w:u w:val="single"/>
        </w:rPr>
      </w:pPr>
    </w:p>
    <w:bookmarkEnd w:id="0"/>
    <w:p w14:paraId="304B6CE1">
      <w:pPr>
        <w:adjustRightInd w:val="0"/>
        <w:snapToGrid w:val="0"/>
        <w:spacing w:line="360" w:lineRule="auto"/>
        <w:jc w:val="center"/>
        <w:outlineLvl w:val="0"/>
        <w:rPr>
          <w:rFonts w:ascii="Times New Roman" w:hAnsi="Times New Roman"/>
          <w:color w:val="auto"/>
          <w:sz w:val="36"/>
          <w:szCs w:val="36"/>
        </w:rPr>
      </w:pPr>
      <w:r>
        <w:rPr>
          <w:rFonts w:ascii="Times New Roman" w:hAnsi="Times New Roman"/>
          <w:color w:val="auto"/>
          <w:sz w:val="36"/>
          <w:szCs w:val="36"/>
        </w:rPr>
        <w:t>中华人民共和国生态环境部制</w:t>
      </w:r>
    </w:p>
    <w:p w14:paraId="05558974">
      <w:pPr>
        <w:adjustRightInd w:val="0"/>
        <w:snapToGrid w:val="0"/>
        <w:spacing w:line="288" w:lineRule="auto"/>
        <w:ind w:firstLine="1040"/>
        <w:rPr>
          <w:rFonts w:ascii="Times New Roman" w:hAnsi="Times New Roman"/>
          <w:color w:val="auto"/>
          <w:sz w:val="36"/>
          <w:szCs w:val="36"/>
        </w:rPr>
        <w:sectPr>
          <w:footerReference r:id="rId5" w:type="first"/>
          <w:footerReference r:id="rId3" w:type="default"/>
          <w:footerReference r:id="rId4" w:type="even"/>
          <w:pgSz w:w="11906" w:h="16838"/>
          <w:pgMar w:top="1701" w:right="1134" w:bottom="1701" w:left="1134" w:header="851" w:footer="1077" w:gutter="0"/>
          <w:pgBorders>
            <w:top w:val="none" w:sz="0" w:space="0"/>
            <w:left w:val="none" w:sz="0" w:space="0"/>
            <w:bottom w:val="none" w:sz="0" w:space="0"/>
            <w:right w:val="none" w:sz="0" w:space="0"/>
          </w:pgBorders>
          <w:pgNumType w:start="3"/>
          <w:cols w:space="720" w:num="1"/>
          <w:docGrid w:linePitch="312" w:charSpace="0"/>
        </w:sectPr>
      </w:pPr>
    </w:p>
    <w:p w14:paraId="493C3804">
      <w:pPr>
        <w:pStyle w:val="19"/>
        <w:keepNext w:val="0"/>
        <w:keepLines w:val="0"/>
        <w:pageBreakBefore w:val="0"/>
        <w:widowControl/>
        <w:numPr>
          <w:ilvl w:val="0"/>
          <w:numId w:val="7"/>
        </w:numPr>
        <w:kinsoku/>
        <w:wordWrap/>
        <w:overflowPunct/>
        <w:topLinePunct w:val="0"/>
        <w:autoSpaceDE/>
        <w:autoSpaceDN/>
        <w:bidi w:val="0"/>
        <w:adjustRightInd/>
        <w:snapToGrid/>
        <w:spacing w:before="120" w:beforeLines="50" w:beforeAutospacing="0" w:after="120" w:afterLines="50" w:afterAutospacing="0"/>
        <w:ind w:left="0" w:leftChars="0" w:firstLine="0" w:firstLineChars="0"/>
        <w:jc w:val="center"/>
        <w:textAlignment w:val="auto"/>
        <w:outlineLvl w:val="0"/>
        <w:rPr>
          <w:rFonts w:ascii="Times New Roman" w:hAnsi="Times New Roman"/>
          <w:b/>
          <w:snapToGrid w:val="0"/>
          <w:color w:val="auto"/>
          <w:sz w:val="30"/>
          <w:szCs w:val="30"/>
        </w:rPr>
      </w:pPr>
      <w:r>
        <w:rPr>
          <w:rFonts w:ascii="Times New Roman" w:hAnsi="Times New Roman"/>
          <w:b/>
          <w:snapToGrid w:val="0"/>
          <w:color w:val="auto"/>
          <w:sz w:val="30"/>
          <w:szCs w:val="30"/>
        </w:rPr>
        <w:t>建设项目基本情况</w:t>
      </w:r>
    </w:p>
    <w:tbl>
      <w:tblPr>
        <w:tblStyle w:val="29"/>
        <w:tblW w:w="88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15"/>
        <w:gridCol w:w="2302"/>
        <w:gridCol w:w="8"/>
        <w:gridCol w:w="2040"/>
        <w:gridCol w:w="167"/>
        <w:gridCol w:w="2639"/>
      </w:tblGrid>
      <w:tr w14:paraId="624E5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5" w:type="dxa"/>
            <w:noWrap w:val="0"/>
            <w:tcMar>
              <w:top w:w="16" w:type="dxa"/>
              <w:left w:w="16" w:type="dxa"/>
              <w:right w:w="16" w:type="dxa"/>
            </w:tcMar>
            <w:vAlign w:val="center"/>
          </w:tcPr>
          <w:p w14:paraId="42B187C1">
            <w:pPr>
              <w:adjustRightInd w:val="0"/>
              <w:snapToGrid w:val="0"/>
              <w:jc w:val="center"/>
              <w:rPr>
                <w:rFonts w:ascii="Times New Roman" w:hAnsi="Times New Roman"/>
                <w:color w:val="auto"/>
                <w:sz w:val="24"/>
                <w:szCs w:val="24"/>
              </w:rPr>
            </w:pPr>
            <w:r>
              <w:rPr>
                <w:rFonts w:ascii="Times New Roman" w:hAnsi="Times New Roman"/>
                <w:color w:val="auto"/>
                <w:sz w:val="24"/>
                <w:szCs w:val="24"/>
              </w:rPr>
              <w:t>建设项目名称</w:t>
            </w:r>
          </w:p>
        </w:tc>
        <w:tc>
          <w:tcPr>
            <w:tcW w:w="7156" w:type="dxa"/>
            <w:gridSpan w:val="5"/>
            <w:noWrap w:val="0"/>
            <w:vAlign w:val="center"/>
          </w:tcPr>
          <w:p w14:paraId="54532463">
            <w:pPr>
              <w:adjustRightInd w:val="0"/>
              <w:snapToGrid w:val="0"/>
              <w:jc w:val="center"/>
              <w:rPr>
                <w:rFonts w:ascii="Times New Roman" w:hAnsi="Times New Roman"/>
                <w:color w:val="auto"/>
                <w:sz w:val="24"/>
                <w:szCs w:val="24"/>
              </w:rPr>
            </w:pPr>
            <w:r>
              <w:rPr>
                <w:rFonts w:hint="eastAsia"/>
                <w:color w:val="auto"/>
                <w:sz w:val="24"/>
                <w:szCs w:val="21"/>
                <w:lang w:eastAsia="zh-CN"/>
              </w:rPr>
              <w:t>生物质气化炉炭渣资源化综合利用项目</w:t>
            </w:r>
          </w:p>
        </w:tc>
      </w:tr>
      <w:tr w14:paraId="71D1B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5" w:type="dxa"/>
            <w:noWrap w:val="0"/>
            <w:tcMar>
              <w:top w:w="16" w:type="dxa"/>
              <w:left w:w="16" w:type="dxa"/>
              <w:right w:w="16" w:type="dxa"/>
            </w:tcMar>
            <w:vAlign w:val="center"/>
          </w:tcPr>
          <w:p w14:paraId="2EEE3F1D">
            <w:pPr>
              <w:adjustRightInd w:val="0"/>
              <w:snapToGrid w:val="0"/>
              <w:jc w:val="center"/>
              <w:rPr>
                <w:rFonts w:ascii="Times New Roman" w:hAnsi="Times New Roman"/>
                <w:color w:val="auto"/>
                <w:sz w:val="24"/>
                <w:szCs w:val="24"/>
              </w:rPr>
            </w:pPr>
            <w:r>
              <w:rPr>
                <w:rFonts w:ascii="Times New Roman" w:hAnsi="Times New Roman"/>
                <w:color w:val="auto"/>
                <w:sz w:val="24"/>
                <w:szCs w:val="24"/>
              </w:rPr>
              <w:t>项目代码</w:t>
            </w:r>
          </w:p>
        </w:tc>
        <w:tc>
          <w:tcPr>
            <w:tcW w:w="7156" w:type="dxa"/>
            <w:gridSpan w:val="5"/>
            <w:noWrap w:val="0"/>
            <w:vAlign w:val="center"/>
          </w:tcPr>
          <w:p w14:paraId="787BD486">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1"/>
                <w:lang w:eastAsia="zh-CN"/>
              </w:rPr>
              <w:t>2501-350982-07-02-608007</w:t>
            </w:r>
          </w:p>
        </w:tc>
      </w:tr>
      <w:tr w14:paraId="2A5B1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5" w:type="dxa"/>
            <w:noWrap w:val="0"/>
            <w:tcMar>
              <w:top w:w="16" w:type="dxa"/>
              <w:left w:w="16" w:type="dxa"/>
              <w:right w:w="16" w:type="dxa"/>
            </w:tcMar>
            <w:vAlign w:val="center"/>
          </w:tcPr>
          <w:p w14:paraId="3D2A10EA">
            <w:pPr>
              <w:adjustRightInd w:val="0"/>
              <w:snapToGrid w:val="0"/>
              <w:jc w:val="center"/>
              <w:rPr>
                <w:rFonts w:ascii="Times New Roman" w:hAnsi="Times New Roman"/>
                <w:color w:val="auto"/>
                <w:sz w:val="24"/>
                <w:szCs w:val="24"/>
              </w:rPr>
            </w:pPr>
            <w:r>
              <w:rPr>
                <w:rFonts w:ascii="Times New Roman" w:hAnsi="Times New Roman"/>
                <w:color w:val="auto"/>
                <w:sz w:val="24"/>
                <w:szCs w:val="24"/>
              </w:rPr>
              <w:t>建设单位联系人</w:t>
            </w:r>
          </w:p>
        </w:tc>
        <w:tc>
          <w:tcPr>
            <w:tcW w:w="2310" w:type="dxa"/>
            <w:gridSpan w:val="2"/>
            <w:noWrap w:val="0"/>
            <w:vAlign w:val="center"/>
          </w:tcPr>
          <w:p w14:paraId="74AD34C8">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1"/>
                <w:lang w:eastAsia="zh-CN"/>
              </w:rPr>
              <w:t>周</w:t>
            </w:r>
            <w:r>
              <w:rPr>
                <w:rFonts w:hint="eastAsia"/>
                <w:color w:val="auto"/>
                <w:sz w:val="24"/>
                <w:szCs w:val="21"/>
                <w:lang w:val="en-US" w:eastAsia="zh-CN"/>
              </w:rPr>
              <w:t>**</w:t>
            </w:r>
          </w:p>
        </w:tc>
        <w:tc>
          <w:tcPr>
            <w:tcW w:w="2040" w:type="dxa"/>
            <w:noWrap w:val="0"/>
            <w:vAlign w:val="center"/>
          </w:tcPr>
          <w:p w14:paraId="5DA73FA9">
            <w:pPr>
              <w:adjustRightInd w:val="0"/>
              <w:snapToGrid w:val="0"/>
              <w:jc w:val="center"/>
              <w:rPr>
                <w:rFonts w:ascii="Times New Roman" w:hAnsi="Times New Roman"/>
                <w:color w:val="auto"/>
                <w:sz w:val="24"/>
                <w:szCs w:val="24"/>
              </w:rPr>
            </w:pPr>
            <w:r>
              <w:rPr>
                <w:color w:val="auto"/>
                <w:sz w:val="24"/>
                <w:szCs w:val="21"/>
              </w:rPr>
              <w:t>联系方式</w:t>
            </w:r>
          </w:p>
        </w:tc>
        <w:tc>
          <w:tcPr>
            <w:tcW w:w="2806" w:type="dxa"/>
            <w:gridSpan w:val="2"/>
            <w:noWrap w:val="0"/>
            <w:vAlign w:val="center"/>
          </w:tcPr>
          <w:p w14:paraId="375EFFE9">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1"/>
                <w:lang w:val="en-US" w:eastAsia="zh-CN"/>
              </w:rPr>
              <w:t>***********</w:t>
            </w:r>
          </w:p>
        </w:tc>
      </w:tr>
      <w:tr w14:paraId="56DB1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5" w:type="dxa"/>
            <w:noWrap w:val="0"/>
            <w:tcMar>
              <w:top w:w="16" w:type="dxa"/>
              <w:left w:w="16" w:type="dxa"/>
              <w:right w:w="16" w:type="dxa"/>
            </w:tcMar>
            <w:vAlign w:val="center"/>
          </w:tcPr>
          <w:p w14:paraId="16B9F334">
            <w:pPr>
              <w:adjustRightInd w:val="0"/>
              <w:snapToGrid w:val="0"/>
              <w:jc w:val="center"/>
              <w:rPr>
                <w:rFonts w:ascii="Times New Roman" w:hAnsi="Times New Roman"/>
                <w:color w:val="auto"/>
                <w:sz w:val="24"/>
                <w:szCs w:val="24"/>
              </w:rPr>
            </w:pPr>
            <w:r>
              <w:rPr>
                <w:rFonts w:ascii="Times New Roman" w:hAnsi="Times New Roman"/>
                <w:color w:val="auto"/>
                <w:sz w:val="24"/>
                <w:szCs w:val="24"/>
              </w:rPr>
              <w:t>建设地点</w:t>
            </w:r>
          </w:p>
        </w:tc>
        <w:tc>
          <w:tcPr>
            <w:tcW w:w="7156" w:type="dxa"/>
            <w:gridSpan w:val="5"/>
            <w:noWrap w:val="0"/>
            <w:vAlign w:val="center"/>
          </w:tcPr>
          <w:p w14:paraId="2C45DF96">
            <w:pPr>
              <w:adjustRightInd w:val="0"/>
              <w:snapToGrid w:val="0"/>
              <w:jc w:val="center"/>
              <w:rPr>
                <w:rFonts w:hint="eastAsia" w:ascii="Times New Roman" w:hAnsi="Times New Roman" w:eastAsia="宋体"/>
                <w:color w:val="auto"/>
                <w:sz w:val="24"/>
                <w:szCs w:val="24"/>
                <w:lang w:eastAsia="zh-CN"/>
              </w:rPr>
            </w:pPr>
            <w:r>
              <w:rPr>
                <w:rFonts w:hint="eastAsia"/>
                <w:bCs/>
                <w:color w:val="auto"/>
                <w:sz w:val="24"/>
                <w:szCs w:val="21"/>
                <w:lang w:eastAsia="zh-CN"/>
              </w:rPr>
              <w:t>福建省福鼎市前岐镇照澜村罗六36号</w:t>
            </w:r>
          </w:p>
        </w:tc>
      </w:tr>
      <w:tr w14:paraId="56E89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5" w:type="dxa"/>
            <w:noWrap w:val="0"/>
            <w:tcMar>
              <w:top w:w="16" w:type="dxa"/>
              <w:left w:w="16" w:type="dxa"/>
              <w:right w:w="16" w:type="dxa"/>
            </w:tcMar>
            <w:vAlign w:val="center"/>
          </w:tcPr>
          <w:p w14:paraId="20160B08">
            <w:pPr>
              <w:adjustRightInd w:val="0"/>
              <w:snapToGrid w:val="0"/>
              <w:jc w:val="center"/>
              <w:rPr>
                <w:rFonts w:ascii="Times New Roman" w:hAnsi="Times New Roman"/>
                <w:color w:val="auto"/>
                <w:sz w:val="24"/>
                <w:szCs w:val="24"/>
              </w:rPr>
            </w:pPr>
            <w:r>
              <w:rPr>
                <w:rFonts w:ascii="Times New Roman" w:hAnsi="Times New Roman"/>
                <w:color w:val="auto"/>
                <w:sz w:val="24"/>
                <w:szCs w:val="24"/>
              </w:rPr>
              <w:t>地理坐标</w:t>
            </w:r>
          </w:p>
        </w:tc>
        <w:tc>
          <w:tcPr>
            <w:tcW w:w="7156" w:type="dxa"/>
            <w:gridSpan w:val="5"/>
            <w:noWrap w:val="0"/>
            <w:vAlign w:val="center"/>
          </w:tcPr>
          <w:p w14:paraId="3FBC552D">
            <w:pPr>
              <w:jc w:val="center"/>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120</w:t>
            </w:r>
            <w:r>
              <w:rPr>
                <w:rFonts w:ascii="Times New Roman" w:hAnsi="Times New Roman"/>
                <w:color w:val="auto"/>
                <w:sz w:val="24"/>
                <w:szCs w:val="24"/>
                <w:u w:val="single"/>
              </w:rPr>
              <w:t xml:space="preserve"> </w:t>
            </w:r>
            <w:r>
              <w:rPr>
                <w:rFonts w:ascii="Times New Roman" w:hAnsi="Times New Roman"/>
                <w:color w:val="auto"/>
                <w:sz w:val="24"/>
                <w:szCs w:val="24"/>
              </w:rPr>
              <w:t>度</w:t>
            </w:r>
            <w:r>
              <w:rPr>
                <w:rFonts w:ascii="Times New Roman" w:hAnsi="Times New Roman"/>
                <w:color w:val="auto"/>
                <w:sz w:val="24"/>
                <w:szCs w:val="24"/>
                <w:u w:val="single"/>
              </w:rPr>
              <w:t xml:space="preserve"> </w:t>
            </w:r>
            <w:r>
              <w:rPr>
                <w:rFonts w:hint="eastAsia"/>
                <w:color w:val="auto"/>
                <w:sz w:val="24"/>
                <w:szCs w:val="24"/>
                <w:u w:val="single"/>
                <w:lang w:val="en-US" w:eastAsia="zh-CN"/>
              </w:rPr>
              <w:t>19</w:t>
            </w:r>
            <w:r>
              <w:rPr>
                <w:rFonts w:ascii="Times New Roman" w:hAnsi="Times New Roman"/>
                <w:color w:val="auto"/>
                <w:sz w:val="24"/>
                <w:szCs w:val="24"/>
              </w:rPr>
              <w:t>分</w:t>
            </w:r>
            <w:r>
              <w:rPr>
                <w:rFonts w:ascii="Times New Roman" w:hAnsi="Times New Roman"/>
                <w:color w:val="auto"/>
                <w:sz w:val="24"/>
                <w:szCs w:val="24"/>
                <w:u w:val="single"/>
              </w:rPr>
              <w:t xml:space="preserve">  </w:t>
            </w:r>
            <w:r>
              <w:rPr>
                <w:rFonts w:hint="eastAsia"/>
                <w:color w:val="auto"/>
                <w:sz w:val="24"/>
                <w:szCs w:val="24"/>
                <w:u w:val="single"/>
                <w:lang w:val="en-US" w:eastAsia="zh-CN"/>
              </w:rPr>
              <w:t>48.537</w:t>
            </w:r>
            <w:r>
              <w:rPr>
                <w:rFonts w:ascii="Times New Roman" w:hAnsi="Times New Roman"/>
                <w:color w:val="auto"/>
                <w:sz w:val="24"/>
                <w:szCs w:val="24"/>
                <w:u w:val="single"/>
              </w:rPr>
              <w:t xml:space="preserve"> </w:t>
            </w:r>
            <w:r>
              <w:rPr>
                <w:rFonts w:ascii="Times New Roman" w:hAnsi="Times New Roman"/>
                <w:color w:val="auto"/>
                <w:sz w:val="24"/>
                <w:szCs w:val="24"/>
              </w:rPr>
              <w:t>秒，</w:t>
            </w:r>
            <w:r>
              <w:rPr>
                <w:rFonts w:ascii="Times New Roman" w:hAnsi="Times New Roman"/>
                <w:color w:val="auto"/>
                <w:sz w:val="24"/>
                <w:szCs w:val="24"/>
                <w:u w:val="single"/>
              </w:rPr>
              <w:t xml:space="preserve">  </w:t>
            </w:r>
            <w:r>
              <w:rPr>
                <w:rFonts w:hint="eastAsia"/>
                <w:color w:val="auto"/>
                <w:sz w:val="24"/>
                <w:szCs w:val="24"/>
                <w:u w:val="single"/>
                <w:lang w:val="en-US" w:eastAsia="zh-CN"/>
              </w:rPr>
              <w:t>27</w:t>
            </w:r>
            <w:r>
              <w:rPr>
                <w:rFonts w:ascii="Times New Roman" w:hAnsi="Times New Roman"/>
                <w:color w:val="auto"/>
                <w:sz w:val="24"/>
                <w:szCs w:val="24"/>
                <w:u w:val="single"/>
              </w:rPr>
              <w:t xml:space="preserve">  </w:t>
            </w:r>
            <w:r>
              <w:rPr>
                <w:rFonts w:ascii="Times New Roman" w:hAnsi="Times New Roman"/>
                <w:color w:val="auto"/>
                <w:sz w:val="24"/>
                <w:szCs w:val="24"/>
              </w:rPr>
              <w:t>度</w:t>
            </w:r>
            <w:r>
              <w:rPr>
                <w:rFonts w:ascii="Times New Roman" w:hAnsi="Times New Roman"/>
                <w:color w:val="auto"/>
                <w:sz w:val="24"/>
                <w:szCs w:val="24"/>
                <w:u w:val="single"/>
              </w:rPr>
              <w:t xml:space="preserve"> </w:t>
            </w:r>
            <w:r>
              <w:rPr>
                <w:rFonts w:hint="eastAsia"/>
                <w:color w:val="auto"/>
                <w:sz w:val="24"/>
                <w:szCs w:val="24"/>
                <w:u w:val="single"/>
                <w:lang w:val="en-US" w:eastAsia="zh-CN"/>
              </w:rPr>
              <w:t>17</w:t>
            </w:r>
            <w:r>
              <w:rPr>
                <w:rFonts w:ascii="Times New Roman" w:hAnsi="Times New Roman"/>
                <w:color w:val="auto"/>
                <w:sz w:val="24"/>
                <w:szCs w:val="24"/>
                <w:u w:val="single"/>
              </w:rPr>
              <w:t xml:space="preserve"> </w:t>
            </w:r>
            <w:r>
              <w:rPr>
                <w:rFonts w:ascii="Times New Roman" w:hAnsi="Times New Roman"/>
                <w:color w:val="auto"/>
                <w:sz w:val="24"/>
                <w:szCs w:val="24"/>
              </w:rPr>
              <w:t>分</w:t>
            </w:r>
            <w:r>
              <w:rPr>
                <w:rFonts w:ascii="Times New Roman" w:hAnsi="Times New Roman"/>
                <w:color w:val="auto"/>
                <w:sz w:val="24"/>
                <w:szCs w:val="24"/>
                <w:u w:val="single"/>
              </w:rPr>
              <w:t xml:space="preserve">  </w:t>
            </w:r>
            <w:r>
              <w:rPr>
                <w:rFonts w:hint="eastAsia"/>
                <w:color w:val="auto"/>
                <w:sz w:val="24"/>
                <w:szCs w:val="24"/>
                <w:u w:val="single"/>
                <w:lang w:val="en-US" w:eastAsia="zh-CN"/>
              </w:rPr>
              <w:t>47.257</w:t>
            </w:r>
            <w:r>
              <w:rPr>
                <w:rFonts w:ascii="Times New Roman" w:hAnsi="Times New Roman"/>
                <w:color w:val="auto"/>
                <w:sz w:val="24"/>
                <w:szCs w:val="24"/>
                <w:u w:val="single"/>
              </w:rPr>
              <w:t xml:space="preserve"> </w:t>
            </w:r>
            <w:r>
              <w:rPr>
                <w:rFonts w:ascii="Times New Roman" w:hAnsi="Times New Roman"/>
                <w:color w:val="auto"/>
                <w:sz w:val="24"/>
                <w:szCs w:val="24"/>
              </w:rPr>
              <w:t>秒）</w:t>
            </w:r>
          </w:p>
        </w:tc>
      </w:tr>
      <w:tr w14:paraId="4634E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15" w:type="dxa"/>
            <w:noWrap w:val="0"/>
            <w:tcMar>
              <w:top w:w="16" w:type="dxa"/>
              <w:left w:w="16" w:type="dxa"/>
              <w:right w:w="16" w:type="dxa"/>
            </w:tcMar>
            <w:vAlign w:val="center"/>
          </w:tcPr>
          <w:p w14:paraId="40C2441C">
            <w:pPr>
              <w:adjustRightInd w:val="0"/>
              <w:snapToGrid w:val="0"/>
              <w:jc w:val="center"/>
              <w:rPr>
                <w:rFonts w:ascii="Times New Roman" w:hAnsi="Times New Roman"/>
                <w:color w:val="auto"/>
                <w:sz w:val="24"/>
                <w:szCs w:val="24"/>
              </w:rPr>
            </w:pPr>
            <w:r>
              <w:rPr>
                <w:rFonts w:ascii="Times New Roman" w:hAnsi="Times New Roman"/>
                <w:color w:val="auto"/>
                <w:sz w:val="24"/>
                <w:szCs w:val="24"/>
              </w:rPr>
              <w:t>国民经济</w:t>
            </w:r>
          </w:p>
          <w:p w14:paraId="53D14580">
            <w:pPr>
              <w:adjustRightInd w:val="0"/>
              <w:snapToGrid w:val="0"/>
              <w:jc w:val="center"/>
              <w:rPr>
                <w:rFonts w:ascii="Times New Roman" w:hAnsi="Times New Roman"/>
                <w:color w:val="auto"/>
                <w:sz w:val="24"/>
                <w:szCs w:val="24"/>
              </w:rPr>
            </w:pPr>
            <w:r>
              <w:rPr>
                <w:rFonts w:ascii="Times New Roman" w:hAnsi="Times New Roman"/>
                <w:color w:val="auto"/>
                <w:sz w:val="24"/>
                <w:szCs w:val="24"/>
              </w:rPr>
              <w:t>行业类别</w:t>
            </w:r>
          </w:p>
        </w:tc>
        <w:tc>
          <w:tcPr>
            <w:tcW w:w="2302" w:type="dxa"/>
            <w:noWrap w:val="0"/>
            <w:vAlign w:val="center"/>
          </w:tcPr>
          <w:p w14:paraId="2205213A">
            <w:pPr>
              <w:adjustRightInd w:val="0"/>
              <w:snapToGrid w:val="0"/>
              <w:jc w:val="center"/>
              <w:rPr>
                <w:rFonts w:hint="default" w:ascii="Times New Roman" w:hAnsi="Times New Roman" w:eastAsia="宋体" w:cs="Times New Roman"/>
                <w:color w:val="auto"/>
                <w:sz w:val="24"/>
                <w:szCs w:val="24"/>
                <w:lang w:val="en-US"/>
              </w:rPr>
            </w:pPr>
            <w:r>
              <w:rPr>
                <w:rFonts w:hint="eastAsia" w:cs="Times New Roman"/>
                <w:color w:val="auto"/>
                <w:sz w:val="24"/>
                <w:szCs w:val="24"/>
                <w:lang w:val="en-US" w:eastAsia="zh-CN"/>
              </w:rPr>
              <w:t>N</w:t>
            </w:r>
            <w:r>
              <w:rPr>
                <w:rFonts w:hint="default" w:ascii="Times New Roman" w:hAnsi="Times New Roman" w:eastAsia="宋体" w:cs="Times New Roman"/>
                <w:color w:val="auto"/>
                <w:sz w:val="24"/>
                <w:szCs w:val="24"/>
                <w:lang w:val="en-US"/>
              </w:rPr>
              <w:t>7723固体废物治理</w:t>
            </w:r>
          </w:p>
        </w:tc>
        <w:tc>
          <w:tcPr>
            <w:tcW w:w="2215" w:type="dxa"/>
            <w:gridSpan w:val="3"/>
            <w:noWrap w:val="0"/>
            <w:vAlign w:val="center"/>
          </w:tcPr>
          <w:p w14:paraId="36D484DF">
            <w:pPr>
              <w:adjustRightInd w:val="0"/>
              <w:snapToGrid w:val="0"/>
              <w:jc w:val="center"/>
              <w:rPr>
                <w:color w:val="auto"/>
                <w:sz w:val="24"/>
                <w:szCs w:val="21"/>
              </w:rPr>
            </w:pPr>
            <w:r>
              <w:rPr>
                <w:color w:val="auto"/>
                <w:sz w:val="24"/>
                <w:szCs w:val="21"/>
              </w:rPr>
              <w:t>建设项目</w:t>
            </w:r>
          </w:p>
          <w:p w14:paraId="684CA51F">
            <w:pPr>
              <w:adjustRightInd w:val="0"/>
              <w:snapToGrid w:val="0"/>
              <w:jc w:val="center"/>
              <w:rPr>
                <w:rFonts w:ascii="Times New Roman" w:hAnsi="Times New Roman" w:eastAsia="宋体" w:cs="Times New Roman"/>
                <w:color w:val="auto"/>
                <w:sz w:val="24"/>
                <w:szCs w:val="24"/>
              </w:rPr>
            </w:pPr>
            <w:r>
              <w:rPr>
                <w:color w:val="auto"/>
                <w:sz w:val="24"/>
                <w:szCs w:val="21"/>
              </w:rPr>
              <w:t>行业类别</w:t>
            </w:r>
          </w:p>
        </w:tc>
        <w:tc>
          <w:tcPr>
            <w:tcW w:w="2639" w:type="dxa"/>
            <w:noWrap w:val="0"/>
            <w:vAlign w:val="center"/>
          </w:tcPr>
          <w:p w14:paraId="3456D877">
            <w:pPr>
              <w:adjustRightInd w:val="0"/>
              <w:snapToGrid w:val="0"/>
              <w:rPr>
                <w:rFonts w:ascii="Times New Roman" w:hAnsi="Times New Roman" w:eastAsia="宋体" w:cs="Times New Roman"/>
                <w:color w:val="auto"/>
                <w:sz w:val="24"/>
                <w:szCs w:val="24"/>
              </w:rPr>
            </w:pPr>
            <w:r>
              <w:rPr>
                <w:rFonts w:hint="eastAsia"/>
                <w:color w:val="auto"/>
                <w:sz w:val="24"/>
                <w:szCs w:val="21"/>
              </w:rPr>
              <w:t>四十七、生态保护和环境治理业103.一般工业固体废物（含污水处理污泥）、建筑施工废弃物处置及综合利用</w:t>
            </w:r>
            <w:r>
              <w:rPr>
                <w:color w:val="auto"/>
                <w:sz w:val="24"/>
                <w:szCs w:val="21"/>
              </w:rPr>
              <w:t>；</w:t>
            </w:r>
          </w:p>
        </w:tc>
      </w:tr>
      <w:tr w14:paraId="1404D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15" w:type="dxa"/>
            <w:noWrap w:val="0"/>
            <w:tcMar>
              <w:top w:w="16" w:type="dxa"/>
              <w:left w:w="16" w:type="dxa"/>
              <w:right w:w="16" w:type="dxa"/>
            </w:tcMar>
            <w:vAlign w:val="center"/>
          </w:tcPr>
          <w:p w14:paraId="050ABB5F">
            <w:pPr>
              <w:adjustRightInd w:val="0"/>
              <w:snapToGrid w:val="0"/>
              <w:jc w:val="center"/>
              <w:rPr>
                <w:rFonts w:ascii="Times New Roman" w:hAnsi="Times New Roman"/>
                <w:color w:val="auto"/>
                <w:sz w:val="24"/>
                <w:szCs w:val="24"/>
              </w:rPr>
            </w:pPr>
            <w:r>
              <w:rPr>
                <w:rFonts w:ascii="Times New Roman" w:hAnsi="Times New Roman"/>
                <w:color w:val="auto"/>
                <w:sz w:val="24"/>
                <w:szCs w:val="24"/>
              </w:rPr>
              <w:t>建设性质</w:t>
            </w:r>
          </w:p>
        </w:tc>
        <w:tc>
          <w:tcPr>
            <w:tcW w:w="2302" w:type="dxa"/>
            <w:noWrap w:val="0"/>
            <w:vAlign w:val="center"/>
          </w:tcPr>
          <w:p w14:paraId="797273EA">
            <w:pPr>
              <w:jc w:val="left"/>
              <w:rPr>
                <w:rFonts w:ascii="Times New Roman" w:hAnsi="Times New Roman"/>
                <w:color w:val="auto"/>
                <w:sz w:val="24"/>
                <w:szCs w:val="24"/>
              </w:rPr>
            </w:pPr>
            <w:r>
              <w:rPr>
                <w:rFonts w:hint="eastAsia"/>
                <w:color w:val="auto"/>
                <w:sz w:val="24"/>
                <w:szCs w:val="24"/>
                <w:lang w:eastAsia="zh-CN"/>
              </w:rPr>
              <w:t>☑</w:t>
            </w:r>
            <w:r>
              <w:rPr>
                <w:rFonts w:ascii="Times New Roman" w:hAnsi="Times New Roman"/>
                <w:color w:val="auto"/>
                <w:sz w:val="24"/>
                <w:szCs w:val="24"/>
              </w:rPr>
              <w:t>新建（迁建）</w:t>
            </w:r>
          </w:p>
          <w:p w14:paraId="59E56128">
            <w:pPr>
              <w:jc w:val="left"/>
              <w:rPr>
                <w:rFonts w:ascii="Times New Roman" w:hAnsi="Times New Roman"/>
                <w:color w:val="auto"/>
                <w:sz w:val="24"/>
                <w:szCs w:val="24"/>
              </w:rPr>
            </w:pPr>
            <w:r>
              <w:rPr>
                <w:rFonts w:hint="eastAsia" w:ascii="Times New Roman" w:hAnsi="Times New Roman"/>
                <w:color w:val="auto"/>
                <w:sz w:val="24"/>
                <w:szCs w:val="24"/>
                <w:lang w:eastAsia="zh-CN"/>
              </w:rPr>
              <w:t>□</w:t>
            </w:r>
            <w:r>
              <w:rPr>
                <w:rFonts w:ascii="Times New Roman" w:hAnsi="Times New Roman"/>
                <w:color w:val="auto"/>
                <w:sz w:val="24"/>
                <w:szCs w:val="24"/>
              </w:rPr>
              <w:t>改建</w:t>
            </w:r>
          </w:p>
          <w:p w14:paraId="6F9CF6FE">
            <w:pPr>
              <w:jc w:val="left"/>
              <w:rPr>
                <w:rFonts w:ascii="Times New Roman" w:hAnsi="Times New Roman"/>
                <w:color w:val="auto"/>
                <w:sz w:val="24"/>
                <w:szCs w:val="24"/>
              </w:rPr>
            </w:pPr>
            <w:r>
              <w:rPr>
                <w:rFonts w:hint="eastAsia"/>
                <w:color w:val="auto"/>
                <w:sz w:val="24"/>
                <w:szCs w:val="24"/>
                <w:lang w:eastAsia="zh-CN"/>
              </w:rPr>
              <w:t>□</w:t>
            </w:r>
            <w:r>
              <w:rPr>
                <w:rFonts w:ascii="Times New Roman" w:hAnsi="Times New Roman"/>
                <w:color w:val="auto"/>
                <w:sz w:val="24"/>
                <w:szCs w:val="24"/>
              </w:rPr>
              <w:t>扩建</w:t>
            </w:r>
          </w:p>
          <w:p w14:paraId="4B56F5E2">
            <w:pPr>
              <w:jc w:val="left"/>
              <w:rPr>
                <w:rFonts w:ascii="Times New Roman" w:hAnsi="Times New Roman"/>
                <w:color w:val="auto"/>
                <w:sz w:val="24"/>
                <w:szCs w:val="24"/>
              </w:rPr>
            </w:pPr>
            <w:r>
              <w:rPr>
                <w:rFonts w:hint="eastAsia" w:ascii="Times New Roman" w:hAnsi="Times New Roman"/>
                <w:color w:val="auto"/>
                <w:sz w:val="24"/>
                <w:szCs w:val="24"/>
                <w:lang w:eastAsia="zh-CN"/>
              </w:rPr>
              <w:sym w:font="Wingdings 2" w:char="00A3"/>
            </w:r>
            <w:r>
              <w:rPr>
                <w:rFonts w:ascii="Times New Roman" w:hAnsi="Times New Roman"/>
                <w:color w:val="auto"/>
                <w:sz w:val="24"/>
                <w:szCs w:val="24"/>
              </w:rPr>
              <w:t>技术改造</w:t>
            </w:r>
          </w:p>
        </w:tc>
        <w:tc>
          <w:tcPr>
            <w:tcW w:w="2215" w:type="dxa"/>
            <w:gridSpan w:val="3"/>
            <w:noWrap w:val="0"/>
            <w:vAlign w:val="center"/>
          </w:tcPr>
          <w:p w14:paraId="4017A959">
            <w:pPr>
              <w:adjustRightInd w:val="0"/>
              <w:snapToGrid w:val="0"/>
              <w:jc w:val="center"/>
              <w:rPr>
                <w:rFonts w:ascii="Times New Roman" w:hAnsi="Times New Roman"/>
                <w:color w:val="auto"/>
                <w:sz w:val="24"/>
                <w:szCs w:val="24"/>
              </w:rPr>
            </w:pPr>
            <w:r>
              <w:rPr>
                <w:rFonts w:ascii="Times New Roman" w:hAnsi="Times New Roman"/>
                <w:color w:val="auto"/>
                <w:sz w:val="24"/>
                <w:szCs w:val="24"/>
              </w:rPr>
              <w:t>建设项目</w:t>
            </w:r>
          </w:p>
          <w:p w14:paraId="47994FF1">
            <w:pPr>
              <w:adjustRightInd w:val="0"/>
              <w:snapToGrid w:val="0"/>
              <w:jc w:val="center"/>
              <w:rPr>
                <w:rFonts w:ascii="Times New Roman" w:hAnsi="Times New Roman"/>
                <w:color w:val="auto"/>
                <w:sz w:val="24"/>
                <w:szCs w:val="24"/>
              </w:rPr>
            </w:pPr>
            <w:r>
              <w:rPr>
                <w:rFonts w:ascii="Times New Roman" w:hAnsi="Times New Roman"/>
                <w:color w:val="auto"/>
                <w:sz w:val="24"/>
                <w:szCs w:val="24"/>
              </w:rPr>
              <w:t>申报情形</w:t>
            </w:r>
          </w:p>
        </w:tc>
        <w:tc>
          <w:tcPr>
            <w:tcW w:w="2639" w:type="dxa"/>
            <w:noWrap w:val="0"/>
            <w:vAlign w:val="center"/>
          </w:tcPr>
          <w:p w14:paraId="1CED6E8D">
            <w:pPr>
              <w:jc w:val="left"/>
              <w:rPr>
                <w:rFonts w:ascii="Times New Roman" w:hAnsi="Times New Roman"/>
                <w:color w:val="auto"/>
                <w:sz w:val="24"/>
                <w:szCs w:val="24"/>
              </w:rPr>
            </w:pPr>
            <w:r>
              <w:rPr>
                <w:rFonts w:hint="eastAsia" w:ascii="Times New Roman" w:hAnsi="Times New Roman"/>
                <w:color w:val="auto"/>
                <w:sz w:val="24"/>
                <w:szCs w:val="24"/>
                <w:lang w:eastAsia="zh-CN"/>
              </w:rPr>
              <w:t>☑</w:t>
            </w:r>
            <w:r>
              <w:rPr>
                <w:rFonts w:ascii="Times New Roman" w:hAnsi="Times New Roman"/>
                <w:color w:val="auto"/>
                <w:sz w:val="24"/>
                <w:szCs w:val="24"/>
              </w:rPr>
              <w:t>首次申报项目</w:t>
            </w:r>
          </w:p>
          <w:p w14:paraId="03340A97">
            <w:pPr>
              <w:jc w:val="left"/>
              <w:rPr>
                <w:rFonts w:ascii="Times New Roman" w:hAnsi="Times New Roman"/>
                <w:color w:val="auto"/>
                <w:sz w:val="24"/>
                <w:szCs w:val="24"/>
              </w:rPr>
            </w:pPr>
            <w:r>
              <w:rPr>
                <w:rFonts w:hint="eastAsia" w:ascii="Times New Roman" w:hAnsi="Times New Roman"/>
                <w:color w:val="auto"/>
                <w:sz w:val="24"/>
                <w:szCs w:val="24"/>
                <w:lang w:eastAsia="zh-CN"/>
              </w:rPr>
              <w:t>□</w:t>
            </w:r>
            <w:r>
              <w:rPr>
                <w:rFonts w:ascii="Times New Roman" w:hAnsi="Times New Roman"/>
                <w:color w:val="auto"/>
                <w:sz w:val="24"/>
                <w:szCs w:val="24"/>
              </w:rPr>
              <w:t>不予批准后再次申报项目</w:t>
            </w:r>
          </w:p>
          <w:p w14:paraId="1B7E1B36">
            <w:pPr>
              <w:jc w:val="left"/>
              <w:rPr>
                <w:rFonts w:ascii="Times New Roman" w:hAnsi="Times New Roman"/>
                <w:color w:val="auto"/>
                <w:sz w:val="24"/>
                <w:szCs w:val="24"/>
              </w:rPr>
            </w:pPr>
            <w:r>
              <w:rPr>
                <w:rFonts w:hint="eastAsia" w:ascii="Times New Roman" w:hAnsi="Times New Roman"/>
                <w:color w:val="auto"/>
                <w:sz w:val="24"/>
                <w:szCs w:val="24"/>
                <w:lang w:eastAsia="zh-CN"/>
              </w:rPr>
              <w:t>□</w:t>
            </w:r>
            <w:r>
              <w:rPr>
                <w:rFonts w:ascii="Times New Roman" w:hAnsi="Times New Roman"/>
                <w:color w:val="auto"/>
                <w:sz w:val="24"/>
                <w:szCs w:val="24"/>
              </w:rPr>
              <w:t xml:space="preserve">超五年重新审核项目     </w:t>
            </w:r>
          </w:p>
          <w:p w14:paraId="0FC7358B">
            <w:pPr>
              <w:jc w:val="left"/>
              <w:rPr>
                <w:rFonts w:ascii="Times New Roman" w:hAnsi="Times New Roman"/>
                <w:color w:val="auto"/>
                <w:sz w:val="24"/>
                <w:szCs w:val="24"/>
              </w:rPr>
            </w:pPr>
            <w:r>
              <w:rPr>
                <w:rFonts w:hint="eastAsia" w:ascii="Times New Roman" w:hAnsi="Times New Roman"/>
                <w:color w:val="auto"/>
                <w:sz w:val="24"/>
                <w:szCs w:val="24"/>
                <w:lang w:eastAsia="zh-CN"/>
              </w:rPr>
              <w:t>□</w:t>
            </w:r>
            <w:r>
              <w:rPr>
                <w:rFonts w:ascii="Times New Roman" w:hAnsi="Times New Roman"/>
                <w:color w:val="auto"/>
                <w:sz w:val="24"/>
                <w:szCs w:val="24"/>
              </w:rPr>
              <w:t>重大变动重新报批项目</w:t>
            </w:r>
          </w:p>
        </w:tc>
      </w:tr>
      <w:tr w14:paraId="6E644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15" w:type="dxa"/>
            <w:noWrap w:val="0"/>
            <w:tcMar>
              <w:top w:w="16" w:type="dxa"/>
              <w:left w:w="16" w:type="dxa"/>
              <w:right w:w="16" w:type="dxa"/>
            </w:tcMar>
            <w:vAlign w:val="center"/>
          </w:tcPr>
          <w:p w14:paraId="348BAFB9">
            <w:pPr>
              <w:adjustRightInd w:val="0"/>
              <w:snapToGrid w:val="0"/>
              <w:jc w:val="center"/>
              <w:rPr>
                <w:rFonts w:ascii="Times New Roman" w:hAnsi="Times New Roman"/>
                <w:color w:val="auto"/>
                <w:sz w:val="24"/>
                <w:szCs w:val="24"/>
              </w:rPr>
            </w:pPr>
            <w:r>
              <w:rPr>
                <w:rFonts w:ascii="Times New Roman" w:hAnsi="Times New Roman"/>
                <w:color w:val="auto"/>
                <w:sz w:val="24"/>
                <w:szCs w:val="24"/>
              </w:rPr>
              <w:t>项目审批（核准/</w:t>
            </w:r>
          </w:p>
          <w:p w14:paraId="7F03A87E">
            <w:pPr>
              <w:adjustRightInd w:val="0"/>
              <w:snapToGrid w:val="0"/>
              <w:jc w:val="center"/>
              <w:rPr>
                <w:rFonts w:ascii="Times New Roman" w:hAnsi="Times New Roman"/>
                <w:color w:val="auto"/>
                <w:sz w:val="24"/>
                <w:szCs w:val="24"/>
              </w:rPr>
            </w:pPr>
            <w:r>
              <w:rPr>
                <w:rFonts w:ascii="Times New Roman" w:hAnsi="Times New Roman"/>
                <w:color w:val="auto"/>
                <w:sz w:val="24"/>
                <w:szCs w:val="24"/>
              </w:rPr>
              <w:t>备案）部门</w:t>
            </w:r>
          </w:p>
          <w:p w14:paraId="1CDA2503">
            <w:pPr>
              <w:adjustRightInd w:val="0"/>
              <w:snapToGrid w:val="0"/>
              <w:jc w:val="center"/>
              <w:rPr>
                <w:rFonts w:ascii="Times New Roman" w:hAnsi="Times New Roman"/>
                <w:color w:val="auto"/>
                <w:sz w:val="24"/>
                <w:szCs w:val="24"/>
              </w:rPr>
            </w:pPr>
            <w:r>
              <w:rPr>
                <w:rFonts w:ascii="Times New Roman" w:hAnsi="Times New Roman"/>
                <w:color w:val="auto"/>
                <w:sz w:val="24"/>
                <w:szCs w:val="24"/>
              </w:rPr>
              <w:t>（选填）</w:t>
            </w:r>
          </w:p>
        </w:tc>
        <w:tc>
          <w:tcPr>
            <w:tcW w:w="2302" w:type="dxa"/>
            <w:noWrap w:val="0"/>
            <w:vAlign w:val="center"/>
          </w:tcPr>
          <w:p w14:paraId="29EE3CD6">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4"/>
                <w:lang w:eastAsia="zh-CN"/>
              </w:rPr>
              <w:t>福鼎市工业和信息化局</w:t>
            </w:r>
          </w:p>
        </w:tc>
        <w:tc>
          <w:tcPr>
            <w:tcW w:w="2215" w:type="dxa"/>
            <w:gridSpan w:val="3"/>
            <w:noWrap w:val="0"/>
            <w:vAlign w:val="center"/>
          </w:tcPr>
          <w:p w14:paraId="6E54E0C0">
            <w:pPr>
              <w:adjustRightInd w:val="0"/>
              <w:snapToGrid w:val="0"/>
              <w:jc w:val="center"/>
              <w:rPr>
                <w:rFonts w:ascii="Times New Roman" w:hAnsi="Times New Roman"/>
                <w:color w:val="auto"/>
                <w:sz w:val="24"/>
                <w:szCs w:val="24"/>
              </w:rPr>
            </w:pPr>
            <w:r>
              <w:rPr>
                <w:rFonts w:ascii="Times New Roman" w:hAnsi="Times New Roman"/>
                <w:color w:val="auto"/>
                <w:sz w:val="24"/>
                <w:szCs w:val="24"/>
              </w:rPr>
              <w:t>项目审批（核准/</w:t>
            </w:r>
          </w:p>
          <w:p w14:paraId="21DDE0D9">
            <w:pPr>
              <w:adjustRightInd w:val="0"/>
              <w:snapToGrid w:val="0"/>
              <w:jc w:val="center"/>
              <w:rPr>
                <w:rFonts w:ascii="Times New Roman" w:hAnsi="Times New Roman"/>
                <w:color w:val="auto"/>
                <w:sz w:val="24"/>
                <w:szCs w:val="24"/>
              </w:rPr>
            </w:pPr>
            <w:r>
              <w:rPr>
                <w:rFonts w:ascii="Times New Roman" w:hAnsi="Times New Roman"/>
                <w:color w:val="auto"/>
                <w:sz w:val="24"/>
                <w:szCs w:val="24"/>
              </w:rPr>
              <w:t>备案）文号（选填）</w:t>
            </w:r>
          </w:p>
        </w:tc>
        <w:tc>
          <w:tcPr>
            <w:tcW w:w="2639" w:type="dxa"/>
            <w:noWrap w:val="0"/>
            <w:vAlign w:val="center"/>
          </w:tcPr>
          <w:p w14:paraId="6274ED00">
            <w:pPr>
              <w:adjustRightInd w:val="0"/>
              <w:snapToGrid w:val="0"/>
              <w:jc w:val="center"/>
              <w:rPr>
                <w:rFonts w:hint="eastAsia" w:ascii="Times New Roman" w:hAnsi="Times New Roman" w:eastAsia="宋体"/>
                <w:color w:val="auto"/>
                <w:sz w:val="24"/>
                <w:szCs w:val="24"/>
                <w:lang w:eastAsia="zh-CN"/>
              </w:rPr>
            </w:pPr>
            <w:r>
              <w:rPr>
                <w:rFonts w:hint="eastAsia"/>
                <w:color w:val="auto"/>
                <w:sz w:val="24"/>
                <w:szCs w:val="24"/>
                <w:lang w:eastAsia="zh-CN"/>
              </w:rPr>
              <w:t>闽工信备〔2025〕J030003号</w:t>
            </w:r>
          </w:p>
        </w:tc>
      </w:tr>
      <w:tr w14:paraId="27C33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5" w:type="dxa"/>
            <w:noWrap w:val="0"/>
            <w:tcMar>
              <w:top w:w="16" w:type="dxa"/>
              <w:left w:w="16" w:type="dxa"/>
              <w:right w:w="16" w:type="dxa"/>
            </w:tcMar>
            <w:vAlign w:val="center"/>
          </w:tcPr>
          <w:p w14:paraId="1E32A44A">
            <w:pPr>
              <w:adjustRightInd w:val="0"/>
              <w:snapToGrid w:val="0"/>
              <w:jc w:val="center"/>
              <w:rPr>
                <w:rFonts w:ascii="Times New Roman" w:hAnsi="Times New Roman"/>
                <w:color w:val="auto"/>
                <w:sz w:val="24"/>
                <w:szCs w:val="24"/>
              </w:rPr>
            </w:pPr>
            <w:r>
              <w:rPr>
                <w:rFonts w:ascii="Times New Roman" w:hAnsi="Times New Roman"/>
                <w:color w:val="auto"/>
                <w:sz w:val="24"/>
                <w:szCs w:val="24"/>
              </w:rPr>
              <w:t>总投资（万元）</w:t>
            </w:r>
          </w:p>
        </w:tc>
        <w:tc>
          <w:tcPr>
            <w:tcW w:w="2302" w:type="dxa"/>
            <w:shd w:val="clear" w:color="auto" w:fill="auto"/>
            <w:noWrap w:val="0"/>
            <w:vAlign w:val="center"/>
          </w:tcPr>
          <w:p w14:paraId="225B4BED">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1500</w:t>
            </w:r>
          </w:p>
        </w:tc>
        <w:tc>
          <w:tcPr>
            <w:tcW w:w="2215" w:type="dxa"/>
            <w:gridSpan w:val="3"/>
            <w:shd w:val="clear" w:color="auto" w:fill="auto"/>
            <w:noWrap w:val="0"/>
            <w:tcMar>
              <w:top w:w="16" w:type="dxa"/>
              <w:left w:w="16" w:type="dxa"/>
              <w:right w:w="16" w:type="dxa"/>
            </w:tcMar>
            <w:vAlign w:val="center"/>
          </w:tcPr>
          <w:p w14:paraId="5CAA1D10">
            <w:pPr>
              <w:adjustRightInd w:val="0"/>
              <w:snapToGrid w:val="0"/>
              <w:jc w:val="center"/>
              <w:rPr>
                <w:rFonts w:ascii="Times New Roman" w:hAnsi="Times New Roman" w:eastAsia="宋体" w:cs="Times New Roman"/>
                <w:color w:val="auto"/>
                <w:kern w:val="2"/>
                <w:sz w:val="24"/>
                <w:szCs w:val="24"/>
                <w:lang w:val="en-US" w:eastAsia="zh-CN" w:bidi="ar-SA"/>
              </w:rPr>
            </w:pPr>
            <w:r>
              <w:rPr>
                <w:rFonts w:ascii="Times New Roman" w:hAnsi="Times New Roman"/>
                <w:color w:val="auto"/>
                <w:sz w:val="24"/>
                <w:szCs w:val="24"/>
              </w:rPr>
              <w:t>环保投资（万元）</w:t>
            </w:r>
          </w:p>
        </w:tc>
        <w:tc>
          <w:tcPr>
            <w:tcW w:w="2639" w:type="dxa"/>
            <w:shd w:val="clear" w:color="auto" w:fill="auto"/>
            <w:noWrap w:val="0"/>
            <w:vAlign w:val="center"/>
          </w:tcPr>
          <w:p w14:paraId="7BB0ADFC">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color w:val="auto"/>
                <w:sz w:val="24"/>
                <w:lang w:val="en-US" w:eastAsia="zh-CN"/>
              </w:rPr>
              <w:t>150</w:t>
            </w:r>
          </w:p>
        </w:tc>
      </w:tr>
      <w:tr w14:paraId="044E1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5" w:type="dxa"/>
            <w:noWrap w:val="0"/>
            <w:tcMar>
              <w:top w:w="16" w:type="dxa"/>
              <w:left w:w="16" w:type="dxa"/>
              <w:right w:w="16" w:type="dxa"/>
            </w:tcMar>
            <w:vAlign w:val="center"/>
          </w:tcPr>
          <w:p w14:paraId="30419B02">
            <w:pPr>
              <w:adjustRightInd w:val="0"/>
              <w:snapToGrid w:val="0"/>
              <w:jc w:val="center"/>
              <w:rPr>
                <w:rFonts w:ascii="Times New Roman" w:hAnsi="Times New Roman"/>
                <w:color w:val="auto"/>
                <w:sz w:val="24"/>
                <w:szCs w:val="24"/>
              </w:rPr>
            </w:pPr>
            <w:r>
              <w:rPr>
                <w:rFonts w:ascii="Times New Roman" w:hAnsi="Times New Roman"/>
                <w:color w:val="auto"/>
                <w:sz w:val="24"/>
                <w:szCs w:val="24"/>
              </w:rPr>
              <w:t>环保投资占比（%）</w:t>
            </w:r>
          </w:p>
        </w:tc>
        <w:tc>
          <w:tcPr>
            <w:tcW w:w="2302" w:type="dxa"/>
            <w:shd w:val="clear" w:color="auto" w:fill="auto"/>
            <w:noWrap w:val="0"/>
            <w:vAlign w:val="center"/>
          </w:tcPr>
          <w:p w14:paraId="2D424C67">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10</w:t>
            </w:r>
          </w:p>
        </w:tc>
        <w:tc>
          <w:tcPr>
            <w:tcW w:w="2215" w:type="dxa"/>
            <w:gridSpan w:val="3"/>
            <w:shd w:val="clear" w:color="auto" w:fill="auto"/>
            <w:noWrap w:val="0"/>
            <w:tcMar>
              <w:top w:w="16" w:type="dxa"/>
              <w:left w:w="16" w:type="dxa"/>
              <w:right w:w="16" w:type="dxa"/>
            </w:tcMar>
            <w:vAlign w:val="center"/>
          </w:tcPr>
          <w:p w14:paraId="4CD0E679">
            <w:pPr>
              <w:adjustRightInd w:val="0"/>
              <w:snapToGrid w:val="0"/>
              <w:jc w:val="center"/>
              <w:rPr>
                <w:rFonts w:ascii="Times New Roman" w:hAnsi="Times New Roman" w:eastAsia="宋体" w:cs="Times New Roman"/>
                <w:color w:val="auto"/>
                <w:kern w:val="2"/>
                <w:sz w:val="24"/>
                <w:szCs w:val="24"/>
                <w:lang w:val="en-US" w:eastAsia="zh-CN" w:bidi="ar-SA"/>
              </w:rPr>
            </w:pPr>
            <w:r>
              <w:rPr>
                <w:rFonts w:ascii="Times New Roman" w:hAnsi="Times New Roman"/>
                <w:color w:val="auto"/>
                <w:sz w:val="24"/>
                <w:szCs w:val="24"/>
              </w:rPr>
              <w:t>施工工期</w:t>
            </w:r>
          </w:p>
        </w:tc>
        <w:tc>
          <w:tcPr>
            <w:tcW w:w="2639" w:type="dxa"/>
            <w:shd w:val="clear" w:color="auto" w:fill="auto"/>
            <w:noWrap w:val="0"/>
            <w:vAlign w:val="center"/>
          </w:tcPr>
          <w:p w14:paraId="40A79178">
            <w:pPr>
              <w:adjustRightInd w:val="0"/>
              <w:snapToGrid w:val="0"/>
              <w:jc w:val="center"/>
              <w:rPr>
                <w:rFonts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12</w:t>
            </w:r>
            <w:r>
              <w:rPr>
                <w:rFonts w:ascii="Times New Roman" w:hAnsi="Times New Roman"/>
                <w:color w:val="auto"/>
                <w:sz w:val="24"/>
                <w:szCs w:val="24"/>
              </w:rPr>
              <w:t>个月</w:t>
            </w:r>
          </w:p>
        </w:tc>
      </w:tr>
      <w:tr w14:paraId="354AB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5" w:type="dxa"/>
            <w:noWrap w:val="0"/>
            <w:tcMar>
              <w:top w:w="16" w:type="dxa"/>
              <w:left w:w="16" w:type="dxa"/>
              <w:right w:w="16" w:type="dxa"/>
            </w:tcMar>
            <w:vAlign w:val="center"/>
          </w:tcPr>
          <w:p w14:paraId="22D1C7D0">
            <w:pPr>
              <w:adjustRightInd w:val="0"/>
              <w:snapToGrid w:val="0"/>
              <w:jc w:val="center"/>
              <w:rPr>
                <w:rFonts w:ascii="Times New Roman" w:hAnsi="Times New Roman"/>
                <w:color w:val="auto"/>
                <w:sz w:val="24"/>
                <w:szCs w:val="24"/>
              </w:rPr>
            </w:pPr>
            <w:r>
              <w:rPr>
                <w:rFonts w:ascii="Times New Roman" w:hAnsi="Times New Roman"/>
                <w:color w:val="auto"/>
                <w:sz w:val="24"/>
                <w:szCs w:val="24"/>
              </w:rPr>
              <w:t>是否开工建设</w:t>
            </w:r>
          </w:p>
        </w:tc>
        <w:tc>
          <w:tcPr>
            <w:tcW w:w="2302" w:type="dxa"/>
            <w:noWrap w:val="0"/>
            <w:vAlign w:val="center"/>
          </w:tcPr>
          <w:p w14:paraId="45CDB3A8">
            <w:pPr>
              <w:adjustRightInd w:val="0"/>
              <w:snapToGrid w:val="0"/>
              <w:rPr>
                <w:rFonts w:ascii="Times New Roman" w:hAnsi="Times New Roman"/>
                <w:color w:val="auto"/>
                <w:sz w:val="24"/>
                <w:szCs w:val="24"/>
              </w:rPr>
            </w:pPr>
            <w:r>
              <w:rPr>
                <w:rFonts w:ascii="Times New Roman" w:hAnsi="Times New Roman"/>
                <w:color w:val="auto"/>
                <w:sz w:val="24"/>
                <w:szCs w:val="24"/>
              </w:rPr>
              <w:sym w:font="Wingdings 2" w:char="0052"/>
            </w:r>
            <w:r>
              <w:rPr>
                <w:rFonts w:ascii="Times New Roman" w:hAnsi="Times New Roman"/>
                <w:color w:val="auto"/>
                <w:sz w:val="24"/>
                <w:szCs w:val="24"/>
              </w:rPr>
              <w:t>否</w:t>
            </w:r>
          </w:p>
          <w:p w14:paraId="73B10027">
            <w:pPr>
              <w:adjustRightInd w:val="0"/>
              <w:snapToGrid w:val="0"/>
              <w:rPr>
                <w:rFonts w:ascii="Times New Roman" w:hAnsi="Times New Roman"/>
                <w:color w:val="auto"/>
                <w:sz w:val="24"/>
                <w:szCs w:val="24"/>
              </w:rPr>
            </w:pPr>
            <w:r>
              <w:rPr>
                <w:rFonts w:ascii="Times New Roman" w:hAnsi="Times New Roman"/>
                <w:color w:val="auto"/>
                <w:sz w:val="24"/>
                <w:szCs w:val="24"/>
              </w:rPr>
              <w:sym w:font="Wingdings 2" w:char="00A3"/>
            </w:r>
            <w:r>
              <w:rPr>
                <w:rFonts w:ascii="Times New Roman" w:hAnsi="Times New Roman"/>
                <w:color w:val="auto"/>
                <w:sz w:val="24"/>
                <w:szCs w:val="24"/>
              </w:rPr>
              <w:t>是：</w:t>
            </w:r>
            <w:r>
              <w:rPr>
                <w:rFonts w:ascii="Times New Roman" w:hAnsi="Times New Roman"/>
                <w:color w:val="auto"/>
                <w:sz w:val="24"/>
                <w:szCs w:val="24"/>
                <w:u w:val="single"/>
              </w:rPr>
              <w:t xml:space="preserve">             </w:t>
            </w:r>
          </w:p>
        </w:tc>
        <w:tc>
          <w:tcPr>
            <w:tcW w:w="2215" w:type="dxa"/>
            <w:gridSpan w:val="3"/>
            <w:noWrap w:val="0"/>
            <w:tcMar>
              <w:top w:w="16" w:type="dxa"/>
              <w:left w:w="16" w:type="dxa"/>
              <w:right w:w="16" w:type="dxa"/>
            </w:tcMar>
            <w:vAlign w:val="center"/>
          </w:tcPr>
          <w:p w14:paraId="77CCE91D">
            <w:pPr>
              <w:adjustRightInd w:val="0"/>
              <w:snapToGrid w:val="0"/>
              <w:jc w:val="center"/>
              <w:rPr>
                <w:rFonts w:ascii="Times New Roman" w:hAnsi="Times New Roman"/>
                <w:color w:val="auto"/>
                <w:spacing w:val="-6"/>
                <w:sz w:val="24"/>
                <w:szCs w:val="24"/>
              </w:rPr>
            </w:pPr>
            <w:r>
              <w:rPr>
                <w:rFonts w:ascii="Times New Roman" w:hAnsi="Times New Roman"/>
                <w:color w:val="auto"/>
                <w:spacing w:val="-6"/>
                <w:sz w:val="24"/>
                <w:szCs w:val="24"/>
              </w:rPr>
              <w:t>用地（用海）</w:t>
            </w:r>
          </w:p>
          <w:p w14:paraId="4D058597">
            <w:pPr>
              <w:adjustRightInd w:val="0"/>
              <w:snapToGrid w:val="0"/>
              <w:jc w:val="center"/>
              <w:rPr>
                <w:rFonts w:ascii="Times New Roman" w:hAnsi="Times New Roman"/>
                <w:color w:val="auto"/>
                <w:sz w:val="24"/>
                <w:szCs w:val="24"/>
              </w:rPr>
            </w:pPr>
            <w:r>
              <w:rPr>
                <w:rFonts w:ascii="Times New Roman" w:hAnsi="Times New Roman"/>
                <w:color w:val="auto"/>
                <w:spacing w:val="-6"/>
                <w:sz w:val="24"/>
                <w:szCs w:val="24"/>
              </w:rPr>
              <w:t>面积（m</w:t>
            </w:r>
            <w:r>
              <w:rPr>
                <w:rFonts w:ascii="Times New Roman" w:hAnsi="Times New Roman"/>
                <w:color w:val="auto"/>
                <w:spacing w:val="-6"/>
                <w:sz w:val="24"/>
                <w:szCs w:val="24"/>
                <w:vertAlign w:val="superscript"/>
              </w:rPr>
              <w:t>2</w:t>
            </w:r>
            <w:r>
              <w:rPr>
                <w:rFonts w:ascii="Times New Roman" w:hAnsi="Times New Roman"/>
                <w:color w:val="auto"/>
                <w:spacing w:val="-6"/>
                <w:sz w:val="24"/>
                <w:szCs w:val="24"/>
              </w:rPr>
              <w:t>）</w:t>
            </w:r>
          </w:p>
        </w:tc>
        <w:tc>
          <w:tcPr>
            <w:tcW w:w="2639" w:type="dxa"/>
            <w:noWrap w:val="0"/>
            <w:vAlign w:val="center"/>
          </w:tcPr>
          <w:p w14:paraId="46636F88">
            <w:pPr>
              <w:adjustRightInd w:val="0"/>
              <w:snapToGrid w:val="0"/>
              <w:jc w:val="center"/>
              <w:rPr>
                <w:rFonts w:ascii="Times New Roman" w:hAnsi="Times New Roman"/>
                <w:color w:val="auto"/>
                <w:sz w:val="24"/>
                <w:szCs w:val="24"/>
              </w:rPr>
            </w:pPr>
            <w:r>
              <w:rPr>
                <w:rFonts w:hint="eastAsia"/>
                <w:color w:val="auto"/>
                <w:sz w:val="24"/>
                <w:szCs w:val="24"/>
                <w:highlight w:val="none"/>
                <w:lang w:val="en-US" w:eastAsia="zh-CN"/>
              </w:rPr>
              <w:t>3826</w:t>
            </w:r>
            <w:r>
              <w:rPr>
                <w:rFonts w:ascii="Times New Roman" w:hAnsi="Times New Roman"/>
                <w:color w:val="auto"/>
                <w:sz w:val="24"/>
                <w:szCs w:val="24"/>
                <w:highlight w:val="none"/>
              </w:rPr>
              <w:t>㎡</w:t>
            </w:r>
          </w:p>
        </w:tc>
      </w:tr>
      <w:tr w14:paraId="53F40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1715" w:type="dxa"/>
            <w:noWrap w:val="0"/>
            <w:vAlign w:val="center"/>
          </w:tcPr>
          <w:p w14:paraId="1B89A9AB">
            <w:pPr>
              <w:autoSpaceDE w:val="0"/>
              <w:autoSpaceDN w:val="0"/>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专项评价设置情况</w:t>
            </w:r>
          </w:p>
        </w:tc>
        <w:tc>
          <w:tcPr>
            <w:tcW w:w="7156" w:type="dxa"/>
            <w:gridSpan w:val="5"/>
            <w:noWrap w:val="0"/>
            <w:vAlign w:val="center"/>
          </w:tcPr>
          <w:p w14:paraId="02B43110">
            <w:pPr>
              <w:pStyle w:val="206"/>
              <w:widowControl w:val="0"/>
              <w:autoSpaceDE/>
              <w:autoSpaceDN/>
              <w:ind w:firstLine="424"/>
              <w:jc w:val="both"/>
              <w:rPr>
                <w:rFonts w:ascii="Times New Roman" w:hAnsi="Times New Roman" w:cs="Times New Roman"/>
                <w:color w:val="auto"/>
                <w:sz w:val="24"/>
                <w:lang w:eastAsia="zh-CN"/>
              </w:rPr>
            </w:pPr>
            <w:r>
              <w:rPr>
                <w:rFonts w:ascii="Times New Roman" w:hAnsi="Times New Roman" w:cs="Times New Roman"/>
                <w:color w:val="auto"/>
                <w:spacing w:val="-14"/>
                <w:sz w:val="24"/>
                <w:lang w:eastAsia="zh-CN"/>
              </w:rPr>
              <w:t>根据《建设项目环境影响报告表编制技术指南</w:t>
            </w:r>
            <w:r>
              <w:rPr>
                <w:rFonts w:ascii="Times New Roman" w:hAnsi="Times New Roman" w:cs="Times New Roman"/>
                <w:color w:val="auto"/>
                <w:sz w:val="24"/>
                <w:lang w:eastAsia="zh-CN"/>
              </w:rPr>
              <w:t>（污染影响类</w:t>
            </w:r>
            <w:r>
              <w:rPr>
                <w:rFonts w:ascii="Times New Roman" w:hAnsi="Times New Roman" w:cs="Times New Roman"/>
                <w:color w:val="auto"/>
                <w:spacing w:val="-156"/>
                <w:sz w:val="24"/>
                <w:lang w:eastAsia="zh-CN"/>
              </w:rPr>
              <w:t>）</w:t>
            </w:r>
            <w:r>
              <w:rPr>
                <w:rFonts w:ascii="Times New Roman" w:hAnsi="Times New Roman" w:cs="Times New Roman"/>
                <w:color w:val="auto"/>
                <w:sz w:val="24"/>
                <w:lang w:eastAsia="zh-CN"/>
              </w:rPr>
              <w:t>（</w:t>
            </w:r>
            <w:r>
              <w:rPr>
                <w:rFonts w:ascii="Times New Roman" w:hAnsi="Times New Roman" w:cs="Times New Roman"/>
                <w:color w:val="auto"/>
                <w:spacing w:val="-16"/>
                <w:sz w:val="24"/>
                <w:lang w:eastAsia="zh-CN"/>
              </w:rPr>
              <w:t>试</w:t>
            </w:r>
            <w:r>
              <w:rPr>
                <w:rFonts w:ascii="Times New Roman" w:hAnsi="Times New Roman" w:cs="Times New Roman"/>
                <w:color w:val="auto"/>
                <w:sz w:val="24"/>
                <w:lang w:eastAsia="zh-CN"/>
              </w:rPr>
              <w:t>行</w:t>
            </w:r>
            <w:r>
              <w:rPr>
                <w:rFonts w:ascii="Times New Roman" w:hAnsi="Times New Roman" w:cs="Times New Roman"/>
                <w:color w:val="auto"/>
                <w:spacing w:val="-27"/>
                <w:sz w:val="24"/>
                <w:lang w:eastAsia="zh-CN"/>
              </w:rPr>
              <w:t>）</w:t>
            </w:r>
            <w:r>
              <w:rPr>
                <w:rFonts w:ascii="Times New Roman" w:hAnsi="Times New Roman" w:cs="Times New Roman"/>
                <w:color w:val="auto"/>
                <w:spacing w:val="-30"/>
                <w:sz w:val="24"/>
                <w:lang w:eastAsia="zh-CN"/>
              </w:rPr>
              <w:t>》表</w:t>
            </w:r>
            <w:r>
              <w:rPr>
                <w:rFonts w:ascii="Times New Roman" w:hAnsi="Times New Roman" w:eastAsia="Times New Roman" w:cs="Times New Roman"/>
                <w:color w:val="auto"/>
                <w:sz w:val="24"/>
                <w:lang w:eastAsia="zh-CN"/>
              </w:rPr>
              <w:t>1</w:t>
            </w:r>
            <w:r>
              <w:rPr>
                <w:rFonts w:ascii="Times New Roman" w:hAnsi="Times New Roman" w:cs="Times New Roman"/>
                <w:color w:val="auto"/>
                <w:spacing w:val="-4"/>
                <w:sz w:val="24"/>
                <w:lang w:eastAsia="zh-CN"/>
              </w:rPr>
              <w:t>专项评价设置原则表，本项目的专项评价设置情况具体见</w:t>
            </w:r>
            <w:r>
              <w:rPr>
                <w:rFonts w:ascii="Times New Roman" w:hAnsi="Times New Roman" w:cs="Times New Roman"/>
                <w:color w:val="auto"/>
                <w:spacing w:val="-30"/>
                <w:sz w:val="24"/>
                <w:lang w:eastAsia="zh-CN"/>
              </w:rPr>
              <w:t>表</w:t>
            </w:r>
            <w:r>
              <w:rPr>
                <w:rFonts w:ascii="Times New Roman" w:hAnsi="Times New Roman" w:cs="Times New Roman"/>
                <w:color w:val="auto"/>
                <w:sz w:val="24"/>
                <w:lang w:eastAsia="zh-CN"/>
              </w:rPr>
              <w:t>1.1-1。</w:t>
            </w:r>
          </w:p>
          <w:p w14:paraId="09669AB3">
            <w:pPr>
              <w:pStyle w:val="207"/>
              <w:bidi w:val="0"/>
              <w:ind w:left="1582" w:leftChars="0" w:hanging="1582" w:firstLineChars="0"/>
              <w:rPr>
                <w:color w:val="auto"/>
              </w:rPr>
            </w:pPr>
            <w:r>
              <w:rPr>
                <w:color w:val="auto"/>
              </w:rPr>
              <w:t>项目专项评价设置表</w:t>
            </w:r>
          </w:p>
          <w:tbl>
            <w:tblPr>
              <w:tblStyle w:val="2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039"/>
              <w:gridCol w:w="1642"/>
              <w:gridCol w:w="1059"/>
            </w:tblGrid>
            <w:tr w14:paraId="078787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2" w:type="pct"/>
                  <w:noWrap w:val="0"/>
                  <w:vAlign w:val="center"/>
                </w:tcPr>
                <w:p w14:paraId="3117B2D8">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zh-CN" w:eastAsia="zh-CN" w:bidi="zh-CN"/>
                    </w:rPr>
                  </w:pPr>
                  <w:r>
                    <w:rPr>
                      <w:rFonts w:ascii="Times New Roman" w:hAnsi="Times New Roman" w:cs="Times New Roman"/>
                      <w:color w:val="auto"/>
                      <w:sz w:val="21"/>
                      <w:szCs w:val="21"/>
                    </w:rPr>
                    <w:t>专项评价的类别</w:t>
                  </w:r>
                </w:p>
              </w:tc>
              <w:tc>
                <w:tcPr>
                  <w:tcW w:w="2190" w:type="pct"/>
                  <w:noWrap w:val="0"/>
                  <w:vAlign w:val="center"/>
                </w:tcPr>
                <w:p w14:paraId="2FC78E13">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zh-CN" w:eastAsia="zh-CN" w:bidi="zh-CN"/>
                    </w:rPr>
                  </w:pPr>
                  <w:r>
                    <w:rPr>
                      <w:rFonts w:ascii="Times New Roman" w:hAnsi="Times New Roman" w:cs="Times New Roman"/>
                      <w:color w:val="auto"/>
                      <w:sz w:val="21"/>
                      <w:szCs w:val="21"/>
                    </w:rPr>
                    <w:t>设置原则</w:t>
                  </w:r>
                </w:p>
              </w:tc>
              <w:tc>
                <w:tcPr>
                  <w:tcW w:w="1183" w:type="pct"/>
                  <w:noWrap w:val="0"/>
                  <w:vAlign w:val="center"/>
                </w:tcPr>
                <w:p w14:paraId="63679E23">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zh-CN" w:eastAsia="zh-CN" w:bidi="zh-CN"/>
                    </w:rPr>
                  </w:pPr>
                  <w:r>
                    <w:rPr>
                      <w:rFonts w:ascii="Times New Roman" w:hAnsi="Times New Roman" w:cs="Times New Roman"/>
                      <w:color w:val="auto"/>
                      <w:sz w:val="21"/>
                      <w:szCs w:val="21"/>
                    </w:rPr>
                    <w:t>本项目情况</w:t>
                  </w:r>
                </w:p>
              </w:tc>
              <w:tc>
                <w:tcPr>
                  <w:tcW w:w="763" w:type="pct"/>
                  <w:noWrap w:val="0"/>
                  <w:vAlign w:val="center"/>
                </w:tcPr>
                <w:p w14:paraId="5A7231E3">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rPr>
                    <w:t>是否设置专项</w:t>
                  </w:r>
                </w:p>
              </w:tc>
            </w:tr>
            <w:tr w14:paraId="678957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noWrap w:val="0"/>
                  <w:vAlign w:val="center"/>
                </w:tcPr>
                <w:p w14:paraId="035F3F2A">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zh-CN" w:eastAsia="zh-CN" w:bidi="zh-CN"/>
                    </w:rPr>
                  </w:pPr>
                  <w:r>
                    <w:rPr>
                      <w:rFonts w:ascii="Times New Roman" w:hAnsi="Times New Roman" w:cs="Times New Roman"/>
                      <w:color w:val="auto"/>
                      <w:sz w:val="21"/>
                      <w:szCs w:val="21"/>
                    </w:rPr>
                    <w:t>大气</w:t>
                  </w:r>
                </w:p>
              </w:tc>
              <w:tc>
                <w:tcPr>
                  <w:tcW w:w="2190" w:type="pct"/>
                  <w:noWrap w:val="0"/>
                  <w:vAlign w:val="center"/>
                </w:tcPr>
                <w:p w14:paraId="23B0BC33">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eastAsia="zh-CN"/>
                    </w:rPr>
                    <w:t>排放废气含有毒有害污染物、二噁英、苯并[a]芘、氰化物、氯气且厂界外500米范围内有环境空气保护目标的建设项目</w:t>
                  </w:r>
                </w:p>
              </w:tc>
              <w:tc>
                <w:tcPr>
                  <w:tcW w:w="1183" w:type="pct"/>
                  <w:noWrap w:val="0"/>
                  <w:vAlign w:val="center"/>
                </w:tcPr>
                <w:p w14:paraId="2D280D65">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rPr>
                    <w:t>本项目不排放含有毒有害污染物、二噁英苯并[a]芘、氰化物、氯气</w:t>
                  </w:r>
                </w:p>
              </w:tc>
              <w:tc>
                <w:tcPr>
                  <w:tcW w:w="763" w:type="pct"/>
                  <w:noWrap w:val="0"/>
                  <w:vAlign w:val="center"/>
                </w:tcPr>
                <w:p w14:paraId="47AE9203">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color w:val="auto"/>
                      <w:sz w:val="21"/>
                      <w:szCs w:val="21"/>
                      <w:lang w:val="zh-CN" w:eastAsia="zh-CN"/>
                    </w:rPr>
                  </w:pPr>
                  <w:r>
                    <w:rPr>
                      <w:rFonts w:ascii="Times New Roman" w:hAnsi="Times New Roman" w:cs="Times New Roman"/>
                      <w:color w:val="auto"/>
                      <w:sz w:val="21"/>
                      <w:szCs w:val="21"/>
                      <w:lang w:eastAsia="zh-CN"/>
                    </w:rPr>
                    <w:t>否</w:t>
                  </w:r>
                </w:p>
              </w:tc>
            </w:tr>
            <w:tr w14:paraId="4E822C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62" w:type="pct"/>
                  <w:noWrap w:val="0"/>
                  <w:vAlign w:val="center"/>
                </w:tcPr>
                <w:p w14:paraId="592E6C1A">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zh-CN" w:eastAsia="zh-CN" w:bidi="zh-CN"/>
                    </w:rPr>
                  </w:pPr>
                  <w:r>
                    <w:rPr>
                      <w:rFonts w:ascii="Times New Roman" w:hAnsi="Times New Roman" w:cs="Times New Roman"/>
                      <w:color w:val="auto"/>
                      <w:sz w:val="21"/>
                      <w:szCs w:val="21"/>
                    </w:rPr>
                    <w:t>地表水</w:t>
                  </w:r>
                </w:p>
              </w:tc>
              <w:tc>
                <w:tcPr>
                  <w:tcW w:w="2190" w:type="pct"/>
                  <w:noWrap w:val="0"/>
                  <w:vAlign w:val="center"/>
                </w:tcPr>
                <w:p w14:paraId="6992B69C">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eastAsia="zh-CN"/>
                    </w:rPr>
                    <w:t>新增工业废水直排建设项目（槽罐车外送污水处理厂的除外）；新增废水直排的污水集中处理厂</w:t>
                  </w:r>
                </w:p>
              </w:tc>
              <w:tc>
                <w:tcPr>
                  <w:tcW w:w="1183" w:type="pct"/>
                  <w:noWrap w:val="0"/>
                  <w:vAlign w:val="center"/>
                </w:tcPr>
                <w:p w14:paraId="68FBAFF5">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val="zh-CN" w:eastAsia="zh-CN"/>
                    </w:rPr>
                    <w:t>不属于工业废水直排项目</w:t>
                  </w:r>
                </w:p>
              </w:tc>
              <w:tc>
                <w:tcPr>
                  <w:tcW w:w="763" w:type="pct"/>
                  <w:noWrap w:val="0"/>
                  <w:vAlign w:val="center"/>
                </w:tcPr>
                <w:p w14:paraId="17E163AE">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w w:val="99"/>
                      <w:sz w:val="21"/>
                      <w:szCs w:val="21"/>
                      <w:lang w:val="zh-CN" w:eastAsia="zh-CN"/>
                    </w:rPr>
                  </w:pPr>
                  <w:r>
                    <w:rPr>
                      <w:rFonts w:ascii="Times New Roman" w:hAnsi="Times New Roman" w:cs="Times New Roman"/>
                      <w:color w:val="auto"/>
                      <w:sz w:val="21"/>
                      <w:szCs w:val="21"/>
                      <w:lang w:eastAsia="zh-CN"/>
                    </w:rPr>
                    <w:t>否</w:t>
                  </w:r>
                </w:p>
              </w:tc>
            </w:tr>
            <w:tr w14:paraId="506A52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noWrap w:val="0"/>
                  <w:vAlign w:val="center"/>
                </w:tcPr>
                <w:p w14:paraId="1178B366">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zh-CN" w:eastAsia="zh-CN" w:bidi="zh-CN"/>
                    </w:rPr>
                  </w:pPr>
                  <w:r>
                    <w:rPr>
                      <w:rFonts w:ascii="Times New Roman" w:hAnsi="Times New Roman" w:cs="Times New Roman"/>
                      <w:color w:val="auto"/>
                      <w:sz w:val="21"/>
                      <w:szCs w:val="21"/>
                    </w:rPr>
                    <w:t>环境风险</w:t>
                  </w:r>
                </w:p>
              </w:tc>
              <w:tc>
                <w:tcPr>
                  <w:tcW w:w="2190" w:type="pct"/>
                  <w:noWrap w:val="0"/>
                  <w:vAlign w:val="center"/>
                </w:tcPr>
                <w:p w14:paraId="1F1318C3">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eastAsia="zh-CN"/>
                    </w:rPr>
                    <w:t>有毒有害和易燃易爆危险物质存储量超过临界量的建设项目</w:t>
                  </w:r>
                </w:p>
              </w:tc>
              <w:tc>
                <w:tcPr>
                  <w:tcW w:w="1183" w:type="pct"/>
                  <w:noWrap w:val="0"/>
                  <w:vAlign w:val="center"/>
                </w:tcPr>
                <w:p w14:paraId="3A946D06">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eastAsia="zh-CN"/>
                    </w:rPr>
                  </w:pPr>
                  <w:r>
                    <w:rPr>
                      <w:rFonts w:ascii="Times New Roman" w:hAnsi="Times New Roman" w:cs="Times New Roman"/>
                      <w:color w:val="auto"/>
                      <w:sz w:val="21"/>
                      <w:szCs w:val="21"/>
                    </w:rPr>
                    <w:t>本项目</w:t>
                  </w:r>
                  <w:r>
                    <w:rPr>
                      <w:rFonts w:ascii="Times New Roman" w:hAnsi="Times New Roman" w:cs="Times New Roman"/>
                      <w:color w:val="auto"/>
                      <w:sz w:val="21"/>
                      <w:szCs w:val="21"/>
                      <w:lang w:eastAsia="zh-CN"/>
                    </w:rPr>
                    <w:t>危险物质存储量</w:t>
                  </w:r>
                  <w:r>
                    <w:rPr>
                      <w:rFonts w:hint="eastAsia" w:ascii="Times New Roman" w:hAnsi="Times New Roman" w:cs="Times New Roman"/>
                      <w:color w:val="auto"/>
                      <w:sz w:val="21"/>
                      <w:szCs w:val="21"/>
                      <w:lang w:val="en-US" w:eastAsia="zh-CN"/>
                    </w:rPr>
                    <w:t>未</w:t>
                  </w:r>
                  <w:r>
                    <w:rPr>
                      <w:rFonts w:ascii="Times New Roman" w:hAnsi="Times New Roman" w:cs="Times New Roman"/>
                      <w:color w:val="auto"/>
                      <w:sz w:val="21"/>
                      <w:szCs w:val="21"/>
                      <w:lang w:eastAsia="zh-CN"/>
                    </w:rPr>
                    <w:t>超过临界量</w:t>
                  </w:r>
                </w:p>
              </w:tc>
              <w:tc>
                <w:tcPr>
                  <w:tcW w:w="763" w:type="pct"/>
                  <w:noWrap w:val="0"/>
                  <w:vAlign w:val="center"/>
                </w:tcPr>
                <w:p w14:paraId="285C7819">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zh-CN" w:eastAsia="zh-CN" w:bidi="zh-CN"/>
                    </w:rPr>
                  </w:pPr>
                  <w:r>
                    <w:rPr>
                      <w:rFonts w:ascii="Times New Roman" w:hAnsi="Times New Roman" w:cs="Times New Roman"/>
                      <w:color w:val="auto"/>
                      <w:sz w:val="21"/>
                      <w:szCs w:val="21"/>
                      <w:lang w:eastAsia="zh-CN"/>
                    </w:rPr>
                    <w:t>否</w:t>
                  </w:r>
                </w:p>
              </w:tc>
            </w:tr>
            <w:tr w14:paraId="60D6AE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noWrap w:val="0"/>
                  <w:vAlign w:val="center"/>
                </w:tcPr>
                <w:p w14:paraId="292722B2">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zh-CN" w:eastAsia="zh-CN" w:bidi="zh-CN"/>
                    </w:rPr>
                  </w:pPr>
                  <w:r>
                    <w:rPr>
                      <w:rFonts w:ascii="Times New Roman" w:hAnsi="Times New Roman" w:cs="Times New Roman"/>
                      <w:color w:val="auto"/>
                      <w:sz w:val="21"/>
                      <w:szCs w:val="21"/>
                    </w:rPr>
                    <w:t>生态</w:t>
                  </w:r>
                </w:p>
              </w:tc>
              <w:tc>
                <w:tcPr>
                  <w:tcW w:w="2190" w:type="pct"/>
                  <w:noWrap w:val="0"/>
                  <w:vAlign w:val="center"/>
                </w:tcPr>
                <w:p w14:paraId="6F189B52">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eastAsia="zh-CN"/>
                    </w:rPr>
                    <w:t>取水口下游500米范围内有重要水生生物的自然产卵场、索饵场、越冬场和洄游通道的新增河道取水的污染类建设项目</w:t>
                  </w:r>
                </w:p>
              </w:tc>
              <w:tc>
                <w:tcPr>
                  <w:tcW w:w="1183" w:type="pct"/>
                  <w:noWrap w:val="0"/>
                  <w:vAlign w:val="center"/>
                </w:tcPr>
                <w:p w14:paraId="2AD7955B">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eastAsia="zh-CN"/>
                    </w:rPr>
                    <w:t>本项目不设置河道取水口</w:t>
                  </w:r>
                </w:p>
              </w:tc>
              <w:tc>
                <w:tcPr>
                  <w:tcW w:w="763" w:type="pct"/>
                  <w:noWrap w:val="0"/>
                  <w:vAlign w:val="center"/>
                </w:tcPr>
                <w:p w14:paraId="354F3E69">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eastAsia="zh-CN"/>
                    </w:rPr>
                    <w:t>否</w:t>
                  </w:r>
                </w:p>
              </w:tc>
            </w:tr>
            <w:tr w14:paraId="18DE48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noWrap w:val="0"/>
                  <w:vAlign w:val="center"/>
                </w:tcPr>
                <w:p w14:paraId="549C8419">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kern w:val="2"/>
                      <w:sz w:val="21"/>
                      <w:szCs w:val="21"/>
                      <w:lang w:val="zh-CN" w:eastAsia="zh-CN" w:bidi="zh-CN"/>
                    </w:rPr>
                  </w:pPr>
                  <w:r>
                    <w:rPr>
                      <w:rFonts w:ascii="Times New Roman" w:hAnsi="Times New Roman" w:cs="Times New Roman"/>
                      <w:color w:val="auto"/>
                      <w:sz w:val="21"/>
                      <w:szCs w:val="21"/>
                    </w:rPr>
                    <w:t>海洋</w:t>
                  </w:r>
                </w:p>
              </w:tc>
              <w:tc>
                <w:tcPr>
                  <w:tcW w:w="2190" w:type="pct"/>
                  <w:noWrap w:val="0"/>
                  <w:vAlign w:val="center"/>
                </w:tcPr>
                <w:p w14:paraId="778D0DF8">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eastAsia="zh-CN"/>
                    </w:rPr>
                    <w:t>直接向海排放污染物的海洋工程建设项目</w:t>
                  </w:r>
                </w:p>
              </w:tc>
              <w:tc>
                <w:tcPr>
                  <w:tcW w:w="1183" w:type="pct"/>
                  <w:noWrap w:val="0"/>
                  <w:vAlign w:val="center"/>
                </w:tcPr>
                <w:p w14:paraId="6FB29FAC">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eastAsia="zh-CN"/>
                    </w:rPr>
                    <w:t>本项目不属于海洋工程</w:t>
                  </w:r>
                </w:p>
              </w:tc>
              <w:tc>
                <w:tcPr>
                  <w:tcW w:w="763" w:type="pct"/>
                  <w:noWrap w:val="0"/>
                  <w:vAlign w:val="center"/>
                </w:tcPr>
                <w:p w14:paraId="272860F9">
                  <w:pPr>
                    <w:pStyle w:val="20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lang w:val="zh-CN" w:eastAsia="zh-CN"/>
                    </w:rPr>
                  </w:pPr>
                  <w:r>
                    <w:rPr>
                      <w:rFonts w:ascii="Times New Roman" w:hAnsi="Times New Roman" w:cs="Times New Roman"/>
                      <w:color w:val="auto"/>
                      <w:sz w:val="21"/>
                      <w:szCs w:val="21"/>
                      <w:lang w:eastAsia="zh-CN"/>
                    </w:rPr>
                    <w:t>否</w:t>
                  </w:r>
                </w:p>
              </w:tc>
            </w:tr>
          </w:tbl>
          <w:p w14:paraId="174FAA7B">
            <w:pPr>
              <w:autoSpaceDE w:val="0"/>
              <w:autoSpaceDN w:val="0"/>
              <w:adjustRightInd w:val="0"/>
              <w:snapToGrid w:val="0"/>
              <w:jc w:val="both"/>
              <w:rPr>
                <w:rFonts w:ascii="Times New Roman" w:hAnsi="Times New Roman"/>
                <w:color w:val="auto"/>
                <w:kern w:val="0"/>
                <w:sz w:val="24"/>
                <w:szCs w:val="24"/>
              </w:rPr>
            </w:pPr>
            <w:r>
              <w:rPr>
                <w:color w:val="auto"/>
                <w:sz w:val="24"/>
              </w:rPr>
              <w:t>由上表可知，本项目</w:t>
            </w:r>
            <w:r>
              <w:rPr>
                <w:rFonts w:hint="eastAsia"/>
                <w:color w:val="auto"/>
                <w:sz w:val="24"/>
                <w:lang w:eastAsia="zh-CN"/>
              </w:rPr>
              <w:t>无须设置</w:t>
            </w:r>
            <w:r>
              <w:rPr>
                <w:color w:val="auto"/>
                <w:sz w:val="24"/>
              </w:rPr>
              <w:t>专项评价。</w:t>
            </w:r>
          </w:p>
        </w:tc>
      </w:tr>
      <w:tr w14:paraId="58B16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15" w:type="dxa"/>
            <w:noWrap w:val="0"/>
            <w:vAlign w:val="center"/>
          </w:tcPr>
          <w:p w14:paraId="3F68ED8D">
            <w:pPr>
              <w:autoSpaceDE w:val="0"/>
              <w:autoSpaceDN w:val="0"/>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规划情况</w:t>
            </w:r>
          </w:p>
        </w:tc>
        <w:tc>
          <w:tcPr>
            <w:tcW w:w="7156" w:type="dxa"/>
            <w:gridSpan w:val="5"/>
            <w:noWrap w:val="0"/>
            <w:vAlign w:val="center"/>
          </w:tcPr>
          <w:p w14:paraId="6F289D70">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Times New Roman" w:hAnsi="Times New Roman"/>
                <w:color w:val="auto"/>
                <w:kern w:val="0"/>
                <w:sz w:val="24"/>
                <w:szCs w:val="24"/>
                <w:lang w:val="en-US" w:eastAsia="zh-CN"/>
              </w:rPr>
            </w:pPr>
            <w:r>
              <w:rPr>
                <w:rFonts w:hint="eastAsia"/>
                <w:color w:val="auto"/>
                <w:kern w:val="0"/>
                <w:sz w:val="24"/>
                <w:szCs w:val="24"/>
                <w:lang w:val="en-US" w:eastAsia="zh-CN"/>
              </w:rPr>
              <w:t>无</w:t>
            </w:r>
          </w:p>
        </w:tc>
      </w:tr>
      <w:tr w14:paraId="465A2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5" w:type="dxa"/>
            <w:noWrap w:val="0"/>
            <w:vAlign w:val="center"/>
          </w:tcPr>
          <w:p w14:paraId="21ECBC76">
            <w:pPr>
              <w:autoSpaceDE w:val="0"/>
              <w:autoSpaceDN w:val="0"/>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规划环境影响</w:t>
            </w:r>
          </w:p>
          <w:p w14:paraId="7F1872C2">
            <w:pPr>
              <w:autoSpaceDE w:val="0"/>
              <w:autoSpaceDN w:val="0"/>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评价情况</w:t>
            </w:r>
          </w:p>
        </w:tc>
        <w:tc>
          <w:tcPr>
            <w:tcW w:w="7156" w:type="dxa"/>
            <w:gridSpan w:val="5"/>
            <w:noWrap w:val="0"/>
            <w:vAlign w:val="center"/>
          </w:tcPr>
          <w:p w14:paraId="0DA0CDB9">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color w:val="auto"/>
                <w:kern w:val="0"/>
                <w:sz w:val="24"/>
                <w:szCs w:val="24"/>
                <w:lang w:val="en-US" w:eastAsia="zh-CN"/>
              </w:rPr>
            </w:pPr>
            <w:r>
              <w:rPr>
                <w:rFonts w:hint="eastAsia"/>
                <w:color w:val="auto"/>
                <w:kern w:val="0"/>
                <w:sz w:val="24"/>
                <w:szCs w:val="24"/>
                <w:lang w:val="en-US" w:eastAsia="zh-CN"/>
              </w:rPr>
              <w:t>无</w:t>
            </w:r>
          </w:p>
        </w:tc>
      </w:tr>
      <w:tr w14:paraId="425B2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15" w:type="dxa"/>
            <w:noWrap w:val="0"/>
            <w:vAlign w:val="center"/>
          </w:tcPr>
          <w:p w14:paraId="525AE50A">
            <w:pPr>
              <w:autoSpaceDE w:val="0"/>
              <w:autoSpaceDN w:val="0"/>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规划及规划环境影响评价符合性分析</w:t>
            </w:r>
          </w:p>
        </w:tc>
        <w:tc>
          <w:tcPr>
            <w:tcW w:w="7156" w:type="dxa"/>
            <w:gridSpan w:val="5"/>
            <w:noWrap w:val="0"/>
            <w:vAlign w:val="center"/>
          </w:tcPr>
          <w:p w14:paraId="707827D0">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color w:val="auto"/>
                <w:kern w:val="0"/>
                <w:sz w:val="24"/>
                <w:szCs w:val="24"/>
                <w:lang w:val="en-US" w:eastAsia="zh-CN"/>
              </w:rPr>
            </w:pPr>
            <w:r>
              <w:rPr>
                <w:rFonts w:hint="eastAsia"/>
                <w:color w:val="auto"/>
                <w:kern w:val="0"/>
                <w:sz w:val="24"/>
                <w:szCs w:val="24"/>
                <w:lang w:val="en-US" w:eastAsia="zh-CN"/>
              </w:rPr>
              <w:t>无</w:t>
            </w:r>
          </w:p>
        </w:tc>
      </w:tr>
      <w:tr w14:paraId="03AF4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1715" w:type="dxa"/>
            <w:noWrap w:val="0"/>
            <w:vAlign w:val="center"/>
          </w:tcPr>
          <w:p w14:paraId="6E1CE4ED">
            <w:pPr>
              <w:autoSpaceDE w:val="0"/>
              <w:autoSpaceDN w:val="0"/>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其他符合性分析</w:t>
            </w:r>
          </w:p>
        </w:tc>
        <w:tc>
          <w:tcPr>
            <w:tcW w:w="7156" w:type="dxa"/>
            <w:gridSpan w:val="5"/>
            <w:noWrap w:val="0"/>
            <w:vAlign w:val="center"/>
          </w:tcPr>
          <w:p w14:paraId="3EB6BF88">
            <w:pPr>
              <w:pStyle w:val="141"/>
              <w:rPr>
                <w:rFonts w:ascii="Times New Roman" w:hAnsi="Times New Roman" w:eastAsia="宋体" w:cs="Times New Roman"/>
                <w:b/>
                <w:bCs/>
                <w:color w:val="auto"/>
              </w:rPr>
            </w:pPr>
            <w:r>
              <w:rPr>
                <w:rFonts w:ascii="Times New Roman" w:hAnsi="Times New Roman" w:eastAsia="宋体" w:cs="Times New Roman"/>
                <w:b/>
                <w:bCs/>
                <w:color w:val="auto"/>
              </w:rPr>
              <w:t>1</w:t>
            </w:r>
            <w:r>
              <w:rPr>
                <w:rFonts w:hint="eastAsia" w:ascii="Times New Roman" w:hAnsi="Times New Roman" w:eastAsia="宋体" w:cs="Times New Roman"/>
                <w:b/>
                <w:bCs/>
                <w:color w:val="auto"/>
                <w:lang w:val="en-US" w:eastAsia="zh-CN"/>
              </w:rPr>
              <w:t>.</w:t>
            </w:r>
            <w:r>
              <w:rPr>
                <w:rFonts w:hint="eastAsia" w:cs="Times New Roman"/>
                <w:b/>
                <w:bCs/>
                <w:color w:val="auto"/>
                <w:lang w:val="en-US" w:eastAsia="zh-CN"/>
              </w:rPr>
              <w:t>1</w:t>
            </w:r>
            <w:r>
              <w:rPr>
                <w:rFonts w:ascii="Times New Roman" w:hAnsi="Times New Roman" w:eastAsia="宋体" w:cs="Times New Roman"/>
                <w:b/>
                <w:bCs/>
                <w:color w:val="auto"/>
              </w:rPr>
              <w:t>、选址符合性分析</w:t>
            </w:r>
          </w:p>
          <w:p w14:paraId="389FD41D">
            <w:pPr>
              <w:autoSpaceDE w:val="0"/>
              <w:autoSpaceDN w:val="0"/>
              <w:adjustRightInd w:val="0"/>
              <w:snapToGrid w:val="0"/>
              <w:spacing w:line="360" w:lineRule="auto"/>
              <w:ind w:firstLine="480" w:firstLineChars="200"/>
              <w:jc w:val="left"/>
              <w:rPr>
                <w:rFonts w:ascii="Times New Roman" w:hAnsi="Times New Roman"/>
                <w:color w:val="auto"/>
                <w:kern w:val="0"/>
                <w:sz w:val="24"/>
                <w:szCs w:val="24"/>
              </w:rPr>
            </w:pPr>
            <w:r>
              <w:rPr>
                <w:rFonts w:hint="eastAsia" w:ascii="宋体" w:hAnsi="宋体" w:cs="宋体"/>
                <w:color w:val="auto"/>
                <w:kern w:val="0"/>
                <w:sz w:val="24"/>
                <w:szCs w:val="24"/>
              </w:rPr>
              <w:t>①</w:t>
            </w:r>
            <w:r>
              <w:rPr>
                <w:rFonts w:ascii="Times New Roman" w:hAnsi="Times New Roman"/>
                <w:color w:val="auto"/>
                <w:kern w:val="0"/>
                <w:sz w:val="24"/>
                <w:szCs w:val="24"/>
              </w:rPr>
              <w:t>土地利用符合性</w:t>
            </w:r>
          </w:p>
          <w:p w14:paraId="6BB7625D">
            <w:pPr>
              <w:autoSpaceDE w:val="0"/>
              <w:autoSpaceDN w:val="0"/>
              <w:adjustRightInd w:val="0"/>
              <w:snapToGrid w:val="0"/>
              <w:spacing w:line="360" w:lineRule="auto"/>
              <w:ind w:firstLine="480" w:firstLineChars="200"/>
              <w:jc w:val="left"/>
              <w:rPr>
                <w:rFonts w:ascii="Times New Roman" w:hAnsi="Times New Roman"/>
                <w:color w:val="auto"/>
                <w:kern w:val="0"/>
                <w:sz w:val="24"/>
                <w:szCs w:val="24"/>
              </w:rPr>
            </w:pPr>
            <w:r>
              <w:rPr>
                <w:rFonts w:ascii="Times New Roman" w:hAnsi="Times New Roman"/>
                <w:color w:val="auto"/>
                <w:kern w:val="0"/>
                <w:sz w:val="24"/>
                <w:szCs w:val="24"/>
              </w:rPr>
              <w:t>项目选址于</w:t>
            </w:r>
            <w:r>
              <w:rPr>
                <w:rFonts w:hint="eastAsia"/>
                <w:color w:val="auto"/>
                <w:kern w:val="0"/>
                <w:sz w:val="24"/>
                <w:szCs w:val="24"/>
                <w:lang w:eastAsia="zh-CN"/>
              </w:rPr>
              <w:t>福建省福鼎市前岐镇照澜村罗六36号</w:t>
            </w:r>
            <w:r>
              <w:rPr>
                <w:rFonts w:ascii="Times New Roman" w:hAnsi="Times New Roman"/>
                <w:color w:val="auto"/>
                <w:kern w:val="0"/>
                <w:sz w:val="24"/>
                <w:szCs w:val="24"/>
              </w:rPr>
              <w:t>，</w:t>
            </w:r>
            <w:r>
              <w:rPr>
                <w:rFonts w:hint="eastAsia"/>
                <w:color w:val="auto"/>
                <w:sz w:val="24"/>
                <w:szCs w:val="24"/>
                <w:lang w:val="en-US" w:eastAsia="zh-CN"/>
              </w:rPr>
              <w:t>租赁福鼎市福阳溶剂有限公司现有厂房</w:t>
            </w:r>
            <w:r>
              <w:rPr>
                <w:rFonts w:hint="eastAsia" w:ascii="Times New Roman" w:hAnsi="Times New Roman"/>
                <w:color w:val="auto"/>
                <w:kern w:val="0"/>
                <w:sz w:val="24"/>
                <w:szCs w:val="24"/>
                <w:lang w:val="en-US" w:eastAsia="zh-CN"/>
              </w:rPr>
              <w:t>进行生产</w:t>
            </w:r>
            <w:r>
              <w:rPr>
                <w:rFonts w:ascii="Times New Roman" w:hAnsi="Times New Roman"/>
                <w:color w:val="auto"/>
                <w:kern w:val="0"/>
                <w:sz w:val="24"/>
                <w:szCs w:val="24"/>
              </w:rPr>
              <w:t>；</w:t>
            </w:r>
            <w:r>
              <w:rPr>
                <w:rFonts w:hint="eastAsia" w:ascii="Times New Roman" w:hAnsi="Times New Roman"/>
                <w:color w:val="auto"/>
                <w:kern w:val="0"/>
                <w:sz w:val="24"/>
                <w:szCs w:val="24"/>
                <w:lang w:val="en-US" w:eastAsia="zh-CN"/>
              </w:rPr>
              <w:t>根据</w:t>
            </w:r>
            <w:r>
              <w:rPr>
                <w:rFonts w:hint="eastAsia"/>
                <w:color w:val="auto"/>
                <w:kern w:val="0"/>
                <w:sz w:val="24"/>
                <w:szCs w:val="24"/>
                <w:lang w:val="en-US" w:eastAsia="zh-CN"/>
              </w:rPr>
              <w:t>用地证明</w:t>
            </w:r>
            <w:r>
              <w:rPr>
                <w:rFonts w:hint="eastAsia" w:ascii="Times New Roman" w:hAnsi="Times New Roman"/>
                <w:color w:val="auto"/>
                <w:kern w:val="0"/>
                <w:sz w:val="24"/>
                <w:szCs w:val="24"/>
                <w:lang w:val="en-US" w:eastAsia="zh-CN"/>
              </w:rPr>
              <w:t>（见附件4），项目用地属于工业用地</w:t>
            </w:r>
            <w:r>
              <w:rPr>
                <w:rFonts w:ascii="Times New Roman" w:hAnsi="Times New Roman"/>
                <w:color w:val="auto"/>
                <w:kern w:val="0"/>
                <w:sz w:val="24"/>
                <w:szCs w:val="24"/>
              </w:rPr>
              <w:t>，项目用地</w:t>
            </w:r>
            <w:r>
              <w:rPr>
                <w:bCs/>
                <w:color w:val="auto"/>
                <w:sz w:val="24"/>
                <w:szCs w:val="21"/>
              </w:rPr>
              <w:t>符合福鼎市土地利用规划。</w:t>
            </w:r>
          </w:p>
          <w:p w14:paraId="0BCD2041">
            <w:pPr>
              <w:pStyle w:val="128"/>
              <w:ind w:firstLine="480"/>
              <w:rPr>
                <w:rFonts w:ascii="Times New Roman" w:hAnsi="Times New Roman"/>
                <w:color w:val="auto"/>
                <w:kern w:val="0"/>
                <w:szCs w:val="24"/>
                <w:lang w:val="en-US"/>
              </w:rPr>
            </w:pPr>
            <w:r>
              <w:rPr>
                <w:rFonts w:hint="eastAsia" w:ascii="宋体" w:hAnsi="宋体" w:cs="宋体"/>
                <w:color w:val="auto"/>
                <w:kern w:val="0"/>
                <w:szCs w:val="24"/>
                <w:lang w:val="en-US"/>
              </w:rPr>
              <w:t>②</w:t>
            </w:r>
            <w:r>
              <w:rPr>
                <w:rFonts w:ascii="Times New Roman" w:hAnsi="Times New Roman"/>
                <w:color w:val="auto"/>
                <w:kern w:val="0"/>
                <w:szCs w:val="24"/>
                <w:lang w:val="en-US"/>
              </w:rPr>
              <w:t>周边项目环境相容性</w:t>
            </w:r>
          </w:p>
          <w:p w14:paraId="256F752E">
            <w:pPr>
              <w:adjustRightInd w:val="0"/>
              <w:snapToGrid w:val="0"/>
              <w:spacing w:line="360" w:lineRule="auto"/>
              <w:ind w:firstLine="480" w:firstLineChars="200"/>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项目位于</w:t>
            </w:r>
            <w:r>
              <w:rPr>
                <w:rFonts w:hint="eastAsia" w:ascii="Times New Roman" w:hAnsi="Times New Roman" w:eastAsia="宋体" w:cs="Times New Roman"/>
                <w:color w:val="auto"/>
                <w:kern w:val="0"/>
                <w:sz w:val="24"/>
                <w:szCs w:val="24"/>
                <w:lang w:val="en-US" w:eastAsia="zh-CN"/>
              </w:rPr>
              <w:fldChar w:fldCharType="begin"/>
            </w:r>
            <w:r>
              <w:rPr>
                <w:rFonts w:hint="eastAsia" w:ascii="Times New Roman" w:hAnsi="Times New Roman" w:eastAsia="宋体" w:cs="Times New Roman"/>
                <w:color w:val="auto"/>
                <w:kern w:val="0"/>
                <w:sz w:val="24"/>
                <w:szCs w:val="24"/>
                <w:lang w:val="en-US" w:eastAsia="zh-CN"/>
              </w:rPr>
              <w:instrText xml:space="preserve"> REF 建设地点 \h  \* MERGEFORMAT </w:instrText>
            </w:r>
            <w:r>
              <w:rPr>
                <w:rFonts w:hint="eastAsia" w:ascii="Times New Roman" w:hAnsi="Times New Roman" w:eastAsia="宋体" w:cs="Times New Roman"/>
                <w:color w:val="auto"/>
                <w:kern w:val="0"/>
                <w:sz w:val="24"/>
                <w:szCs w:val="24"/>
                <w:lang w:val="en-US" w:eastAsia="zh-CN"/>
              </w:rPr>
              <w:fldChar w:fldCharType="separate"/>
            </w:r>
            <w:r>
              <w:rPr>
                <w:rFonts w:hint="eastAsia" w:cs="Times New Roman"/>
                <w:color w:val="auto"/>
                <w:kern w:val="0"/>
                <w:sz w:val="24"/>
                <w:szCs w:val="24"/>
                <w:lang w:val="en-US" w:eastAsia="zh-CN"/>
              </w:rPr>
              <w:t>福建省福鼎市前岐镇照澜村罗六36号</w:t>
            </w:r>
            <w:r>
              <w:rPr>
                <w:rFonts w:hint="eastAsia" w:ascii="Times New Roman" w:hAnsi="Times New Roman" w:eastAsia="宋体" w:cs="Times New Roman"/>
                <w:color w:val="auto"/>
                <w:kern w:val="0"/>
                <w:sz w:val="24"/>
                <w:szCs w:val="24"/>
                <w:lang w:val="en-US" w:eastAsia="zh-CN"/>
              </w:rPr>
              <w:fldChar w:fldCharType="end"/>
            </w:r>
            <w:r>
              <w:rPr>
                <w:rFonts w:hint="eastAsia" w:ascii="Times New Roman" w:hAnsi="Times New Roman" w:eastAsia="宋体" w:cs="Times New Roman"/>
                <w:color w:val="auto"/>
                <w:kern w:val="0"/>
                <w:sz w:val="24"/>
                <w:szCs w:val="24"/>
                <w:lang w:val="en-US" w:eastAsia="zh-CN"/>
              </w:rPr>
              <w:t>，地理位置优越，交通便捷。项目</w:t>
            </w:r>
            <w:r>
              <w:rPr>
                <w:rFonts w:hint="eastAsia" w:cs="Times New Roman"/>
                <w:color w:val="auto"/>
                <w:kern w:val="0"/>
                <w:sz w:val="24"/>
                <w:szCs w:val="24"/>
                <w:lang w:val="en-US" w:eastAsia="zh-CN"/>
              </w:rPr>
              <w:t>周边主要</w:t>
            </w:r>
            <w:r>
              <w:rPr>
                <w:rFonts w:hint="eastAsia" w:ascii="Times New Roman" w:hAnsi="Times New Roman" w:eastAsia="宋体" w:cs="Times New Roman"/>
                <w:color w:val="auto"/>
                <w:kern w:val="0"/>
                <w:sz w:val="24"/>
                <w:szCs w:val="24"/>
                <w:lang w:val="en-US" w:eastAsia="zh-CN"/>
              </w:rPr>
              <w:t>为生产型企业；</w:t>
            </w:r>
            <w:r>
              <w:rPr>
                <w:rFonts w:hint="eastAsia" w:ascii="Times New Roman" w:hAnsi="Times New Roman" w:eastAsia="宋体" w:cs="Times New Roman"/>
                <w:color w:val="auto"/>
                <w:kern w:val="0"/>
                <w:sz w:val="24"/>
                <w:szCs w:val="24"/>
              </w:rPr>
              <w:t>厂址范围内无重点文物保护单位，不涉及自然保护区、风景名胜区等需特殊保护的环境敏感区。</w:t>
            </w:r>
            <w:r>
              <w:rPr>
                <w:rFonts w:hint="eastAsia" w:ascii="Times New Roman" w:hAnsi="Times New Roman" w:eastAsia="宋体" w:cs="Times New Roman"/>
                <w:color w:val="auto"/>
                <w:kern w:val="0"/>
                <w:sz w:val="24"/>
                <w:szCs w:val="24"/>
                <w:lang w:val="en-US" w:eastAsia="zh-CN"/>
              </w:rPr>
              <w:t>项目周边最近大气环境敏感目标为厂界</w:t>
            </w:r>
            <w:r>
              <w:rPr>
                <w:rFonts w:hint="eastAsia" w:cs="Times New Roman"/>
                <w:color w:val="auto"/>
                <w:kern w:val="0"/>
                <w:sz w:val="24"/>
                <w:szCs w:val="24"/>
                <w:lang w:val="en-US" w:eastAsia="zh-CN"/>
              </w:rPr>
              <w:t>东</w:t>
            </w:r>
            <w:r>
              <w:rPr>
                <w:rFonts w:hint="eastAsia" w:ascii="Times New Roman" w:hAnsi="Times New Roman" w:eastAsia="宋体" w:cs="Times New Roman"/>
                <w:color w:val="auto"/>
                <w:kern w:val="0"/>
                <w:sz w:val="24"/>
                <w:szCs w:val="24"/>
                <w:lang w:val="en-US" w:eastAsia="zh-CN"/>
              </w:rPr>
              <w:t>侧</w:t>
            </w:r>
            <w:r>
              <w:rPr>
                <w:rFonts w:hint="eastAsia" w:cs="Times New Roman"/>
                <w:color w:val="auto"/>
                <w:kern w:val="0"/>
                <w:sz w:val="24"/>
                <w:szCs w:val="24"/>
                <w:lang w:val="en-US" w:eastAsia="zh-CN"/>
              </w:rPr>
              <w:t>100</w:t>
            </w:r>
            <w:r>
              <w:rPr>
                <w:rFonts w:hint="eastAsia" w:ascii="Times New Roman" w:hAnsi="Times New Roman" w:eastAsia="宋体" w:cs="Times New Roman"/>
                <w:color w:val="auto"/>
                <w:kern w:val="0"/>
                <w:sz w:val="24"/>
                <w:szCs w:val="24"/>
                <w:lang w:val="en-US" w:eastAsia="zh-CN"/>
              </w:rPr>
              <w:t>m处的</w:t>
            </w:r>
            <w:r>
              <w:rPr>
                <w:rFonts w:hint="eastAsia" w:cs="Times New Roman"/>
                <w:color w:val="auto"/>
                <w:kern w:val="0"/>
                <w:sz w:val="24"/>
                <w:szCs w:val="24"/>
                <w:lang w:val="en-US" w:eastAsia="zh-CN"/>
              </w:rPr>
              <w:t>零散居民</w:t>
            </w:r>
            <w:r>
              <w:rPr>
                <w:rFonts w:hint="eastAsia" w:ascii="Times New Roman" w:hAnsi="Times New Roman" w:eastAsia="宋体" w:cs="Times New Roman"/>
                <w:color w:val="auto"/>
                <w:kern w:val="0"/>
                <w:sz w:val="24"/>
                <w:szCs w:val="24"/>
                <w:lang w:val="en-US" w:eastAsia="zh-CN"/>
              </w:rPr>
              <w:t>，项目废气经处理后达标排放对周边环境影响较小。</w:t>
            </w:r>
            <w:r>
              <w:rPr>
                <w:rFonts w:hint="eastAsia" w:ascii="Times New Roman" w:hAnsi="Times New Roman" w:eastAsia="宋体" w:cs="Times New Roman"/>
                <w:color w:val="auto"/>
                <w:kern w:val="0"/>
                <w:sz w:val="24"/>
                <w:szCs w:val="24"/>
              </w:rPr>
              <w:t>所在区域交通便捷，水电供应到位。因此，区域基础设施符合项目的规划建设、生产和运输的要求。</w:t>
            </w:r>
          </w:p>
          <w:p w14:paraId="70BABF4F">
            <w:pPr>
              <w:pStyle w:val="141"/>
              <w:rPr>
                <w:color w:val="auto"/>
              </w:rPr>
            </w:pPr>
            <w:r>
              <w:rPr>
                <w:rFonts w:hint="eastAsia"/>
                <w:color w:val="auto"/>
                <w:lang w:val="en-US" w:eastAsia="zh-CN"/>
              </w:rPr>
              <w:t>1.2</w:t>
            </w:r>
            <w:r>
              <w:rPr>
                <w:color w:val="auto"/>
              </w:rPr>
              <w:t>、产业政策</w:t>
            </w:r>
            <w:r>
              <w:rPr>
                <w:rFonts w:hint="eastAsia"/>
                <w:color w:val="auto"/>
              </w:rPr>
              <w:t>符合性分析</w:t>
            </w:r>
          </w:p>
          <w:p w14:paraId="1E1B0D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根据</w:t>
            </w:r>
            <w:r>
              <w:rPr>
                <w:color w:val="auto"/>
                <w:sz w:val="24"/>
                <w:szCs w:val="24"/>
              </w:rPr>
              <w:t>《产业结构调整指导目录（20</w:t>
            </w:r>
            <w:r>
              <w:rPr>
                <w:rFonts w:hint="eastAsia"/>
                <w:color w:val="auto"/>
                <w:sz w:val="24"/>
                <w:szCs w:val="24"/>
              </w:rPr>
              <w:t>24</w:t>
            </w:r>
            <w:r>
              <w:rPr>
                <w:color w:val="auto"/>
                <w:sz w:val="24"/>
                <w:szCs w:val="24"/>
              </w:rPr>
              <w:t>年本）</w:t>
            </w:r>
            <w:r>
              <w:rPr>
                <w:rFonts w:hint="eastAsia"/>
                <w:color w:val="auto"/>
                <w:sz w:val="24"/>
                <w:szCs w:val="24"/>
              </w:rPr>
              <w:t>》</w:t>
            </w:r>
            <w:r>
              <w:rPr>
                <w:color w:val="auto"/>
                <w:sz w:val="24"/>
                <w:szCs w:val="24"/>
              </w:rPr>
              <w:t>可知，</w:t>
            </w:r>
            <w:r>
              <w:rPr>
                <w:rFonts w:hint="eastAsia"/>
                <w:color w:val="auto"/>
                <w:sz w:val="24"/>
                <w:szCs w:val="24"/>
              </w:rPr>
              <w:t>“燃煤热风炉”</w:t>
            </w:r>
            <w:r>
              <w:rPr>
                <w:rFonts w:hint="eastAsia"/>
                <w:color w:val="auto"/>
                <w:sz w:val="24"/>
                <w:szCs w:val="24"/>
                <w:lang w:val="en-US" w:eastAsia="zh-CN"/>
              </w:rPr>
              <w:t>属于“第三类 淘汰类”落后产品“（七）机械  67</w:t>
            </w:r>
            <w:r>
              <w:rPr>
                <w:rFonts w:hint="eastAsia"/>
                <w:color w:val="auto"/>
                <w:sz w:val="24"/>
                <w:szCs w:val="24"/>
              </w:rPr>
              <w:t>燃煤热风炉</w:t>
            </w:r>
            <w:r>
              <w:rPr>
                <w:rFonts w:hint="eastAsia"/>
                <w:color w:val="auto"/>
                <w:sz w:val="24"/>
                <w:szCs w:val="24"/>
                <w:lang w:val="en-US" w:eastAsia="zh-CN"/>
              </w:rPr>
              <w:t>”。本项目热风炉使用天然气为能源，不属于“燃煤热风炉”。</w:t>
            </w:r>
          </w:p>
          <w:p w14:paraId="0AAB3B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对照</w:t>
            </w:r>
            <w:r>
              <w:rPr>
                <w:color w:val="auto"/>
                <w:sz w:val="24"/>
                <w:szCs w:val="24"/>
              </w:rPr>
              <w:t>《产业结构调整指导目录（20</w:t>
            </w:r>
            <w:r>
              <w:rPr>
                <w:rFonts w:hint="eastAsia"/>
                <w:color w:val="auto"/>
                <w:sz w:val="24"/>
                <w:szCs w:val="24"/>
              </w:rPr>
              <w:t>24</w:t>
            </w:r>
            <w:r>
              <w:rPr>
                <w:color w:val="auto"/>
                <w:sz w:val="24"/>
                <w:szCs w:val="24"/>
              </w:rPr>
              <w:t>年本）</w:t>
            </w:r>
            <w:r>
              <w:rPr>
                <w:rFonts w:hint="eastAsia"/>
                <w:color w:val="auto"/>
                <w:sz w:val="24"/>
                <w:szCs w:val="24"/>
              </w:rPr>
              <w:t>》</w:t>
            </w:r>
            <w:r>
              <w:rPr>
                <w:color w:val="auto"/>
                <w:sz w:val="24"/>
                <w:szCs w:val="24"/>
              </w:rPr>
              <w:t>可知，</w:t>
            </w:r>
            <w:r>
              <w:rPr>
                <w:rFonts w:hint="eastAsia"/>
                <w:color w:val="auto"/>
                <w:sz w:val="24"/>
                <w:szCs w:val="24"/>
                <w:lang w:val="en-US" w:eastAsia="zh-CN"/>
              </w:rPr>
              <w:t>项目利用</w:t>
            </w:r>
            <w:r>
              <w:rPr>
                <w:rFonts w:hint="eastAsia" w:ascii="Times New Roman" w:hAnsi="Times New Roman"/>
                <w:color w:val="auto"/>
                <w:sz w:val="24"/>
                <w:szCs w:val="24"/>
                <w:lang w:val="en-US" w:eastAsia="zh-CN"/>
              </w:rPr>
              <w:t>生物质气化炉产生的炭渣</w:t>
            </w:r>
            <w:r>
              <w:rPr>
                <w:rFonts w:hint="eastAsia"/>
                <w:color w:val="auto"/>
                <w:sz w:val="24"/>
                <w:szCs w:val="24"/>
                <w:lang w:val="en-US" w:eastAsia="zh-CN"/>
              </w:rPr>
              <w:t>进行资源化综合利用，</w:t>
            </w:r>
            <w:r>
              <w:rPr>
                <w:color w:val="auto"/>
                <w:sz w:val="24"/>
                <w:szCs w:val="24"/>
              </w:rPr>
              <w:t>不属于</w:t>
            </w:r>
            <w:r>
              <w:rPr>
                <w:rFonts w:hint="eastAsia"/>
                <w:color w:val="auto"/>
                <w:sz w:val="24"/>
                <w:szCs w:val="24"/>
              </w:rPr>
              <w:t>“</w:t>
            </w:r>
            <w:r>
              <w:rPr>
                <w:color w:val="auto"/>
                <w:sz w:val="24"/>
                <w:szCs w:val="24"/>
              </w:rPr>
              <w:t>限制类”和“淘汰类”项目</w:t>
            </w:r>
            <w:r>
              <w:rPr>
                <w:rFonts w:hint="eastAsia"/>
                <w:color w:val="auto"/>
                <w:sz w:val="24"/>
                <w:szCs w:val="24"/>
              </w:rPr>
              <w:t>，为允许类</w:t>
            </w:r>
            <w:r>
              <w:rPr>
                <w:color w:val="auto"/>
                <w:sz w:val="24"/>
                <w:szCs w:val="24"/>
              </w:rPr>
              <w:t>。</w:t>
            </w:r>
          </w:p>
          <w:p w14:paraId="250A08AB">
            <w:pPr>
              <w:adjustRightInd w:val="0"/>
              <w:snapToGrid w:val="0"/>
              <w:spacing w:line="360" w:lineRule="auto"/>
              <w:ind w:firstLine="480" w:firstLineChars="200"/>
              <w:rPr>
                <w:rFonts w:hint="eastAsia" w:ascii="Times New Roman" w:hAnsi="Times New Roman"/>
                <w:color w:val="auto"/>
                <w:kern w:val="0"/>
                <w:sz w:val="24"/>
                <w:szCs w:val="24"/>
              </w:rPr>
            </w:pPr>
            <w:r>
              <w:rPr>
                <w:color w:val="auto"/>
                <w:sz w:val="24"/>
                <w:szCs w:val="24"/>
              </w:rPr>
              <w:t>根据《促进产业结构调整暂行规定》第十三条</w:t>
            </w:r>
            <w:r>
              <w:rPr>
                <w:rFonts w:hint="eastAsia"/>
                <w:color w:val="auto"/>
                <w:sz w:val="24"/>
                <w:szCs w:val="24"/>
                <w:lang w:eastAsia="zh-CN"/>
              </w:rPr>
              <w:t>，</w:t>
            </w:r>
            <w:r>
              <w:rPr>
                <w:color w:val="auto"/>
                <w:sz w:val="24"/>
                <w:szCs w:val="24"/>
              </w:rPr>
              <w:t>不属于鼓励类、限制类和淘汰类，且符合国家有关法律、法规规定的，为</w:t>
            </w:r>
            <w:r>
              <w:rPr>
                <w:rFonts w:hint="eastAsia"/>
                <w:color w:val="auto"/>
                <w:sz w:val="24"/>
                <w:szCs w:val="24"/>
              </w:rPr>
              <w:t>“</w:t>
            </w:r>
            <w:r>
              <w:rPr>
                <w:color w:val="auto"/>
                <w:sz w:val="24"/>
                <w:szCs w:val="24"/>
              </w:rPr>
              <w:t>允许类</w:t>
            </w:r>
            <w:r>
              <w:rPr>
                <w:rFonts w:hint="eastAsia"/>
                <w:color w:val="auto"/>
                <w:sz w:val="24"/>
                <w:szCs w:val="24"/>
              </w:rPr>
              <w:t>”。</w:t>
            </w:r>
            <w:r>
              <w:rPr>
                <w:rFonts w:hint="eastAsia"/>
                <w:color w:val="auto"/>
                <w:sz w:val="24"/>
                <w:szCs w:val="24"/>
                <w:lang w:val="en-US" w:eastAsia="zh-CN"/>
              </w:rPr>
              <w:t>且企业已取得福鼎市工业和信息化局</w:t>
            </w:r>
            <w:r>
              <w:rPr>
                <w:rFonts w:hint="default" w:ascii="Times New Roman" w:hAnsi="Times New Roman" w:eastAsia="宋体" w:cs="Times New Roman"/>
                <w:color w:val="auto"/>
                <w:sz w:val="24"/>
                <w:szCs w:val="24"/>
                <w:highlight w:val="none"/>
                <w:lang w:val="en-US" w:eastAsia="zh-CN"/>
              </w:rPr>
              <w:t>出具的</w:t>
            </w:r>
            <w:r>
              <w:rPr>
                <w:rFonts w:hint="default" w:ascii="Times New Roman" w:hAnsi="Times New Roman" w:eastAsia="宋体" w:cs="Times New Roman"/>
                <w:color w:val="auto"/>
                <w:sz w:val="24"/>
                <w:szCs w:val="24"/>
                <w:highlight w:val="none"/>
                <w:lang w:val="zh-CN"/>
              </w:rPr>
              <w:t>福建省投资项目备案证明（</w:t>
            </w:r>
            <w:r>
              <w:rPr>
                <w:rFonts w:hint="eastAsia" w:cs="Times New Roman"/>
                <w:color w:val="auto"/>
                <w:sz w:val="24"/>
                <w:szCs w:val="24"/>
                <w:highlight w:val="none"/>
                <w:lang w:val="en-US" w:eastAsia="zh-CN"/>
              </w:rPr>
              <w:t>闽工信备〔2025〕J030003号</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Times New Roman"/>
                <w:color w:val="auto"/>
                <w:sz w:val="24"/>
                <w:szCs w:val="24"/>
                <w:lang w:val="zh-CN"/>
              </w:rPr>
              <w:t>。</w:t>
            </w:r>
            <w:r>
              <w:rPr>
                <w:rFonts w:hint="eastAsia" w:ascii="Times New Roman" w:hAnsi="Times New Roman"/>
                <w:color w:val="auto"/>
                <w:kern w:val="0"/>
                <w:sz w:val="24"/>
                <w:szCs w:val="24"/>
              </w:rPr>
              <w:t>综上分析可知，项目建设符合国家</w:t>
            </w:r>
            <w:r>
              <w:rPr>
                <w:rFonts w:hint="eastAsia"/>
                <w:color w:val="auto"/>
                <w:kern w:val="0"/>
                <w:sz w:val="24"/>
                <w:szCs w:val="24"/>
                <w:lang w:val="en-US" w:eastAsia="zh-CN"/>
              </w:rPr>
              <w:t>及地方</w:t>
            </w:r>
            <w:r>
              <w:rPr>
                <w:rFonts w:hint="eastAsia" w:ascii="Times New Roman" w:hAnsi="Times New Roman"/>
                <w:color w:val="auto"/>
                <w:kern w:val="0"/>
                <w:sz w:val="24"/>
                <w:szCs w:val="24"/>
              </w:rPr>
              <w:t>产业政策。</w:t>
            </w:r>
          </w:p>
          <w:p w14:paraId="20641F79">
            <w:pPr>
              <w:pStyle w:val="14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1.3生态环境分区管控符合性分析</w:t>
            </w:r>
          </w:p>
          <w:p w14:paraId="64A9014C">
            <w:pPr>
              <w:pStyle w:val="178"/>
              <w:adjustRightInd w:val="0"/>
              <w:snapToGrid w:val="0"/>
              <w:spacing w:line="360" w:lineRule="auto"/>
              <w:ind w:firstLine="480"/>
              <w:rPr>
                <w:rFonts w:ascii="Times New Roman" w:hAnsi="Times New Roman"/>
                <w:snapToGrid w:val="0"/>
                <w:color w:val="auto"/>
                <w:kern w:val="18"/>
                <w:sz w:val="24"/>
              </w:rPr>
            </w:pPr>
            <w:r>
              <w:rPr>
                <w:rFonts w:hint="eastAsia" w:ascii="Times New Roman" w:hAnsi="Times New Roman"/>
                <w:snapToGrid w:val="0"/>
                <w:color w:val="auto"/>
                <w:kern w:val="18"/>
                <w:sz w:val="24"/>
              </w:rPr>
              <w:t>根据《</w:t>
            </w:r>
            <w:bookmarkStart w:id="1" w:name="OLE_LINK13"/>
            <w:r>
              <w:rPr>
                <w:rFonts w:hint="eastAsia" w:ascii="Times New Roman" w:hAnsi="Times New Roman"/>
                <w:snapToGrid w:val="0"/>
                <w:color w:val="auto"/>
                <w:kern w:val="18"/>
                <w:sz w:val="24"/>
                <w:lang w:eastAsia="zh-CN"/>
              </w:rPr>
              <w:t>宁德市“三线一单”生态环境分区管控方案</w:t>
            </w:r>
            <w:bookmarkEnd w:id="1"/>
            <w:r>
              <w:rPr>
                <w:rFonts w:hint="eastAsia" w:ascii="Times New Roman" w:hAnsi="Times New Roman"/>
                <w:snapToGrid w:val="0"/>
                <w:color w:val="auto"/>
                <w:kern w:val="18"/>
                <w:sz w:val="24"/>
              </w:rPr>
              <w:t>》，项目与宁德市生态环境分区管控要求符合性分析如下：</w:t>
            </w:r>
          </w:p>
          <w:p w14:paraId="021E74DB">
            <w:pPr>
              <w:pStyle w:val="178"/>
              <w:adjustRightInd w:val="0"/>
              <w:snapToGrid w:val="0"/>
              <w:spacing w:line="360" w:lineRule="auto"/>
              <w:ind w:firstLine="480"/>
              <w:rPr>
                <w:rFonts w:ascii="Times New Roman" w:hAnsi="Times New Roman"/>
                <w:snapToGrid w:val="0"/>
                <w:color w:val="auto"/>
                <w:kern w:val="18"/>
                <w:sz w:val="24"/>
              </w:rPr>
            </w:pPr>
            <w:r>
              <w:rPr>
                <w:rFonts w:ascii="Times New Roman" w:hAnsi="Times New Roman"/>
                <w:snapToGrid w:val="0"/>
                <w:color w:val="auto"/>
                <w:kern w:val="18"/>
                <w:sz w:val="24"/>
              </w:rPr>
              <w:t>（1）生态保护红线</w:t>
            </w:r>
          </w:p>
          <w:p w14:paraId="7166FAF2">
            <w:pPr>
              <w:pStyle w:val="178"/>
              <w:adjustRightInd w:val="0"/>
              <w:snapToGrid w:val="0"/>
              <w:spacing w:line="360" w:lineRule="auto"/>
              <w:ind w:firstLine="480"/>
              <w:rPr>
                <w:rFonts w:hint="eastAsia" w:ascii="Times New Roman" w:hAnsi="Times New Roman"/>
                <w:snapToGrid w:val="0"/>
                <w:color w:val="auto"/>
                <w:kern w:val="18"/>
                <w:sz w:val="24"/>
              </w:rPr>
            </w:pPr>
            <w:r>
              <w:rPr>
                <w:rFonts w:hint="eastAsia" w:ascii="Times New Roman" w:hAnsi="Times New Roman"/>
                <w:snapToGrid w:val="0"/>
                <w:color w:val="auto"/>
                <w:kern w:val="18"/>
                <w:sz w:val="24"/>
              </w:rPr>
              <w:t>宁德市生态保护红线为全市生态空间范围内具有特殊重要生态功能、必须强制性严格保护的区域，包括水源涵养、生物多样性维护、水土保持、海岸防护等生态功能极重要区域，水土流失、海岸侵蚀及沙源流失等生态极脆弱区域，以及其他具有潜在重要生态价值的区域。</w:t>
            </w:r>
          </w:p>
          <w:p w14:paraId="1326D71B">
            <w:pPr>
              <w:pStyle w:val="178"/>
              <w:adjustRightInd w:val="0"/>
              <w:snapToGrid w:val="0"/>
              <w:spacing w:line="360" w:lineRule="auto"/>
              <w:ind w:firstLine="480"/>
              <w:rPr>
                <w:rFonts w:hint="default" w:ascii="Times New Roman" w:hAnsi="Times New Roman" w:cs="Times New Roman"/>
                <w:snapToGrid w:val="0"/>
                <w:color w:val="auto"/>
                <w:kern w:val="18"/>
                <w:sz w:val="24"/>
              </w:rPr>
            </w:pPr>
            <w:r>
              <w:rPr>
                <w:rFonts w:hint="default" w:ascii="Times New Roman" w:hAnsi="Times New Roman" w:cs="Times New Roman"/>
                <w:snapToGrid w:val="0"/>
                <w:color w:val="auto"/>
                <w:kern w:val="18"/>
                <w:sz w:val="24"/>
              </w:rPr>
              <w:t>项目</w:t>
            </w:r>
            <w:r>
              <w:rPr>
                <w:rFonts w:hint="default" w:ascii="Times New Roman" w:hAnsi="Times New Roman" w:cs="Times New Roman"/>
                <w:snapToGrid w:val="0"/>
                <w:color w:val="auto"/>
                <w:kern w:val="18"/>
                <w:sz w:val="24"/>
                <w:lang w:val="en-US" w:eastAsia="zh-CN"/>
              </w:rPr>
              <w:t>位于</w:t>
            </w:r>
            <w:r>
              <w:rPr>
                <w:rFonts w:hint="default" w:ascii="Times New Roman" w:hAnsi="Times New Roman" w:cs="Times New Roman"/>
                <w:bCs/>
                <w:color w:val="auto"/>
                <w:sz w:val="24"/>
                <w:szCs w:val="21"/>
                <w:lang w:eastAsia="zh-CN"/>
              </w:rPr>
              <w:t>福建省福鼎市前岐镇照澜村罗六36号，</w:t>
            </w:r>
            <w:r>
              <w:rPr>
                <w:rFonts w:hint="default" w:ascii="Times New Roman" w:hAnsi="Times New Roman" w:cs="Times New Roman"/>
                <w:snapToGrid w:val="0"/>
                <w:color w:val="auto"/>
                <w:kern w:val="18"/>
                <w:sz w:val="24"/>
              </w:rPr>
              <w:t>未涉及生态保护红线，因此项目建设与生态保护红线管控要求不冲突。</w:t>
            </w:r>
          </w:p>
          <w:p w14:paraId="10DAF95F">
            <w:pPr>
              <w:pStyle w:val="178"/>
              <w:adjustRightInd w:val="0"/>
              <w:snapToGrid w:val="0"/>
              <w:spacing w:line="360" w:lineRule="auto"/>
              <w:ind w:firstLine="480"/>
              <w:rPr>
                <w:rFonts w:hint="eastAsia" w:ascii="Times New Roman" w:hAnsi="Times New Roman" w:eastAsia="宋体"/>
                <w:snapToGrid w:val="0"/>
                <w:color w:val="auto"/>
                <w:kern w:val="18"/>
                <w:sz w:val="24"/>
                <w:lang w:val="en-US" w:eastAsia="zh-CN"/>
              </w:rPr>
            </w:pPr>
            <w:r>
              <w:rPr>
                <w:rFonts w:ascii="Times New Roman" w:hAnsi="Times New Roman"/>
                <w:snapToGrid w:val="0"/>
                <w:color w:val="auto"/>
                <w:kern w:val="18"/>
                <w:sz w:val="24"/>
              </w:rPr>
              <w:t>（2）环境质量底线</w:t>
            </w:r>
          </w:p>
          <w:p w14:paraId="5E7A00AA">
            <w:pPr>
              <w:pStyle w:val="178"/>
              <w:adjustRightInd w:val="0"/>
              <w:snapToGrid w:val="0"/>
              <w:spacing w:line="360" w:lineRule="auto"/>
              <w:ind w:firstLine="480"/>
              <w:rPr>
                <w:rFonts w:ascii="Times New Roman" w:hAnsi="Times New Roman"/>
                <w:snapToGrid w:val="0"/>
                <w:color w:val="auto"/>
                <w:kern w:val="18"/>
                <w:sz w:val="24"/>
              </w:rPr>
            </w:pPr>
            <w:r>
              <w:rPr>
                <w:rFonts w:ascii="Times New Roman" w:hAnsi="Times New Roman"/>
                <w:snapToGrid w:val="0"/>
                <w:color w:val="auto"/>
                <w:kern w:val="18"/>
                <w:sz w:val="24"/>
              </w:rPr>
              <w:t>①水环境质量底线</w:t>
            </w:r>
          </w:p>
          <w:p w14:paraId="1A99C878">
            <w:pPr>
              <w:pStyle w:val="178"/>
              <w:adjustRightInd w:val="0"/>
              <w:snapToGrid w:val="0"/>
              <w:spacing w:line="360" w:lineRule="auto"/>
              <w:ind w:firstLine="480"/>
              <w:rPr>
                <w:rFonts w:ascii="Times New Roman" w:hAnsi="Times New Roman"/>
                <w:snapToGrid w:val="0"/>
                <w:color w:val="auto"/>
                <w:kern w:val="18"/>
                <w:sz w:val="24"/>
              </w:rPr>
            </w:pPr>
            <w:r>
              <w:rPr>
                <w:rFonts w:hint="eastAsia" w:ascii="Times New Roman" w:hAnsi="Times New Roman"/>
                <w:snapToGrid w:val="0"/>
                <w:color w:val="auto"/>
                <w:kern w:val="18"/>
                <w:sz w:val="24"/>
              </w:rPr>
              <w:t>到2025年，全市主要流域国、省控断面水质优良</w:t>
            </w:r>
            <w:r>
              <w:rPr>
                <w:rFonts w:hint="eastAsia" w:ascii="Times New Roman" w:hAnsi="Times New Roman"/>
                <w:snapToGrid w:val="0"/>
                <w:color w:val="auto"/>
                <w:kern w:val="18"/>
                <w:sz w:val="24"/>
                <w:lang w:eastAsia="zh-CN"/>
              </w:rPr>
              <w:t>（</w:t>
            </w:r>
            <w:r>
              <w:rPr>
                <w:rFonts w:hint="eastAsia" w:ascii="Times New Roman" w:hAnsi="Times New Roman"/>
                <w:snapToGrid w:val="0"/>
                <w:color w:val="auto"/>
                <w:kern w:val="18"/>
                <w:sz w:val="24"/>
              </w:rPr>
              <w:t>达到或优于</w:t>
            </w:r>
            <w:r>
              <w:rPr>
                <w:rFonts w:hint="default" w:ascii="Times New Roman" w:hAnsi="Times New Roman" w:cs="Times New Roman"/>
                <w:snapToGrid w:val="0"/>
                <w:color w:val="auto"/>
                <w:kern w:val="18"/>
                <w:sz w:val="24"/>
              </w:rPr>
              <w:t>Ⅲ</w:t>
            </w:r>
            <w:r>
              <w:rPr>
                <w:rFonts w:hint="eastAsia" w:ascii="Times New Roman" w:hAnsi="Times New Roman"/>
                <w:snapToGrid w:val="0"/>
                <w:color w:val="auto"/>
                <w:kern w:val="18"/>
                <w:sz w:val="24"/>
              </w:rPr>
              <w:t>类）比例总体达100%，县级以上集中式饮用水水源水质达标率达100%。到2030 年，全市主要流域国、省控断面水质优良（达到或优于</w:t>
            </w:r>
            <w:r>
              <w:rPr>
                <w:rFonts w:hint="default" w:ascii="Times New Roman" w:hAnsi="Times New Roman" w:cs="Times New Roman"/>
                <w:snapToGrid w:val="0"/>
                <w:color w:val="auto"/>
                <w:kern w:val="18"/>
                <w:sz w:val="24"/>
              </w:rPr>
              <w:t>Ⅲ</w:t>
            </w:r>
            <w:r>
              <w:rPr>
                <w:rFonts w:hint="eastAsia" w:ascii="Times New Roman" w:hAnsi="Times New Roman"/>
                <w:snapToGrid w:val="0"/>
                <w:color w:val="auto"/>
                <w:kern w:val="18"/>
                <w:sz w:val="24"/>
              </w:rPr>
              <w:t>类）比例总体达100%，县级以上城市建成区黑臭水体总体得到消除，县级以上集中式饮用水水源水质稳定达标。到2035年，全市主要流域国、省控断面水质优良（达到或优于</w:t>
            </w:r>
            <w:r>
              <w:rPr>
                <w:rFonts w:hint="default" w:ascii="Times New Roman" w:hAnsi="Times New Roman" w:cs="Times New Roman"/>
                <w:snapToGrid w:val="0"/>
                <w:color w:val="auto"/>
                <w:kern w:val="18"/>
                <w:sz w:val="24"/>
              </w:rPr>
              <w:t>Ⅲ</w:t>
            </w:r>
            <w:r>
              <w:rPr>
                <w:rFonts w:hint="eastAsia" w:ascii="Times New Roman" w:hAnsi="Times New Roman"/>
                <w:snapToGrid w:val="0"/>
                <w:color w:val="auto"/>
                <w:kern w:val="18"/>
                <w:sz w:val="24"/>
              </w:rPr>
              <w:t>类）比例总体达100%，水生态系统实现良性循环。</w:t>
            </w:r>
          </w:p>
          <w:p w14:paraId="67C7C34E">
            <w:pPr>
              <w:pStyle w:val="178"/>
              <w:adjustRightInd w:val="0"/>
              <w:snapToGrid w:val="0"/>
              <w:spacing w:line="360" w:lineRule="auto"/>
              <w:ind w:firstLine="480"/>
              <w:jc w:val="both"/>
              <w:rPr>
                <w:rFonts w:ascii="Times New Roman" w:hAnsi="Times New Roman"/>
                <w:snapToGrid w:val="0"/>
                <w:color w:val="auto"/>
                <w:kern w:val="18"/>
                <w:sz w:val="24"/>
              </w:rPr>
            </w:pPr>
            <w:r>
              <w:rPr>
                <w:rFonts w:ascii="Times New Roman" w:hAnsi="Times New Roman"/>
                <w:snapToGrid w:val="0"/>
                <w:color w:val="auto"/>
                <w:kern w:val="18"/>
                <w:sz w:val="24"/>
              </w:rPr>
              <w:t>本项目</w:t>
            </w:r>
            <w:r>
              <w:rPr>
                <w:rFonts w:hint="eastAsia" w:ascii="Times New Roman" w:hAnsi="Times New Roman"/>
                <w:snapToGrid w:val="0"/>
                <w:color w:val="auto"/>
                <w:kern w:val="18"/>
                <w:sz w:val="24"/>
              </w:rPr>
              <w:t>水环境质量目标</w:t>
            </w:r>
            <w:r>
              <w:rPr>
                <w:rFonts w:hint="eastAsia" w:ascii="Times New Roman" w:hAnsi="Times New Roman"/>
                <w:snapToGrid w:val="0"/>
                <w:color w:val="auto"/>
                <w:kern w:val="18"/>
                <w:sz w:val="24"/>
                <w:lang w:val="en-US" w:eastAsia="zh-CN"/>
              </w:rPr>
              <w:t>大澜溪</w:t>
            </w:r>
            <w:r>
              <w:rPr>
                <w:rFonts w:hint="eastAsia" w:ascii="Times New Roman" w:hAnsi="Times New Roman"/>
                <w:snapToGrid w:val="0"/>
                <w:color w:val="auto"/>
                <w:kern w:val="18"/>
                <w:sz w:val="24"/>
              </w:rPr>
              <w:t>为《地表水环境质量标准》（GB3838-2002）中的</w:t>
            </w:r>
            <w:r>
              <w:rPr>
                <w:rFonts w:hint="default" w:ascii="Times New Roman" w:hAnsi="Times New Roman" w:cs="Times New Roman"/>
                <w:snapToGrid w:val="0"/>
                <w:color w:val="auto"/>
                <w:kern w:val="18"/>
                <w:sz w:val="24"/>
              </w:rPr>
              <w:t>Ⅲ</w:t>
            </w:r>
            <w:r>
              <w:rPr>
                <w:rFonts w:hint="eastAsia" w:ascii="Times New Roman" w:hAnsi="Times New Roman"/>
                <w:snapToGrid w:val="0"/>
                <w:color w:val="auto"/>
                <w:kern w:val="18"/>
                <w:sz w:val="24"/>
              </w:rPr>
              <w:t>类水标准限值</w:t>
            </w:r>
            <w:r>
              <w:rPr>
                <w:rFonts w:hint="eastAsia" w:ascii="Times New Roman" w:hAnsi="Times New Roman"/>
                <w:snapToGrid w:val="0"/>
                <w:color w:val="auto"/>
                <w:kern w:val="18"/>
                <w:sz w:val="24"/>
                <w:lang w:eastAsia="zh-CN"/>
              </w:rPr>
              <w:t>，</w:t>
            </w:r>
            <w:r>
              <w:rPr>
                <w:rFonts w:hint="eastAsia" w:ascii="Times New Roman" w:hAnsi="Times New Roman"/>
                <w:snapToGrid w:val="0"/>
                <w:color w:val="auto"/>
                <w:kern w:val="18"/>
                <w:sz w:val="24"/>
                <w:lang w:val="en-US" w:eastAsia="zh-CN"/>
              </w:rPr>
              <w:t>项目无生产废水产生，生活污水经化粪池处置后用于周边林地灌溉，</w:t>
            </w:r>
            <w:r>
              <w:rPr>
                <w:rFonts w:hint="eastAsia" w:ascii="Times New Roman" w:hAnsi="Times New Roman"/>
                <w:snapToGrid w:val="0"/>
                <w:color w:val="auto"/>
                <w:kern w:val="18"/>
                <w:sz w:val="24"/>
              </w:rPr>
              <w:t>不会对区域环境质量底线造成冲击</w:t>
            </w:r>
            <w:r>
              <w:rPr>
                <w:rFonts w:ascii="Times New Roman" w:hAnsi="Times New Roman"/>
                <w:snapToGrid w:val="0"/>
                <w:color w:val="auto"/>
                <w:kern w:val="18"/>
                <w:sz w:val="24"/>
              </w:rPr>
              <w:t>。</w:t>
            </w:r>
          </w:p>
          <w:p w14:paraId="21E3DBF4">
            <w:pPr>
              <w:pStyle w:val="178"/>
              <w:adjustRightInd w:val="0"/>
              <w:snapToGrid w:val="0"/>
              <w:spacing w:line="360" w:lineRule="auto"/>
              <w:ind w:firstLine="480"/>
              <w:rPr>
                <w:rFonts w:ascii="Times New Roman" w:hAnsi="Times New Roman"/>
                <w:snapToGrid w:val="0"/>
                <w:color w:val="auto"/>
                <w:kern w:val="18"/>
                <w:sz w:val="24"/>
              </w:rPr>
            </w:pPr>
            <w:r>
              <w:rPr>
                <w:rFonts w:ascii="Times New Roman" w:hAnsi="Times New Roman"/>
                <w:snapToGrid w:val="0"/>
                <w:color w:val="auto"/>
                <w:kern w:val="18"/>
                <w:sz w:val="24"/>
              </w:rPr>
              <w:t>②大气环境质量底线</w:t>
            </w:r>
          </w:p>
          <w:p w14:paraId="6C9D4867">
            <w:pPr>
              <w:pStyle w:val="178"/>
              <w:adjustRightInd w:val="0"/>
              <w:snapToGrid w:val="0"/>
              <w:spacing w:line="360" w:lineRule="auto"/>
              <w:ind w:firstLine="480"/>
              <w:jc w:val="both"/>
              <w:rPr>
                <w:rFonts w:ascii="Times New Roman" w:hAnsi="Times New Roman"/>
                <w:snapToGrid w:val="0"/>
                <w:color w:val="auto"/>
                <w:kern w:val="18"/>
                <w:sz w:val="24"/>
              </w:rPr>
            </w:pPr>
            <w:r>
              <w:rPr>
                <w:rFonts w:ascii="Times New Roman" w:hAnsi="Times New Roman"/>
                <w:snapToGrid w:val="0"/>
                <w:color w:val="auto"/>
                <w:kern w:val="18"/>
                <w:sz w:val="24"/>
              </w:rPr>
              <w:t>根据</w:t>
            </w:r>
            <w:r>
              <w:rPr>
                <w:rFonts w:hint="eastAsia" w:ascii="Times New Roman" w:hAnsi="Times New Roman"/>
                <w:snapToGrid w:val="0"/>
                <w:color w:val="auto"/>
                <w:kern w:val="18"/>
                <w:sz w:val="24"/>
                <w:lang w:eastAsia="zh-CN"/>
              </w:rPr>
              <w:t>《宁德市“三线一单”生态环境分区管控方案》</w:t>
            </w:r>
            <w:r>
              <w:rPr>
                <w:rFonts w:ascii="Times New Roman" w:hAnsi="Times New Roman"/>
                <w:snapToGrid w:val="0"/>
                <w:color w:val="auto"/>
                <w:kern w:val="18"/>
                <w:sz w:val="24"/>
              </w:rPr>
              <w:t>，</w:t>
            </w:r>
            <w:r>
              <w:rPr>
                <w:rFonts w:hint="eastAsia" w:ascii="Times New Roman" w:hAnsi="Times New Roman"/>
                <w:snapToGrid w:val="0"/>
                <w:color w:val="auto"/>
                <w:kern w:val="18"/>
                <w:sz w:val="24"/>
              </w:rPr>
              <w:t>到2025年，中心城区PM</w:t>
            </w:r>
            <w:r>
              <w:rPr>
                <w:rFonts w:hint="eastAsia" w:ascii="Times New Roman" w:hAnsi="Times New Roman"/>
                <w:snapToGrid w:val="0"/>
                <w:color w:val="auto"/>
                <w:kern w:val="18"/>
                <w:sz w:val="24"/>
                <w:vertAlign w:val="subscript"/>
              </w:rPr>
              <w:t>2.5</w:t>
            </w:r>
            <w:r>
              <w:rPr>
                <w:rFonts w:hint="eastAsia" w:ascii="Times New Roman" w:hAnsi="Times New Roman"/>
                <w:snapToGrid w:val="0"/>
                <w:color w:val="auto"/>
                <w:kern w:val="18"/>
                <w:sz w:val="24"/>
              </w:rPr>
              <w:t>年平均浓度不高于23μg/m</w:t>
            </w:r>
            <w:r>
              <w:rPr>
                <w:rFonts w:hint="eastAsia" w:ascii="Times New Roman" w:hAnsi="Times New Roman"/>
                <w:snapToGrid w:val="0"/>
                <w:color w:val="auto"/>
                <w:kern w:val="18"/>
                <w:sz w:val="24"/>
                <w:vertAlign w:val="superscript"/>
              </w:rPr>
              <w:t>3</w:t>
            </w:r>
            <w:r>
              <w:rPr>
                <w:rFonts w:hint="eastAsia" w:ascii="Times New Roman" w:hAnsi="Times New Roman"/>
                <w:snapToGrid w:val="0"/>
                <w:color w:val="auto"/>
                <w:kern w:val="18"/>
                <w:sz w:val="24"/>
              </w:rPr>
              <w:t>。到2035年，县级以上地区空气质量PM</w:t>
            </w:r>
            <w:r>
              <w:rPr>
                <w:rFonts w:hint="eastAsia" w:ascii="Times New Roman" w:hAnsi="Times New Roman"/>
                <w:snapToGrid w:val="0"/>
                <w:color w:val="auto"/>
                <w:kern w:val="18"/>
                <w:sz w:val="24"/>
                <w:vertAlign w:val="subscript"/>
              </w:rPr>
              <w:t>2.5</w:t>
            </w:r>
            <w:r>
              <w:rPr>
                <w:rFonts w:hint="eastAsia" w:ascii="Times New Roman" w:hAnsi="Times New Roman"/>
                <w:snapToGrid w:val="0"/>
                <w:color w:val="auto"/>
                <w:kern w:val="18"/>
                <w:sz w:val="24"/>
              </w:rPr>
              <w:t>年平均浓度不高于18μg/m</w:t>
            </w:r>
            <w:r>
              <w:rPr>
                <w:rFonts w:hint="eastAsia" w:ascii="Times New Roman" w:hAnsi="Times New Roman"/>
                <w:snapToGrid w:val="0"/>
                <w:color w:val="auto"/>
                <w:kern w:val="18"/>
                <w:sz w:val="24"/>
                <w:vertAlign w:val="superscript"/>
              </w:rPr>
              <w:t>3</w:t>
            </w:r>
            <w:r>
              <w:rPr>
                <w:rFonts w:ascii="Times New Roman" w:hAnsi="Times New Roman"/>
                <w:snapToGrid w:val="0"/>
                <w:color w:val="auto"/>
                <w:kern w:val="18"/>
                <w:sz w:val="24"/>
              </w:rPr>
              <w:t>。</w:t>
            </w:r>
          </w:p>
          <w:p w14:paraId="6D3BF802">
            <w:pPr>
              <w:pStyle w:val="178"/>
              <w:adjustRightInd w:val="0"/>
              <w:snapToGrid w:val="0"/>
              <w:spacing w:line="360" w:lineRule="auto"/>
              <w:ind w:firstLine="480"/>
              <w:jc w:val="both"/>
              <w:rPr>
                <w:rFonts w:ascii="Times New Roman" w:hAnsi="Times New Roman"/>
                <w:snapToGrid w:val="0"/>
                <w:color w:val="auto"/>
                <w:kern w:val="18"/>
                <w:sz w:val="24"/>
              </w:rPr>
            </w:pPr>
            <w:r>
              <w:rPr>
                <w:rFonts w:ascii="Times New Roman" w:hAnsi="Times New Roman"/>
                <w:snapToGrid w:val="0"/>
                <w:color w:val="auto"/>
                <w:kern w:val="18"/>
                <w:sz w:val="24"/>
              </w:rPr>
              <w:t>本项目</w:t>
            </w:r>
            <w:r>
              <w:rPr>
                <w:rFonts w:hint="eastAsia" w:ascii="Times New Roman" w:hAnsi="Times New Roman"/>
                <w:snapToGrid w:val="0"/>
                <w:color w:val="auto"/>
                <w:kern w:val="18"/>
                <w:sz w:val="24"/>
                <w:lang w:val="en-US" w:eastAsia="zh-CN"/>
              </w:rPr>
              <w:t>区</w:t>
            </w:r>
            <w:r>
              <w:rPr>
                <w:rFonts w:hint="eastAsia" w:ascii="Times New Roman" w:hAnsi="Times New Roman"/>
                <w:snapToGrid w:val="0"/>
                <w:color w:val="auto"/>
                <w:kern w:val="18"/>
                <w:sz w:val="24"/>
              </w:rPr>
              <w:t>大气环境空气质量目标为《环境空气质量标准》</w:t>
            </w:r>
            <w:r>
              <w:rPr>
                <w:rFonts w:hint="eastAsia" w:ascii="Times New Roman" w:hAnsi="Times New Roman"/>
                <w:snapToGrid w:val="0"/>
                <w:color w:val="auto"/>
                <w:kern w:val="18"/>
                <w:sz w:val="24"/>
                <w:lang w:eastAsia="zh-CN"/>
              </w:rPr>
              <w:t>（</w:t>
            </w:r>
            <w:r>
              <w:rPr>
                <w:rFonts w:hint="eastAsia" w:ascii="Times New Roman" w:hAnsi="Times New Roman"/>
                <w:snapToGrid w:val="0"/>
                <w:color w:val="auto"/>
                <w:kern w:val="18"/>
                <w:sz w:val="24"/>
              </w:rPr>
              <w:t>GB3095-2012</w:t>
            </w:r>
            <w:r>
              <w:rPr>
                <w:rFonts w:hint="eastAsia" w:ascii="Times New Roman" w:hAnsi="Times New Roman"/>
                <w:snapToGrid w:val="0"/>
                <w:color w:val="auto"/>
                <w:kern w:val="18"/>
                <w:sz w:val="24"/>
                <w:lang w:eastAsia="zh-CN"/>
              </w:rPr>
              <w:t>）</w:t>
            </w:r>
            <w:r>
              <w:rPr>
                <w:rFonts w:hint="eastAsia" w:ascii="Times New Roman" w:hAnsi="Times New Roman"/>
                <w:snapToGrid w:val="0"/>
                <w:color w:val="auto"/>
                <w:kern w:val="18"/>
                <w:sz w:val="24"/>
              </w:rPr>
              <w:t>中的二级标准</w:t>
            </w:r>
            <w:r>
              <w:rPr>
                <w:rFonts w:hint="eastAsia" w:ascii="Times New Roman" w:hAnsi="Times New Roman"/>
                <w:snapToGrid w:val="0"/>
                <w:color w:val="auto"/>
                <w:kern w:val="18"/>
                <w:sz w:val="24"/>
                <w:lang w:eastAsia="zh-CN"/>
              </w:rPr>
              <w:t>，</w:t>
            </w:r>
            <w:r>
              <w:rPr>
                <w:rFonts w:hint="eastAsia" w:ascii="Times New Roman" w:hAnsi="Times New Roman"/>
                <w:snapToGrid w:val="0"/>
                <w:color w:val="auto"/>
                <w:kern w:val="18"/>
                <w:sz w:val="24"/>
                <w:lang w:val="en-US" w:eastAsia="zh-CN"/>
              </w:rPr>
              <w:t>项目</w:t>
            </w:r>
            <w:r>
              <w:rPr>
                <w:rFonts w:ascii="Times New Roman" w:hAnsi="Times New Roman"/>
                <w:snapToGrid w:val="0"/>
                <w:color w:val="auto"/>
                <w:kern w:val="18"/>
                <w:sz w:val="24"/>
              </w:rPr>
              <w:t>主要从事</w:t>
            </w:r>
            <w:r>
              <w:rPr>
                <w:rFonts w:hint="eastAsia"/>
                <w:color w:val="auto"/>
                <w:sz w:val="24"/>
                <w:szCs w:val="21"/>
                <w:lang w:eastAsia="zh-CN"/>
              </w:rPr>
              <w:t>生物质气化炉炭渣资源化综合利用项目</w:t>
            </w:r>
            <w:r>
              <w:rPr>
                <w:rFonts w:ascii="Times New Roman" w:hAnsi="Times New Roman"/>
                <w:snapToGrid w:val="0"/>
                <w:color w:val="auto"/>
                <w:kern w:val="18"/>
                <w:sz w:val="24"/>
              </w:rPr>
              <w:t>，项目生产过程中产生的大气污染物经处理后均可达标排放</w:t>
            </w:r>
            <w:r>
              <w:rPr>
                <w:rFonts w:hint="eastAsia" w:ascii="Times New Roman" w:hAnsi="Times New Roman"/>
                <w:snapToGrid w:val="0"/>
                <w:color w:val="auto"/>
                <w:kern w:val="18"/>
                <w:sz w:val="24"/>
              </w:rPr>
              <w:t>，不会对区域环境质量底线造成冲击</w:t>
            </w:r>
            <w:r>
              <w:rPr>
                <w:rFonts w:ascii="Times New Roman" w:hAnsi="Times New Roman"/>
                <w:snapToGrid w:val="0"/>
                <w:color w:val="auto"/>
                <w:kern w:val="18"/>
                <w:sz w:val="24"/>
              </w:rPr>
              <w:t>。</w:t>
            </w:r>
          </w:p>
          <w:p w14:paraId="1C558FA7">
            <w:pPr>
              <w:pStyle w:val="178"/>
              <w:adjustRightInd w:val="0"/>
              <w:snapToGrid w:val="0"/>
              <w:spacing w:line="360" w:lineRule="auto"/>
              <w:ind w:firstLine="480"/>
              <w:jc w:val="both"/>
              <w:rPr>
                <w:rFonts w:hint="eastAsia" w:ascii="Times New Roman" w:hAnsi="Times New Roman"/>
                <w:snapToGrid w:val="0"/>
                <w:color w:val="auto"/>
                <w:kern w:val="18"/>
                <w:sz w:val="24"/>
                <w:lang w:val="en-US" w:eastAsia="zh-CN"/>
              </w:rPr>
            </w:pPr>
            <w:r>
              <w:rPr>
                <w:rFonts w:hint="eastAsia" w:ascii="Times New Roman" w:hAnsi="Times New Roman"/>
                <w:snapToGrid w:val="0"/>
                <w:color w:val="auto"/>
                <w:kern w:val="18"/>
                <w:sz w:val="24"/>
                <w:lang w:val="en-US" w:eastAsia="zh-CN"/>
              </w:rPr>
              <w:t>③土壤环境风险防控底线</w:t>
            </w:r>
          </w:p>
          <w:p w14:paraId="2D4A540D">
            <w:pPr>
              <w:pStyle w:val="178"/>
              <w:adjustRightInd w:val="0"/>
              <w:snapToGrid w:val="0"/>
              <w:spacing w:line="360" w:lineRule="auto"/>
              <w:ind w:firstLine="480"/>
              <w:jc w:val="both"/>
              <w:rPr>
                <w:rFonts w:hint="eastAsia" w:ascii="Times New Roman" w:hAnsi="Times New Roman"/>
                <w:snapToGrid w:val="0"/>
                <w:color w:val="auto"/>
                <w:kern w:val="18"/>
                <w:sz w:val="24"/>
                <w:lang w:val="en-US" w:eastAsia="zh-CN"/>
              </w:rPr>
            </w:pPr>
            <w:r>
              <w:rPr>
                <w:rFonts w:ascii="Times New Roman" w:hAnsi="Times New Roman"/>
                <w:snapToGrid w:val="0"/>
                <w:color w:val="auto"/>
                <w:kern w:val="18"/>
                <w:sz w:val="24"/>
              </w:rPr>
              <w:t>根据</w:t>
            </w:r>
            <w:r>
              <w:rPr>
                <w:rFonts w:hint="eastAsia" w:ascii="Times New Roman" w:hAnsi="Times New Roman"/>
                <w:snapToGrid w:val="0"/>
                <w:color w:val="auto"/>
                <w:kern w:val="18"/>
                <w:sz w:val="24"/>
                <w:lang w:eastAsia="zh-CN"/>
              </w:rPr>
              <w:t>《宁德市“三线一单”生态环境分区管控方案》</w:t>
            </w:r>
            <w:r>
              <w:rPr>
                <w:rFonts w:ascii="Times New Roman" w:hAnsi="Times New Roman"/>
                <w:snapToGrid w:val="0"/>
                <w:color w:val="auto"/>
                <w:kern w:val="18"/>
                <w:sz w:val="24"/>
              </w:rPr>
              <w:t>，</w:t>
            </w:r>
            <w:r>
              <w:rPr>
                <w:rFonts w:hint="eastAsia" w:ascii="Times New Roman" w:hAnsi="Times New Roman"/>
                <w:snapToGrid w:val="0"/>
                <w:color w:val="auto"/>
                <w:kern w:val="18"/>
                <w:sz w:val="24"/>
                <w:lang w:val="en-US" w:eastAsia="zh-CN"/>
              </w:rPr>
              <w:t>到2025年，全市土壤环境质量保持稳定，土壤环境风险得到管控，受污染耕地和污染地块安全利用率达93％以上。</w:t>
            </w:r>
          </w:p>
          <w:p w14:paraId="3271DCF7">
            <w:pPr>
              <w:pStyle w:val="178"/>
              <w:adjustRightInd w:val="0"/>
              <w:snapToGrid w:val="0"/>
              <w:spacing w:line="360" w:lineRule="auto"/>
              <w:ind w:firstLine="480"/>
              <w:jc w:val="both"/>
              <w:rPr>
                <w:rFonts w:hint="eastAsia" w:ascii="Times New Roman" w:hAnsi="Times New Roman"/>
                <w:snapToGrid w:val="0"/>
                <w:color w:val="auto"/>
                <w:kern w:val="18"/>
                <w:sz w:val="24"/>
                <w:lang w:val="en-US" w:eastAsia="zh-CN"/>
              </w:rPr>
            </w:pPr>
            <w:r>
              <w:rPr>
                <w:rFonts w:hint="eastAsia" w:ascii="Times New Roman" w:hAnsi="Times New Roman"/>
                <w:snapToGrid w:val="0"/>
                <w:color w:val="auto"/>
                <w:kern w:val="18"/>
                <w:sz w:val="24"/>
                <w:lang w:val="en-US" w:eastAsia="zh-CN"/>
              </w:rPr>
              <w:t>项目</w:t>
            </w:r>
            <w:r>
              <w:rPr>
                <w:rFonts w:ascii="Times New Roman" w:hAnsi="Times New Roman"/>
                <w:snapToGrid w:val="0"/>
                <w:color w:val="auto"/>
                <w:kern w:val="18"/>
                <w:sz w:val="24"/>
              </w:rPr>
              <w:t>主要从事</w:t>
            </w:r>
            <w:r>
              <w:rPr>
                <w:rFonts w:hint="eastAsia"/>
                <w:color w:val="auto"/>
                <w:sz w:val="24"/>
                <w:szCs w:val="21"/>
                <w:lang w:eastAsia="zh-CN"/>
              </w:rPr>
              <w:t>生物质气化炉炭渣资源化综合利用项目</w:t>
            </w:r>
            <w:r>
              <w:rPr>
                <w:rFonts w:ascii="Times New Roman" w:hAnsi="Times New Roman"/>
                <w:snapToGrid w:val="0"/>
                <w:color w:val="auto"/>
                <w:kern w:val="18"/>
                <w:sz w:val="24"/>
              </w:rPr>
              <w:t>，</w:t>
            </w:r>
            <w:r>
              <w:rPr>
                <w:rFonts w:hint="eastAsia" w:ascii="Times New Roman" w:hAnsi="Times New Roman"/>
                <w:snapToGrid w:val="0"/>
                <w:color w:val="auto"/>
                <w:kern w:val="18"/>
                <w:sz w:val="24"/>
              </w:rPr>
              <w:t>不排放持久性污染物，不存在土壤环境风险，与土壤环境风险防控底线要求不冲突。</w:t>
            </w:r>
          </w:p>
          <w:p w14:paraId="1F58354A">
            <w:pPr>
              <w:pStyle w:val="178"/>
              <w:adjustRightInd w:val="0"/>
              <w:snapToGrid w:val="0"/>
              <w:spacing w:line="360" w:lineRule="auto"/>
              <w:ind w:firstLine="480"/>
              <w:jc w:val="both"/>
              <w:rPr>
                <w:rFonts w:ascii="Times New Roman" w:hAnsi="Times New Roman"/>
                <w:snapToGrid w:val="0"/>
                <w:color w:val="auto"/>
                <w:kern w:val="18"/>
                <w:sz w:val="24"/>
              </w:rPr>
            </w:pPr>
            <w:r>
              <w:rPr>
                <w:rFonts w:ascii="Times New Roman" w:hAnsi="Times New Roman"/>
                <w:snapToGrid w:val="0"/>
                <w:color w:val="auto"/>
                <w:kern w:val="18"/>
                <w:sz w:val="24"/>
              </w:rPr>
              <w:t>（3）资源利用上线</w:t>
            </w:r>
          </w:p>
          <w:p w14:paraId="2065E920">
            <w:pPr>
              <w:pStyle w:val="178"/>
              <w:adjustRightInd w:val="0"/>
              <w:snapToGrid w:val="0"/>
              <w:spacing w:line="360" w:lineRule="auto"/>
              <w:ind w:firstLine="480"/>
              <w:jc w:val="both"/>
              <w:rPr>
                <w:rFonts w:ascii="Times New Roman" w:hAnsi="Times New Roman"/>
                <w:snapToGrid w:val="0"/>
                <w:color w:val="auto"/>
                <w:kern w:val="18"/>
                <w:sz w:val="24"/>
              </w:rPr>
            </w:pPr>
            <w:r>
              <w:rPr>
                <w:rFonts w:ascii="Times New Roman" w:hAnsi="Times New Roman"/>
                <w:snapToGrid w:val="0"/>
                <w:color w:val="auto"/>
                <w:kern w:val="18"/>
                <w:sz w:val="24"/>
              </w:rPr>
              <w:t>根据</w:t>
            </w:r>
            <w:r>
              <w:rPr>
                <w:rFonts w:hint="eastAsia" w:ascii="Times New Roman" w:hAnsi="Times New Roman"/>
                <w:snapToGrid w:val="0"/>
                <w:color w:val="auto"/>
                <w:kern w:val="18"/>
                <w:sz w:val="24"/>
                <w:lang w:eastAsia="zh-CN"/>
              </w:rPr>
              <w:t>《宁德市“三线一单”生态环境分区管控方案》</w:t>
            </w:r>
            <w:r>
              <w:rPr>
                <w:rFonts w:ascii="Times New Roman" w:hAnsi="Times New Roman"/>
                <w:snapToGrid w:val="0"/>
                <w:color w:val="auto"/>
                <w:kern w:val="18"/>
                <w:sz w:val="24"/>
              </w:rPr>
              <w:t>，</w:t>
            </w:r>
            <w:r>
              <w:rPr>
                <w:rFonts w:hint="eastAsia" w:ascii="Times New Roman" w:hAnsi="Times New Roman"/>
                <w:snapToGrid w:val="0"/>
                <w:color w:val="auto"/>
                <w:kern w:val="18"/>
                <w:sz w:val="24"/>
              </w:rPr>
              <w:t>水资源利用上线衔接水资源管理“三条红线”，土地资源利用上线衔接国土空间总体规划要求，能源资源利用上线衔接节能减排、能源规划等文件要求</w:t>
            </w:r>
            <w:r>
              <w:rPr>
                <w:rFonts w:ascii="Times New Roman" w:hAnsi="Times New Roman"/>
                <w:snapToGrid w:val="0"/>
                <w:color w:val="auto"/>
                <w:kern w:val="18"/>
                <w:sz w:val="24"/>
              </w:rPr>
              <w:t>。</w:t>
            </w:r>
          </w:p>
          <w:p w14:paraId="1168E65B">
            <w:pPr>
              <w:pStyle w:val="178"/>
              <w:adjustRightInd w:val="0"/>
              <w:snapToGrid w:val="0"/>
              <w:spacing w:line="360" w:lineRule="auto"/>
              <w:ind w:firstLine="480"/>
              <w:rPr>
                <w:rFonts w:ascii="Times New Roman" w:hAnsi="Times New Roman"/>
                <w:snapToGrid w:val="0"/>
                <w:color w:val="auto"/>
                <w:kern w:val="18"/>
                <w:sz w:val="24"/>
              </w:rPr>
            </w:pPr>
            <w:r>
              <w:rPr>
                <w:rFonts w:ascii="Times New Roman" w:hAnsi="Times New Roman"/>
                <w:snapToGrid w:val="0"/>
                <w:color w:val="auto"/>
                <w:kern w:val="18"/>
                <w:sz w:val="24"/>
              </w:rPr>
              <w:t>本项目主要从事</w:t>
            </w:r>
            <w:r>
              <w:rPr>
                <w:rFonts w:hint="eastAsia"/>
                <w:color w:val="auto"/>
                <w:sz w:val="24"/>
                <w:szCs w:val="21"/>
                <w:lang w:eastAsia="zh-CN"/>
              </w:rPr>
              <w:t>生物质气化炉炭渣资源化综合利用项目</w:t>
            </w:r>
            <w:r>
              <w:rPr>
                <w:rFonts w:ascii="Times New Roman" w:hAnsi="Times New Roman"/>
                <w:snapToGrid w:val="0"/>
                <w:color w:val="auto"/>
                <w:kern w:val="18"/>
                <w:sz w:val="24"/>
              </w:rPr>
              <w:t>，用水为员工生活用水，用水来源于市政给水，用水量少</w:t>
            </w:r>
            <w:r>
              <w:rPr>
                <w:rFonts w:hint="eastAsia" w:ascii="Times New Roman" w:hAnsi="Times New Roman"/>
                <w:snapToGrid w:val="0"/>
                <w:color w:val="auto"/>
                <w:kern w:val="18"/>
                <w:sz w:val="24"/>
                <w:lang w:eastAsia="zh-CN"/>
              </w:rPr>
              <w:t>，</w:t>
            </w:r>
            <w:r>
              <w:rPr>
                <w:rFonts w:ascii="Times New Roman" w:hAnsi="Times New Roman"/>
                <w:snapToGrid w:val="0"/>
                <w:color w:val="auto"/>
                <w:kern w:val="18"/>
                <w:sz w:val="24"/>
              </w:rPr>
              <w:t>与宁德市水资源利用上线管控要求相符</w:t>
            </w:r>
            <w:r>
              <w:rPr>
                <w:rFonts w:hint="eastAsia" w:ascii="Times New Roman" w:hAnsi="Times New Roman"/>
                <w:snapToGrid w:val="0"/>
                <w:color w:val="auto"/>
                <w:kern w:val="18"/>
                <w:sz w:val="24"/>
                <w:lang w:eastAsia="zh-CN"/>
              </w:rPr>
              <w:t>；</w:t>
            </w:r>
            <w:r>
              <w:rPr>
                <w:rFonts w:ascii="Times New Roman" w:hAnsi="Times New Roman"/>
                <w:snapToGrid w:val="0"/>
                <w:color w:val="auto"/>
                <w:kern w:val="18"/>
                <w:sz w:val="24"/>
              </w:rPr>
              <w:t>本</w:t>
            </w:r>
            <w:r>
              <w:rPr>
                <w:rFonts w:hint="eastAsia" w:ascii="Times New Roman" w:hAnsi="Times New Roman"/>
                <w:snapToGrid w:val="0"/>
                <w:color w:val="auto"/>
                <w:kern w:val="18"/>
                <w:sz w:val="24"/>
                <w:lang w:val="en-US" w:eastAsia="zh-CN"/>
              </w:rPr>
              <w:t>项目租赁</w:t>
            </w:r>
            <w:r>
              <w:rPr>
                <w:rFonts w:ascii="Times New Roman" w:hAnsi="Times New Roman"/>
                <w:snapToGrid w:val="0"/>
                <w:color w:val="auto"/>
                <w:kern w:val="18"/>
                <w:sz w:val="24"/>
              </w:rPr>
              <w:t>现有已建厂房进行生产，不新增用地，不会突破土地资源利用上线</w:t>
            </w:r>
            <w:r>
              <w:rPr>
                <w:rFonts w:hint="eastAsia" w:ascii="Times New Roman" w:hAnsi="Times New Roman"/>
                <w:snapToGrid w:val="0"/>
                <w:color w:val="auto"/>
                <w:kern w:val="18"/>
                <w:sz w:val="24"/>
                <w:lang w:eastAsia="zh-CN"/>
              </w:rPr>
              <w:t>；</w:t>
            </w:r>
            <w:r>
              <w:rPr>
                <w:rFonts w:ascii="Times New Roman" w:hAnsi="Times New Roman"/>
                <w:snapToGrid w:val="0"/>
                <w:color w:val="auto"/>
                <w:kern w:val="18"/>
                <w:sz w:val="24"/>
              </w:rPr>
              <w:t>项目所在地不属于成果报告中划定的高污染燃料禁燃区，项目设备使用电能</w:t>
            </w:r>
            <w:r>
              <w:rPr>
                <w:rFonts w:hint="eastAsia" w:ascii="Times New Roman" w:hAnsi="Times New Roman"/>
                <w:snapToGrid w:val="0"/>
                <w:color w:val="auto"/>
                <w:kern w:val="18"/>
                <w:sz w:val="24"/>
                <w:lang w:val="en-US" w:eastAsia="zh-CN"/>
              </w:rPr>
              <w:t>及天然气</w:t>
            </w:r>
            <w:r>
              <w:rPr>
                <w:rFonts w:ascii="Times New Roman" w:hAnsi="Times New Roman"/>
                <w:snapToGrid w:val="0"/>
                <w:color w:val="auto"/>
                <w:kern w:val="18"/>
                <w:sz w:val="24"/>
              </w:rPr>
              <w:t>，与宁德市能源资源利用上线要求相符。</w:t>
            </w:r>
          </w:p>
          <w:p w14:paraId="120117E7">
            <w:pPr>
              <w:pStyle w:val="178"/>
              <w:adjustRightInd w:val="0"/>
              <w:snapToGrid w:val="0"/>
              <w:spacing w:line="360" w:lineRule="auto"/>
              <w:ind w:firstLine="480"/>
              <w:rPr>
                <w:rFonts w:ascii="Times New Roman" w:hAnsi="Times New Roman" w:eastAsia="宋体" w:cs="Times New Roman"/>
                <w:snapToGrid w:val="0"/>
                <w:color w:val="auto"/>
                <w:kern w:val="18"/>
                <w:sz w:val="24"/>
              </w:rPr>
            </w:pPr>
            <w:r>
              <w:rPr>
                <w:rFonts w:ascii="Times New Roman" w:hAnsi="Times New Roman" w:eastAsia="宋体" w:cs="Times New Roman"/>
                <w:snapToGrid w:val="0"/>
                <w:color w:val="auto"/>
                <w:kern w:val="18"/>
                <w:sz w:val="24"/>
              </w:rPr>
              <w:t>（4）环境准入清单</w:t>
            </w:r>
          </w:p>
          <w:p w14:paraId="15A6B7D6">
            <w:pPr>
              <w:pStyle w:val="178"/>
              <w:adjustRightInd w:val="0"/>
              <w:snapToGrid w:val="0"/>
              <w:spacing w:line="360" w:lineRule="auto"/>
              <w:ind w:firstLine="480"/>
              <w:rPr>
                <w:rFonts w:ascii="Times New Roman" w:hAnsi="Times New Roman" w:eastAsia="宋体" w:cs="Times New Roman"/>
                <w:snapToGrid w:val="0"/>
                <w:color w:val="auto"/>
                <w:kern w:val="18"/>
                <w:sz w:val="24"/>
              </w:rPr>
            </w:pPr>
            <w:r>
              <w:rPr>
                <w:rFonts w:hint="eastAsia" w:ascii="Times New Roman" w:hAnsi="Times New Roman" w:eastAsia="宋体" w:cs="Times New Roman"/>
                <w:snapToGrid w:val="0"/>
                <w:color w:val="auto"/>
                <w:kern w:val="18"/>
                <w:sz w:val="24"/>
              </w:rPr>
              <w:t>本项目</w:t>
            </w:r>
            <w:r>
              <w:rPr>
                <w:rFonts w:ascii="Times New Roman" w:hAnsi="Times New Roman"/>
                <w:snapToGrid w:val="0"/>
                <w:color w:val="auto"/>
                <w:kern w:val="18"/>
                <w:sz w:val="24"/>
              </w:rPr>
              <w:t>从事</w:t>
            </w:r>
            <w:r>
              <w:rPr>
                <w:rFonts w:hint="eastAsia"/>
                <w:color w:val="auto"/>
                <w:sz w:val="24"/>
                <w:szCs w:val="21"/>
                <w:lang w:eastAsia="zh-CN"/>
              </w:rPr>
              <w:t>生物质气化炉炭渣资源化综合利用</w:t>
            </w:r>
            <w:r>
              <w:rPr>
                <w:rFonts w:ascii="Times New Roman" w:hAnsi="Times New Roman"/>
                <w:snapToGrid w:val="0"/>
                <w:color w:val="auto"/>
                <w:kern w:val="18"/>
                <w:sz w:val="24"/>
              </w:rPr>
              <w:t>，</w:t>
            </w:r>
            <w:r>
              <w:rPr>
                <w:rFonts w:ascii="Times New Roman" w:hAnsi="Times New Roman" w:eastAsia="宋体" w:cs="Times New Roman"/>
                <w:snapToGrid w:val="0"/>
                <w:color w:val="auto"/>
                <w:kern w:val="18"/>
                <w:sz w:val="24"/>
              </w:rPr>
              <w:t>根据《宁德市生态环境准入清单》，项目对照宁德市生态环境总体准入要求，其管控要求见表1。</w:t>
            </w:r>
          </w:p>
          <w:p w14:paraId="00044F48">
            <w:pPr>
              <w:numPr>
                <w:ilvl w:val="0"/>
                <w:numId w:val="8"/>
              </w:numPr>
              <w:spacing w:before="120" w:beforeLines="5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 项目与宁德市生态环境总体准入要求符合性分析</w:t>
            </w:r>
          </w:p>
          <w:tbl>
            <w:tblPr>
              <w:tblStyle w:val="29"/>
              <w:tblW w:w="49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25"/>
              <w:gridCol w:w="4501"/>
              <w:gridCol w:w="955"/>
            </w:tblGrid>
            <w:tr w14:paraId="1915BC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39" w:type="pct"/>
                  <w:tcBorders>
                    <w:tl2br w:val="nil"/>
                    <w:tr2bl w:val="nil"/>
                  </w:tcBorders>
                  <w:noWrap w:val="0"/>
                  <w:vAlign w:val="center"/>
                </w:tcPr>
                <w:p w14:paraId="3D6D7B7F">
                  <w:pPr>
                    <w:pStyle w:val="202"/>
                    <w:rPr>
                      <w:color w:val="auto"/>
                    </w:rPr>
                  </w:pPr>
                  <w:r>
                    <w:rPr>
                      <w:color w:val="auto"/>
                    </w:rPr>
                    <w:t>适用范围</w:t>
                  </w:r>
                </w:p>
              </w:tc>
              <w:tc>
                <w:tcPr>
                  <w:tcW w:w="3771" w:type="pct"/>
                  <w:gridSpan w:val="2"/>
                  <w:tcBorders>
                    <w:tl2br w:val="nil"/>
                    <w:tr2bl w:val="nil"/>
                  </w:tcBorders>
                  <w:noWrap w:val="0"/>
                  <w:vAlign w:val="center"/>
                </w:tcPr>
                <w:p w14:paraId="386295C4">
                  <w:pPr>
                    <w:pStyle w:val="202"/>
                    <w:rPr>
                      <w:color w:val="auto"/>
                    </w:rPr>
                  </w:pPr>
                  <w:r>
                    <w:rPr>
                      <w:color w:val="auto"/>
                    </w:rPr>
                    <w:t>准入要求</w:t>
                  </w:r>
                </w:p>
              </w:tc>
              <w:tc>
                <w:tcPr>
                  <w:tcW w:w="689" w:type="pct"/>
                  <w:tcBorders>
                    <w:tl2br w:val="nil"/>
                    <w:tr2bl w:val="nil"/>
                  </w:tcBorders>
                  <w:noWrap w:val="0"/>
                  <w:vAlign w:val="center"/>
                </w:tcPr>
                <w:p w14:paraId="4BAAD6CD">
                  <w:pPr>
                    <w:pStyle w:val="202"/>
                    <w:rPr>
                      <w:color w:val="auto"/>
                    </w:rPr>
                  </w:pPr>
                  <w:r>
                    <w:rPr>
                      <w:color w:val="auto"/>
                    </w:rPr>
                    <w:t>符合性</w:t>
                  </w:r>
                </w:p>
              </w:tc>
            </w:tr>
            <w:tr w14:paraId="41025F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9" w:type="pct"/>
                  <w:vMerge w:val="restart"/>
                  <w:tcBorders>
                    <w:tl2br w:val="nil"/>
                    <w:tr2bl w:val="nil"/>
                  </w:tcBorders>
                  <w:noWrap w:val="0"/>
                  <w:vAlign w:val="center"/>
                </w:tcPr>
                <w:p w14:paraId="2F51F2F4">
                  <w:pPr>
                    <w:pStyle w:val="202"/>
                    <w:rPr>
                      <w:color w:val="auto"/>
                    </w:rPr>
                  </w:pPr>
                  <w:r>
                    <w:rPr>
                      <w:color w:val="auto"/>
                    </w:rPr>
                    <w:t>陆域</w:t>
                  </w:r>
                </w:p>
              </w:tc>
              <w:tc>
                <w:tcPr>
                  <w:tcW w:w="522" w:type="pct"/>
                  <w:tcBorders>
                    <w:tl2br w:val="nil"/>
                    <w:tr2bl w:val="nil"/>
                  </w:tcBorders>
                  <w:noWrap w:val="0"/>
                  <w:vAlign w:val="center"/>
                </w:tcPr>
                <w:p w14:paraId="27577B91">
                  <w:pPr>
                    <w:pStyle w:val="202"/>
                    <w:rPr>
                      <w:color w:val="auto"/>
                      <w:highlight w:val="none"/>
                    </w:rPr>
                  </w:pPr>
                  <w:r>
                    <w:rPr>
                      <w:color w:val="auto"/>
                      <w:highlight w:val="none"/>
                    </w:rPr>
                    <w:t>空间布局要求</w:t>
                  </w:r>
                </w:p>
              </w:tc>
              <w:tc>
                <w:tcPr>
                  <w:tcW w:w="3248" w:type="pct"/>
                  <w:tcBorders>
                    <w:tl2br w:val="nil"/>
                    <w:tr2bl w:val="nil"/>
                  </w:tcBorders>
                  <w:noWrap w:val="0"/>
                  <w:vAlign w:val="center"/>
                </w:tcPr>
                <w:p w14:paraId="3993C423">
                  <w:pPr>
                    <w:pStyle w:val="202"/>
                    <w:jc w:val="both"/>
                    <w:rPr>
                      <w:rFonts w:hint="eastAsia"/>
                      <w:color w:val="auto"/>
                      <w:highlight w:val="none"/>
                    </w:rPr>
                  </w:pPr>
                  <w:r>
                    <w:rPr>
                      <w:rFonts w:hint="eastAsia"/>
                      <w:color w:val="auto"/>
                      <w:highlight w:val="none"/>
                    </w:rPr>
                    <w:t>1.新建、扩建的涉及重点重金属污染物</w:t>
                  </w:r>
                  <w:r>
                    <w:rPr>
                      <w:rFonts w:hint="eastAsia"/>
                      <w:color w:val="auto"/>
                      <w:highlight w:val="none"/>
                      <w:vertAlign w:val="baseline"/>
                    </w:rPr>
                    <w:t>［1］</w:t>
                  </w:r>
                  <w:r>
                    <w:rPr>
                      <w:rFonts w:hint="eastAsia"/>
                      <w:color w:val="auto"/>
                      <w:highlight w:val="none"/>
                    </w:rPr>
                    <w:t>的有色金属冶炼、电镀、制革、石化、铅蓄电池制造企业应优先选择布设在依法合规设立并经规划环评、环境基础设施和环境风险防范措施齐全的产业园区。禁止低端落后产能向闽江中上游地区转移。禁止新建用汞的电石法（聚）氯乙烯生产工艺。加快推进专业电镀企业入园，到2025年底专业电镀企业入园率达到90%以上。</w:t>
                  </w:r>
                </w:p>
                <w:p w14:paraId="0B040FC6">
                  <w:pPr>
                    <w:pStyle w:val="202"/>
                    <w:jc w:val="both"/>
                    <w:rPr>
                      <w:rFonts w:hint="eastAsia"/>
                      <w:color w:val="auto"/>
                      <w:highlight w:val="none"/>
                    </w:rPr>
                  </w:pPr>
                  <w:r>
                    <w:rPr>
                      <w:rFonts w:hint="eastAsia"/>
                      <w:color w:val="auto"/>
                      <w:highlight w:val="none"/>
                    </w:rPr>
                    <w:t>2.禁止在流域上游新建、扩建重污染企业和项目。</w:t>
                  </w:r>
                </w:p>
                <w:p w14:paraId="39CBAAE1">
                  <w:pPr>
                    <w:pStyle w:val="202"/>
                    <w:jc w:val="both"/>
                    <w:rPr>
                      <w:rFonts w:hint="eastAsia"/>
                      <w:color w:val="auto"/>
                      <w:highlight w:val="none"/>
                    </w:rPr>
                  </w:pPr>
                  <w:r>
                    <w:rPr>
                      <w:rFonts w:hint="eastAsia"/>
                      <w:color w:val="auto"/>
                      <w:highlight w:val="none"/>
                    </w:rPr>
                    <w:t>3.禁止在流域水环境质量不能稳定达标的区域内，建设新增相应不达标污染物指标排放量的工业项目；禁止新建、扩建以发电为主的水电站。</w:t>
                  </w:r>
                </w:p>
                <w:p w14:paraId="3405F46C">
                  <w:pPr>
                    <w:pStyle w:val="202"/>
                    <w:jc w:val="both"/>
                    <w:rPr>
                      <w:rFonts w:hint="eastAsia"/>
                      <w:color w:val="auto"/>
                      <w:highlight w:val="none"/>
                    </w:rPr>
                  </w:pPr>
                  <w:r>
                    <w:rPr>
                      <w:rFonts w:hint="eastAsia"/>
                      <w:color w:val="auto"/>
                      <w:highlight w:val="none"/>
                    </w:rPr>
                    <w:t>4.禁止在通风廊道和主导风向的上风向布局大气重污染企业，推进建成区大气重污染企业搬迁或升级改造、环境风险企业搬迁或关闭退出。</w:t>
                  </w:r>
                </w:p>
                <w:p w14:paraId="4DE81E66">
                  <w:pPr>
                    <w:pStyle w:val="202"/>
                    <w:jc w:val="both"/>
                    <w:rPr>
                      <w:color w:val="auto"/>
                      <w:highlight w:val="none"/>
                    </w:rPr>
                  </w:pPr>
                  <w:r>
                    <w:rPr>
                      <w:rFonts w:hint="eastAsia"/>
                      <w:color w:val="auto"/>
                      <w:highlight w:val="none"/>
                    </w:rPr>
                    <w:t>5.单元内涉及永久基本农田的，应按照《福建省基本农田保护条例》（2010年修正本）、《国土资源部关于全面实行永久基本农田特殊保护的通知》（国土资规〔2018〕1号）、《中共中央国务院关于加强耕地保护和改进占补平衡的意见》（2017年1月9日）等相关文件要求进行严格管理。一般建设项目不得占用永久基本农田，重大建设项目选址确实难以避让永久基本农田的，必须依法依规办理。严禁通过擅自调整县乡国土空间规划，规避占用永久基本农田的审批。禁止随意砍伐防风固沙林和农田保护林。严格按照自然资源部、农业农村部、国家林业和草原局《关于严格耕地用途管制有关问题的通知》（自然资发〔2021〕166号）要求全面落实耕地用途管制。</w:t>
                  </w:r>
                </w:p>
              </w:tc>
              <w:tc>
                <w:tcPr>
                  <w:tcW w:w="689" w:type="pct"/>
                  <w:tcBorders>
                    <w:tl2br w:val="nil"/>
                    <w:tr2bl w:val="nil"/>
                  </w:tcBorders>
                  <w:noWrap w:val="0"/>
                  <w:vAlign w:val="center"/>
                </w:tcPr>
                <w:p w14:paraId="0EFB0A46">
                  <w:pPr>
                    <w:pStyle w:val="202"/>
                    <w:rPr>
                      <w:color w:val="auto"/>
                    </w:rPr>
                  </w:pPr>
                  <w:r>
                    <w:rPr>
                      <w:color w:val="auto"/>
                    </w:rPr>
                    <w:t>不涉及以上空间布局约束，符合</w:t>
                  </w:r>
                </w:p>
              </w:tc>
            </w:tr>
            <w:tr w14:paraId="30D8D8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9" w:type="pct"/>
                  <w:vMerge w:val="continue"/>
                  <w:tcBorders>
                    <w:tl2br w:val="nil"/>
                    <w:tr2bl w:val="nil"/>
                  </w:tcBorders>
                  <w:noWrap w:val="0"/>
                  <w:vAlign w:val="center"/>
                </w:tcPr>
                <w:p w14:paraId="630AE436">
                  <w:pPr>
                    <w:pStyle w:val="202"/>
                    <w:rPr>
                      <w:color w:val="auto"/>
                    </w:rPr>
                  </w:pPr>
                </w:p>
              </w:tc>
              <w:tc>
                <w:tcPr>
                  <w:tcW w:w="522" w:type="pct"/>
                  <w:tcBorders>
                    <w:tl2br w:val="nil"/>
                    <w:tr2bl w:val="nil"/>
                  </w:tcBorders>
                  <w:noWrap w:val="0"/>
                  <w:vAlign w:val="center"/>
                </w:tcPr>
                <w:p w14:paraId="39D2A2CA">
                  <w:pPr>
                    <w:pStyle w:val="202"/>
                    <w:rPr>
                      <w:color w:val="auto"/>
                    </w:rPr>
                  </w:pPr>
                  <w:r>
                    <w:rPr>
                      <w:color w:val="auto"/>
                    </w:rPr>
                    <w:t>污染物排放管控</w:t>
                  </w:r>
                </w:p>
              </w:tc>
              <w:tc>
                <w:tcPr>
                  <w:tcW w:w="3248" w:type="pct"/>
                  <w:tcBorders>
                    <w:tl2br w:val="nil"/>
                    <w:tr2bl w:val="nil"/>
                  </w:tcBorders>
                  <w:noWrap w:val="0"/>
                  <w:vAlign w:val="center"/>
                </w:tcPr>
                <w:p w14:paraId="1728C427">
                  <w:pPr>
                    <w:pStyle w:val="202"/>
                    <w:jc w:val="both"/>
                    <w:rPr>
                      <w:rFonts w:hint="eastAsia"/>
                      <w:color w:val="auto"/>
                    </w:rPr>
                  </w:pPr>
                  <w:r>
                    <w:rPr>
                      <w:rFonts w:hint="eastAsia"/>
                      <w:color w:val="auto"/>
                    </w:rPr>
                    <w:t>1.新建有色项目应执行大气污染物特别排放限值。</w:t>
                  </w:r>
                </w:p>
                <w:p w14:paraId="2C7E45AE">
                  <w:pPr>
                    <w:pStyle w:val="202"/>
                    <w:jc w:val="both"/>
                    <w:rPr>
                      <w:rFonts w:hint="eastAsia"/>
                      <w:color w:val="auto"/>
                    </w:rPr>
                  </w:pPr>
                  <w:r>
                    <w:rPr>
                      <w:rFonts w:hint="eastAsia"/>
                      <w:color w:val="auto"/>
                    </w:rPr>
                    <w:t>2.新建（含搬迁）钢铁项目应达到超低排放水平，大气污染物有组织排放、无组织排放以及运输过程应满足“环大气〔2019〕35号”有关指标和措施要求。现有钢铁企业应按照“闽环保大气〔2019〕7号”进度要求分步推进超低排放改造。</w:t>
                  </w:r>
                </w:p>
                <w:p w14:paraId="70FD922F">
                  <w:pPr>
                    <w:pStyle w:val="202"/>
                    <w:jc w:val="both"/>
                    <w:rPr>
                      <w:rFonts w:hint="eastAsia"/>
                      <w:color w:val="auto"/>
                    </w:rPr>
                  </w:pPr>
                  <w:r>
                    <w:rPr>
                      <w:rFonts w:hint="eastAsia"/>
                      <w:color w:val="auto"/>
                    </w:rPr>
                    <w:t>3.新、改、扩建重点行业</w:t>
                  </w:r>
                  <w:r>
                    <w:rPr>
                      <w:rFonts w:hint="eastAsia"/>
                      <w:color w:val="auto"/>
                      <w:vertAlign w:val="baseline"/>
                    </w:rPr>
                    <w:t>［2］</w:t>
                  </w:r>
                  <w:r>
                    <w:rPr>
                      <w:rFonts w:hint="eastAsia"/>
                      <w:color w:val="auto"/>
                    </w:rPr>
                    <w:t>建设项目要遵循重点重金属污染物排放“等量替代”原则，总量来源原则上应是同一重点行业内的削减量，当同一重点行业无法满足时可从其他重点行业调剂。</w:t>
                  </w:r>
                </w:p>
                <w:p w14:paraId="469F74BB">
                  <w:pPr>
                    <w:pStyle w:val="202"/>
                    <w:jc w:val="both"/>
                    <w:rPr>
                      <w:rFonts w:hint="eastAsia"/>
                      <w:color w:val="auto"/>
                    </w:rPr>
                  </w:pPr>
                  <w:r>
                    <w:rPr>
                      <w:rFonts w:hint="eastAsia"/>
                      <w:color w:val="auto"/>
                    </w:rPr>
                    <w:t>4.水泥行业新改扩建项目严格对照超低排放、能效标杆水平建设实施；现有项目超低排放改造应按文件（闽环规〔2023〕2号）的时限要求分步推进，2025年底前全面完成［3］［4］。</w:t>
                  </w:r>
                </w:p>
                <w:p w14:paraId="43FC336E">
                  <w:pPr>
                    <w:pStyle w:val="202"/>
                    <w:jc w:val="both"/>
                    <w:rPr>
                      <w:color w:val="auto"/>
                    </w:rPr>
                  </w:pPr>
                  <w:r>
                    <w:rPr>
                      <w:rFonts w:hint="eastAsia"/>
                      <w:color w:val="auto"/>
                    </w:rPr>
                    <w:t>5.以印染、皮革、农药、医药、涂料等行业为重点，推进有毒有害化学物质替代。化工园区新建项目实施“禁限控”化学物质管控措施，项目在开展环境影响评价时应严格落实相关要求，严格涉新污染物建设项目源头防控和准入管理。</w:t>
                  </w:r>
                </w:p>
              </w:tc>
              <w:tc>
                <w:tcPr>
                  <w:tcW w:w="689" w:type="pct"/>
                  <w:tcBorders>
                    <w:tl2br w:val="nil"/>
                    <w:tr2bl w:val="nil"/>
                  </w:tcBorders>
                  <w:noWrap w:val="0"/>
                  <w:vAlign w:val="center"/>
                </w:tcPr>
                <w:p w14:paraId="7998389D">
                  <w:pPr>
                    <w:pStyle w:val="202"/>
                    <w:rPr>
                      <w:color w:val="auto"/>
                    </w:rPr>
                  </w:pPr>
                  <w:r>
                    <w:rPr>
                      <w:color w:val="auto"/>
                    </w:rPr>
                    <w:t>不涉及以上行业，符合</w:t>
                  </w:r>
                </w:p>
              </w:tc>
            </w:tr>
            <w:tr w14:paraId="4F11A8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9" w:type="pct"/>
                  <w:vMerge w:val="continue"/>
                  <w:tcBorders>
                    <w:tl2br w:val="nil"/>
                    <w:tr2bl w:val="nil"/>
                  </w:tcBorders>
                  <w:noWrap w:val="0"/>
                  <w:vAlign w:val="center"/>
                </w:tcPr>
                <w:p w14:paraId="40AE2D49">
                  <w:pPr>
                    <w:pStyle w:val="202"/>
                    <w:rPr>
                      <w:color w:val="auto"/>
                    </w:rPr>
                  </w:pPr>
                </w:p>
              </w:tc>
              <w:tc>
                <w:tcPr>
                  <w:tcW w:w="522" w:type="pct"/>
                  <w:tcBorders>
                    <w:tl2br w:val="nil"/>
                    <w:tr2bl w:val="nil"/>
                  </w:tcBorders>
                  <w:noWrap w:val="0"/>
                  <w:vAlign w:val="center"/>
                </w:tcPr>
                <w:p w14:paraId="328CD791">
                  <w:pPr>
                    <w:pStyle w:val="202"/>
                    <w:rPr>
                      <w:color w:val="auto"/>
                    </w:rPr>
                  </w:pPr>
                  <w:r>
                    <w:rPr>
                      <w:rFonts w:hint="eastAsia"/>
                      <w:color w:val="auto"/>
                    </w:rPr>
                    <w:t>资源开发效率要求</w:t>
                  </w:r>
                </w:p>
              </w:tc>
              <w:tc>
                <w:tcPr>
                  <w:tcW w:w="3248" w:type="pct"/>
                  <w:tcBorders>
                    <w:tl2br w:val="nil"/>
                    <w:tr2bl w:val="nil"/>
                  </w:tcBorders>
                  <w:noWrap w:val="0"/>
                  <w:vAlign w:val="center"/>
                </w:tcPr>
                <w:p w14:paraId="770C82F9">
                  <w:pPr>
                    <w:pStyle w:val="202"/>
                    <w:jc w:val="both"/>
                    <w:rPr>
                      <w:color w:val="auto"/>
                    </w:rPr>
                  </w:pPr>
                  <w:r>
                    <w:rPr>
                      <w:rFonts w:hint="eastAsia"/>
                      <w:color w:val="auto"/>
                    </w:rPr>
                    <w:t>到2024年底，全市范围内每小时10蒸吨及以下燃煤锅炉全面淘汰（其中蕉城区、福鼎市、福安市要求在2023底前淘汰）；到2025年底，全市范围内每小时35蒸吨以下燃煤锅炉通过集中供热、清洁能源替代、深度治理等方式全面实现转型、升级、退出，县级及以上城市建成区在用锅炉（燃煤、燃油、燃生物质）全面改用电能等清洁能源或治理达到超低排放水平；全市不再新上每小时35蒸吨以下燃煤锅炉，以及每小时10蒸吨及以下燃生物质和其他使用高污染燃料的锅炉；集中供热管网覆盖范围内禁止新建、扩建分散燃煤、燃油等供热锅炉。</w:t>
                  </w:r>
                </w:p>
              </w:tc>
              <w:tc>
                <w:tcPr>
                  <w:tcW w:w="689" w:type="pct"/>
                  <w:tcBorders>
                    <w:tl2br w:val="nil"/>
                    <w:tr2bl w:val="nil"/>
                  </w:tcBorders>
                  <w:noWrap w:val="0"/>
                  <w:vAlign w:val="center"/>
                </w:tcPr>
                <w:p w14:paraId="429388A5">
                  <w:pPr>
                    <w:pStyle w:val="202"/>
                    <w:rPr>
                      <w:color w:val="auto"/>
                    </w:rPr>
                  </w:pPr>
                  <w:r>
                    <w:rPr>
                      <w:rFonts w:hint="eastAsia"/>
                      <w:color w:val="auto"/>
                      <w:highlight w:val="none"/>
                      <w:lang w:val="en-US" w:eastAsia="zh-CN"/>
                    </w:rPr>
                    <w:t>本项目使用电能、天然气等清洁能源，不涉及高污染燃料使用。</w:t>
                  </w:r>
                </w:p>
              </w:tc>
            </w:tr>
          </w:tbl>
          <w:p w14:paraId="2F3B107A">
            <w:pPr>
              <w:pStyle w:val="178"/>
              <w:adjustRightInd w:val="0"/>
              <w:snapToGrid w:val="0"/>
              <w:spacing w:line="360" w:lineRule="auto"/>
              <w:ind w:firstLine="480"/>
              <w:rPr>
                <w:rFonts w:hint="eastAsia" w:ascii="Times New Roman" w:hAnsi="Times New Roman" w:eastAsia="宋体" w:cs="Times New Roman"/>
                <w:snapToGrid w:val="0"/>
                <w:color w:val="auto"/>
                <w:kern w:val="18"/>
                <w:sz w:val="24"/>
              </w:rPr>
            </w:pPr>
            <w:r>
              <w:rPr>
                <w:rFonts w:hint="eastAsia" w:ascii="Times New Roman" w:hAnsi="Times New Roman" w:eastAsia="宋体" w:cs="Times New Roman"/>
                <w:snapToGrid w:val="0"/>
                <w:color w:val="auto"/>
                <w:kern w:val="18"/>
                <w:sz w:val="24"/>
              </w:rPr>
              <w:t>根据对照《市场准入负面清单（202</w:t>
            </w:r>
            <w:r>
              <w:rPr>
                <w:rFonts w:hint="eastAsia" w:ascii="Times New Roman" w:hAnsi="Times New Roman" w:eastAsia="宋体" w:cs="Times New Roman"/>
                <w:snapToGrid w:val="0"/>
                <w:color w:val="auto"/>
                <w:kern w:val="18"/>
                <w:sz w:val="24"/>
                <w:lang w:val="en-US" w:eastAsia="zh-CN"/>
              </w:rPr>
              <w:t>5</w:t>
            </w:r>
            <w:r>
              <w:rPr>
                <w:rFonts w:hint="eastAsia" w:ascii="Times New Roman" w:hAnsi="Times New Roman" w:eastAsia="宋体" w:cs="Times New Roman"/>
                <w:snapToGrid w:val="0"/>
                <w:color w:val="auto"/>
                <w:kern w:val="18"/>
                <w:sz w:val="24"/>
              </w:rPr>
              <w:t>年版）》可知</w:t>
            </w:r>
            <w:r>
              <w:rPr>
                <w:rFonts w:hint="eastAsia" w:ascii="Times New Roman" w:hAnsi="Times New Roman" w:cs="Times New Roman"/>
                <w:snapToGrid w:val="0"/>
                <w:color w:val="auto"/>
                <w:kern w:val="18"/>
                <w:sz w:val="24"/>
                <w:lang w:val="en-US" w:eastAsia="zh-CN"/>
              </w:rPr>
              <w:t>，</w:t>
            </w:r>
            <w:r>
              <w:rPr>
                <w:rFonts w:hint="eastAsia" w:ascii="Times New Roman" w:hAnsi="Times New Roman" w:eastAsia="宋体" w:cs="Times New Roman"/>
                <w:snapToGrid w:val="0"/>
                <w:color w:val="auto"/>
                <w:kern w:val="18"/>
                <w:sz w:val="24"/>
              </w:rPr>
              <w:t>本项目不在禁止准入的行业、工艺、产品及开发活动清单中。</w:t>
            </w:r>
          </w:p>
          <w:p w14:paraId="776A5037">
            <w:pPr>
              <w:pStyle w:val="178"/>
              <w:adjustRightInd w:val="0"/>
              <w:snapToGrid w:val="0"/>
              <w:spacing w:line="360" w:lineRule="auto"/>
              <w:ind w:firstLine="480"/>
              <w:rPr>
                <w:rFonts w:ascii="Times New Roman" w:hAnsi="Times New Roman" w:eastAsia="宋体" w:cs="Times New Roman"/>
                <w:snapToGrid w:val="0"/>
                <w:color w:val="auto"/>
                <w:kern w:val="18"/>
                <w:sz w:val="24"/>
              </w:rPr>
            </w:pPr>
            <w:r>
              <w:rPr>
                <w:rFonts w:hint="eastAsia" w:ascii="Times New Roman" w:hAnsi="Times New Roman" w:cs="Times New Roman"/>
                <w:snapToGrid w:val="0"/>
                <w:color w:val="auto"/>
                <w:kern w:val="18"/>
                <w:sz w:val="24"/>
                <w:lang w:val="en-US" w:eastAsia="zh-CN"/>
              </w:rPr>
              <w:t>据</w:t>
            </w:r>
            <w:r>
              <w:rPr>
                <w:rFonts w:hint="eastAsia" w:ascii="Times New Roman" w:hAnsi="Times New Roman" w:eastAsia="宋体" w:cs="Times New Roman"/>
                <w:snapToGrid w:val="0"/>
                <w:color w:val="auto"/>
                <w:kern w:val="18"/>
                <w:sz w:val="24"/>
              </w:rPr>
              <w:t>查询福建省生态环境分区管控数据应用平台查询结果</w:t>
            </w:r>
            <w:r>
              <w:rPr>
                <w:rFonts w:hint="eastAsia" w:ascii="Times New Roman" w:hAnsi="Times New Roman" w:eastAsia="宋体" w:cs="Times New Roman"/>
                <w:snapToGrid w:val="0"/>
                <w:color w:val="auto"/>
                <w:kern w:val="18"/>
                <w:sz w:val="24"/>
                <w:lang w:eastAsia="zh-CN"/>
              </w:rPr>
              <w:t>，</w:t>
            </w:r>
            <w:r>
              <w:rPr>
                <w:rFonts w:ascii="Times New Roman" w:hAnsi="Times New Roman" w:eastAsia="宋体" w:cs="Times New Roman"/>
                <w:snapToGrid w:val="0"/>
                <w:color w:val="auto"/>
                <w:kern w:val="18"/>
                <w:sz w:val="24"/>
              </w:rPr>
              <w:t>其管控要求见表</w:t>
            </w:r>
            <w:r>
              <w:rPr>
                <w:rFonts w:hint="eastAsia" w:ascii="Times New Roman" w:hAnsi="Times New Roman" w:eastAsia="宋体" w:cs="Times New Roman"/>
                <w:snapToGrid w:val="0"/>
                <w:color w:val="auto"/>
                <w:kern w:val="18"/>
                <w:sz w:val="24"/>
                <w:lang w:val="en-US" w:eastAsia="zh-CN"/>
              </w:rPr>
              <w:t>2</w:t>
            </w:r>
            <w:r>
              <w:rPr>
                <w:rFonts w:ascii="Times New Roman" w:hAnsi="Times New Roman" w:eastAsia="宋体" w:cs="Times New Roman"/>
                <w:snapToGrid w:val="0"/>
                <w:color w:val="auto"/>
                <w:kern w:val="18"/>
                <w:sz w:val="24"/>
              </w:rPr>
              <w:t>。</w:t>
            </w:r>
          </w:p>
          <w:p w14:paraId="24A51BFC">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kern w:val="2"/>
                <w:sz w:val="24"/>
                <w:szCs w:val="21"/>
                <w:lang w:val="en-US" w:eastAsia="zh-CN" w:bidi="ar-SA"/>
              </w:rPr>
            </w:pPr>
          </w:p>
        </w:tc>
      </w:tr>
    </w:tbl>
    <w:p w14:paraId="33FA9BE9">
      <w:pPr>
        <w:sectPr>
          <w:footerReference r:id="rId6" w:type="default"/>
          <w:pgSz w:w="11906" w:h="16838"/>
          <w:pgMar w:top="1701" w:right="1531" w:bottom="1701" w:left="1531" w:header="851" w:footer="992" w:gutter="0"/>
          <w:pgBorders>
            <w:top w:val="none" w:sz="0" w:space="0"/>
            <w:left w:val="none" w:sz="0" w:space="0"/>
            <w:bottom w:val="none" w:sz="0" w:space="0"/>
            <w:right w:val="none" w:sz="0" w:space="0"/>
          </w:pgBorders>
          <w:pgNumType w:start="1"/>
          <w:cols w:space="720" w:num="1"/>
          <w:docGrid w:linePitch="312" w:charSpace="0"/>
        </w:sectPr>
      </w:pP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3492"/>
      </w:tblGrid>
      <w:tr w14:paraId="49771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 w:hRule="atLeast"/>
          <w:jc w:val="center"/>
        </w:trPr>
        <w:tc>
          <w:tcPr>
            <w:tcW w:w="5000" w:type="pct"/>
            <w:noWrap w:val="0"/>
            <w:vAlign w:val="center"/>
          </w:tcPr>
          <w:p w14:paraId="4CEAA478">
            <w:pPr>
              <w:numPr>
                <w:ilvl w:val="0"/>
                <w:numId w:val="8"/>
              </w:numPr>
              <w:spacing w:before="120" w:beforeLines="5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宁德市福鼎市生态环境准入清单符合性分析</w:t>
            </w:r>
          </w:p>
          <w:tbl>
            <w:tblPr>
              <w:tblStyle w:val="29"/>
              <w:tblW w:w="498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333"/>
              <w:gridCol w:w="5993"/>
              <w:gridCol w:w="4288"/>
            </w:tblGrid>
            <w:tr w14:paraId="7FCDB8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68" w:type="pct"/>
                  <w:tcBorders>
                    <w:tl2br w:val="nil"/>
                    <w:tr2bl w:val="nil"/>
                  </w:tcBorders>
                  <w:noWrap w:val="0"/>
                  <w:vAlign w:val="center"/>
                </w:tcPr>
                <w:p w14:paraId="3CA2CB36">
                  <w:pPr>
                    <w:pStyle w:val="202"/>
                    <w:rPr>
                      <w:color w:val="auto"/>
                    </w:rPr>
                  </w:pPr>
                  <w:r>
                    <w:rPr>
                      <w:color w:val="auto"/>
                    </w:rPr>
                    <w:t>适用范围</w:t>
                  </w:r>
                </w:p>
              </w:tc>
              <w:tc>
                <w:tcPr>
                  <w:tcW w:w="2732" w:type="pct"/>
                  <w:gridSpan w:val="2"/>
                  <w:tcBorders>
                    <w:tl2br w:val="nil"/>
                    <w:tr2bl w:val="nil"/>
                  </w:tcBorders>
                  <w:noWrap w:val="0"/>
                  <w:vAlign w:val="center"/>
                </w:tcPr>
                <w:p w14:paraId="65137985">
                  <w:pPr>
                    <w:pStyle w:val="202"/>
                    <w:rPr>
                      <w:color w:val="auto"/>
                    </w:rPr>
                  </w:pPr>
                  <w:r>
                    <w:rPr>
                      <w:color w:val="auto"/>
                    </w:rPr>
                    <w:t>准入要求</w:t>
                  </w:r>
                </w:p>
              </w:tc>
              <w:tc>
                <w:tcPr>
                  <w:tcW w:w="1599" w:type="pct"/>
                  <w:tcBorders>
                    <w:tl2br w:val="nil"/>
                    <w:tr2bl w:val="nil"/>
                  </w:tcBorders>
                  <w:noWrap w:val="0"/>
                  <w:vAlign w:val="center"/>
                </w:tcPr>
                <w:p w14:paraId="6AD68EEC">
                  <w:pPr>
                    <w:pStyle w:val="202"/>
                    <w:rPr>
                      <w:color w:val="auto"/>
                    </w:rPr>
                  </w:pPr>
                  <w:r>
                    <w:rPr>
                      <w:color w:val="auto"/>
                    </w:rPr>
                    <w:t>符合性</w:t>
                  </w:r>
                </w:p>
              </w:tc>
            </w:tr>
            <w:tr w14:paraId="7EF396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vMerge w:val="restart"/>
                  <w:tcBorders>
                    <w:tl2br w:val="nil"/>
                    <w:tr2bl w:val="nil"/>
                  </w:tcBorders>
                  <w:shd w:val="clear" w:color="auto" w:fill="auto"/>
                  <w:noWrap w:val="0"/>
                  <w:vAlign w:val="center"/>
                </w:tcPr>
                <w:p w14:paraId="41D1C3EF">
                  <w:pPr>
                    <w:pStyle w:val="202"/>
                    <w:rPr>
                      <w:rFonts w:ascii="Times New Roman" w:hAnsi="Times New Roman" w:eastAsia="宋体" w:cs="Times New Roman"/>
                      <w:color w:val="auto"/>
                      <w:kern w:val="2"/>
                      <w:sz w:val="21"/>
                      <w:szCs w:val="21"/>
                      <w:lang w:val="en-US" w:eastAsia="zh-CN" w:bidi="ar-SA"/>
                    </w:rPr>
                  </w:pPr>
                  <w:r>
                    <w:rPr>
                      <w:rFonts w:hint="eastAsia"/>
                      <w:color w:val="auto"/>
                    </w:rPr>
                    <w:t>福鼎市一般管控单元ZH35098230001</w:t>
                  </w:r>
                </w:p>
              </w:tc>
              <w:tc>
                <w:tcPr>
                  <w:tcW w:w="497" w:type="pct"/>
                  <w:tcBorders>
                    <w:tl2br w:val="nil"/>
                    <w:tr2bl w:val="nil"/>
                  </w:tcBorders>
                  <w:shd w:val="clear" w:color="auto" w:fill="auto"/>
                  <w:noWrap w:val="0"/>
                  <w:vAlign w:val="center"/>
                </w:tcPr>
                <w:p w14:paraId="07D6D319">
                  <w:pPr>
                    <w:pStyle w:val="202"/>
                    <w:rPr>
                      <w:rFonts w:hint="eastAsia" w:ascii="Times New Roman" w:hAnsi="Times New Roman" w:eastAsia="宋体" w:cs="Times New Roman"/>
                      <w:color w:val="auto"/>
                      <w:kern w:val="2"/>
                      <w:sz w:val="21"/>
                      <w:szCs w:val="21"/>
                      <w:lang w:val="en-US" w:eastAsia="zh-CN" w:bidi="ar-SA"/>
                    </w:rPr>
                  </w:pPr>
                  <w:r>
                    <w:rPr>
                      <w:color w:val="auto"/>
                    </w:rPr>
                    <w:t>空间布局</w:t>
                  </w:r>
                  <w:r>
                    <w:rPr>
                      <w:rFonts w:hint="eastAsia"/>
                      <w:color w:val="auto"/>
                      <w:lang w:val="en-US" w:eastAsia="zh-CN"/>
                    </w:rPr>
                    <w:t>约束</w:t>
                  </w:r>
                </w:p>
              </w:tc>
              <w:tc>
                <w:tcPr>
                  <w:tcW w:w="2234" w:type="pct"/>
                  <w:tcBorders>
                    <w:tl2br w:val="nil"/>
                    <w:tr2bl w:val="nil"/>
                  </w:tcBorders>
                  <w:shd w:val="clear" w:color="auto" w:fill="auto"/>
                  <w:noWrap w:val="0"/>
                  <w:vAlign w:val="center"/>
                </w:tcPr>
                <w:p w14:paraId="51171654">
                  <w:pPr>
                    <w:pStyle w:val="202"/>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aps w:val="0"/>
                      <w:color w:val="auto"/>
                      <w:spacing w:val="0"/>
                      <w:sz w:val="21"/>
                      <w:szCs w:val="21"/>
                      <w:shd w:val="clear" w:fill="FFFFFF"/>
                    </w:rPr>
                    <w:t>一般建设项目不得占用永久基本农田，重大建设项目选址确实难以避让永久基本农田的，必须依法依规办理。严禁通过擅自调整县乡国土空间规划，规避占用永久基本农田的审批。2.禁止随意砍伐防风固沙林和农田保护林。</w:t>
                  </w:r>
                </w:p>
              </w:tc>
              <w:tc>
                <w:tcPr>
                  <w:tcW w:w="1599" w:type="pct"/>
                  <w:tcBorders>
                    <w:tl2br w:val="nil"/>
                    <w:tr2bl w:val="nil"/>
                  </w:tcBorders>
                  <w:shd w:val="clear" w:color="auto" w:fill="auto"/>
                  <w:noWrap w:val="0"/>
                  <w:vAlign w:val="center"/>
                </w:tcPr>
                <w:p w14:paraId="622175FF">
                  <w:pPr>
                    <w:pStyle w:val="202"/>
                    <w:jc w:val="both"/>
                    <w:rPr>
                      <w:rFonts w:hint="eastAsia" w:ascii="Times New Roman" w:hAnsi="Times New Roman" w:eastAsia="宋体" w:cs="Times New Roman"/>
                      <w:color w:val="auto"/>
                      <w:kern w:val="2"/>
                      <w:sz w:val="21"/>
                      <w:szCs w:val="21"/>
                      <w:lang w:val="en-US" w:eastAsia="zh-CN" w:bidi="ar-SA"/>
                    </w:rPr>
                  </w:pPr>
                  <w:r>
                    <w:rPr>
                      <w:rFonts w:hint="eastAsia"/>
                      <w:color w:val="auto"/>
                    </w:rPr>
                    <w:t>本项目</w:t>
                  </w:r>
                  <w:r>
                    <w:rPr>
                      <w:color w:val="auto"/>
                    </w:rPr>
                    <w:t>为</w:t>
                  </w:r>
                  <w:r>
                    <w:rPr>
                      <w:rFonts w:hint="eastAsia"/>
                      <w:color w:val="auto"/>
                      <w:lang w:eastAsia="zh-CN"/>
                    </w:rPr>
                    <w:t>生物质气化炉炭渣资源化综合利用项目，</w:t>
                  </w:r>
                  <w:r>
                    <w:rPr>
                      <w:rFonts w:hint="eastAsia"/>
                      <w:color w:val="auto"/>
                      <w:lang w:val="en-US" w:eastAsia="zh-CN"/>
                    </w:rPr>
                    <w:t>租赁</w:t>
                  </w:r>
                  <w:r>
                    <w:rPr>
                      <w:rFonts w:hint="eastAsia"/>
                      <w:color w:val="auto"/>
                    </w:rPr>
                    <w:t>现有厂房</w:t>
                  </w:r>
                  <w:r>
                    <w:rPr>
                      <w:rFonts w:hint="eastAsia"/>
                      <w:color w:val="auto"/>
                      <w:lang w:val="en-US" w:eastAsia="zh-CN"/>
                    </w:rPr>
                    <w:t>进行生产</w:t>
                  </w:r>
                  <w:r>
                    <w:rPr>
                      <w:rFonts w:hint="eastAsia"/>
                      <w:color w:val="auto"/>
                    </w:rPr>
                    <w:t>，</w:t>
                  </w:r>
                  <w:r>
                    <w:rPr>
                      <w:rFonts w:hint="eastAsia"/>
                      <w:color w:val="auto"/>
                      <w:lang w:val="en-US" w:eastAsia="zh-CN"/>
                    </w:rPr>
                    <w:t>不涉及占用</w:t>
                  </w:r>
                  <w:r>
                    <w:rPr>
                      <w:rFonts w:hint="default" w:ascii="Times New Roman" w:hAnsi="Times New Roman" w:eastAsia="宋体" w:cs="Times New Roman"/>
                      <w:i w:val="0"/>
                      <w:iCs w:val="0"/>
                      <w:caps w:val="0"/>
                      <w:color w:val="auto"/>
                      <w:spacing w:val="0"/>
                      <w:sz w:val="21"/>
                      <w:szCs w:val="21"/>
                      <w:shd w:val="clear" w:fill="FFFFFF"/>
                    </w:rPr>
                    <w:t>永久基本农田</w:t>
                  </w:r>
                  <w:r>
                    <w:rPr>
                      <w:rFonts w:hint="eastAsia"/>
                      <w:color w:val="auto"/>
                      <w:lang w:val="en-US" w:eastAsia="zh-CN"/>
                    </w:rPr>
                    <w:t>。</w:t>
                  </w:r>
                </w:p>
              </w:tc>
            </w:tr>
            <w:tr w14:paraId="5AF076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vMerge w:val="continue"/>
                  <w:tcBorders>
                    <w:tl2br w:val="nil"/>
                    <w:tr2bl w:val="nil"/>
                  </w:tcBorders>
                  <w:noWrap w:val="0"/>
                  <w:vAlign w:val="center"/>
                </w:tcPr>
                <w:p w14:paraId="56A9406B">
                  <w:pPr>
                    <w:pStyle w:val="202"/>
                    <w:rPr>
                      <w:color w:val="auto"/>
                      <w:highlight w:val="none"/>
                    </w:rPr>
                  </w:pPr>
                </w:p>
              </w:tc>
              <w:tc>
                <w:tcPr>
                  <w:tcW w:w="497" w:type="pct"/>
                  <w:tcBorders>
                    <w:tl2br w:val="nil"/>
                    <w:tr2bl w:val="nil"/>
                  </w:tcBorders>
                  <w:shd w:val="clear" w:color="auto" w:fill="auto"/>
                  <w:noWrap w:val="0"/>
                  <w:vAlign w:val="center"/>
                </w:tcPr>
                <w:p w14:paraId="7CD4A0F8">
                  <w:pPr>
                    <w:pStyle w:val="20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资源开发效率要求</w:t>
                  </w:r>
                </w:p>
              </w:tc>
              <w:tc>
                <w:tcPr>
                  <w:tcW w:w="2234" w:type="pct"/>
                  <w:tcBorders>
                    <w:tl2br w:val="nil"/>
                    <w:tr2bl w:val="nil"/>
                  </w:tcBorders>
                  <w:shd w:val="clear" w:color="auto" w:fill="auto"/>
                  <w:noWrap w:val="0"/>
                  <w:vAlign w:val="center"/>
                </w:tcPr>
                <w:p w14:paraId="3453EB27">
                  <w:pPr>
                    <w:pStyle w:val="202"/>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aps w:val="0"/>
                      <w:color w:val="auto"/>
                      <w:spacing w:val="0"/>
                      <w:sz w:val="21"/>
                      <w:szCs w:val="21"/>
                      <w:shd w:val="clear" w:fill="FFFFFF"/>
                    </w:rPr>
                    <w:t>禁燃区内，禁止销售、燃用高污染燃料，禁止新建、改建、扩建燃用高污染燃料的设施。</w:t>
                  </w:r>
                </w:p>
              </w:tc>
              <w:tc>
                <w:tcPr>
                  <w:tcW w:w="1599" w:type="pct"/>
                  <w:tcBorders>
                    <w:tl2br w:val="nil"/>
                    <w:tr2bl w:val="nil"/>
                  </w:tcBorders>
                  <w:shd w:val="clear" w:color="auto" w:fill="auto"/>
                  <w:noWrap w:val="0"/>
                  <w:vAlign w:val="center"/>
                </w:tcPr>
                <w:p w14:paraId="79159604">
                  <w:pPr>
                    <w:pStyle w:val="202"/>
                    <w:jc w:val="both"/>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本项目使用电能、天然气作为能源，不涉及高污染燃料使用。</w:t>
                  </w:r>
                </w:p>
              </w:tc>
            </w:tr>
            <w:tr w14:paraId="0068D6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vMerge w:val="restart"/>
                  <w:tcBorders>
                    <w:tl2br w:val="nil"/>
                    <w:tr2bl w:val="nil"/>
                  </w:tcBorders>
                  <w:noWrap w:val="0"/>
                  <w:vAlign w:val="center"/>
                </w:tcPr>
                <w:p w14:paraId="6CEE0EFF">
                  <w:pPr>
                    <w:pStyle w:val="202"/>
                    <w:rPr>
                      <w:color w:val="auto"/>
                      <w:highlight w:val="none"/>
                    </w:rPr>
                  </w:pPr>
                  <w:r>
                    <w:rPr>
                      <w:rFonts w:hint="eastAsia"/>
                      <w:color w:val="auto"/>
                      <w:highlight w:val="none"/>
                    </w:rPr>
                    <w:t>福鼎市一般生态空间</w:t>
                  </w:r>
                  <w:r>
                    <w:rPr>
                      <w:rFonts w:hint="eastAsia"/>
                      <w:color w:val="auto"/>
                      <w:highlight w:val="none"/>
                      <w:lang w:val="en-US" w:eastAsia="zh-CN"/>
                    </w:rPr>
                    <w:t>-</w:t>
                  </w:r>
                  <w:r>
                    <w:rPr>
                      <w:rFonts w:hint="eastAsia"/>
                      <w:color w:val="auto"/>
                      <w:highlight w:val="none"/>
                    </w:rPr>
                    <w:t>水土保持生态功能重要区域</w:t>
                  </w:r>
                </w:p>
              </w:tc>
              <w:tc>
                <w:tcPr>
                  <w:tcW w:w="497" w:type="pct"/>
                  <w:tcBorders>
                    <w:tl2br w:val="nil"/>
                    <w:tr2bl w:val="nil"/>
                  </w:tcBorders>
                  <w:noWrap w:val="0"/>
                  <w:vAlign w:val="center"/>
                </w:tcPr>
                <w:p w14:paraId="79714CE7">
                  <w:pPr>
                    <w:pStyle w:val="202"/>
                    <w:rPr>
                      <w:rFonts w:hint="eastAsia"/>
                      <w:color w:val="auto"/>
                      <w:highlight w:val="none"/>
                    </w:rPr>
                  </w:pPr>
                  <w:r>
                    <w:rPr>
                      <w:rFonts w:hint="eastAsia"/>
                      <w:color w:val="auto"/>
                      <w:highlight w:val="none"/>
                    </w:rPr>
                    <w:t>空间布局约束</w:t>
                  </w:r>
                </w:p>
              </w:tc>
              <w:tc>
                <w:tcPr>
                  <w:tcW w:w="2234" w:type="pct"/>
                  <w:tcBorders>
                    <w:tl2br w:val="nil"/>
                    <w:tr2bl w:val="nil"/>
                  </w:tcBorders>
                  <w:noWrap w:val="0"/>
                  <w:vAlign w:val="center"/>
                </w:tcPr>
                <w:p w14:paraId="74265B63">
                  <w:pPr>
                    <w:pStyle w:val="202"/>
                    <w:jc w:val="both"/>
                    <w:rPr>
                      <w:rFonts w:hint="default" w:ascii="Times New Roman" w:hAnsi="Times New Roman" w:eastAsia="宋体" w:cs="Times New Roman"/>
                      <w:i w:val="0"/>
                      <w:iCs w:val="0"/>
                      <w:caps w:val="0"/>
                      <w:color w:val="auto"/>
                      <w:spacing w:val="0"/>
                      <w:sz w:val="21"/>
                      <w:szCs w:val="21"/>
                      <w:shd w:val="clear" w:fill="FFFFFF"/>
                    </w:rPr>
                  </w:pPr>
                  <w:r>
                    <w:rPr>
                      <w:rFonts w:hint="default" w:ascii="Times New Roman" w:hAnsi="Times New Roman" w:eastAsia="宋体" w:cs="Times New Roman"/>
                      <w:i w:val="0"/>
                      <w:iCs w:val="0"/>
                      <w:caps w:val="0"/>
                      <w:color w:val="auto"/>
                      <w:spacing w:val="0"/>
                      <w:sz w:val="21"/>
                      <w:szCs w:val="21"/>
                      <w:shd w:val="clear" w:fill="FFFFFF"/>
                    </w:rPr>
                    <w:t>除落实一般生态空间的管控要求外，依据《福建省水土保持条例》（2022年）的相关要求进行管理。禁止行为：1.禁止在下列区域挖砂、取土、采石、挖土洗砂或者从事其他可能造成水土流失的活动：（1）小（1）型以上水库设计蓄水线以上、重要饮用水水源地一重山范围内的山坡地；（2）重点流域干流、一级支流两岸外延五百米或者一重山范围内；（3）铁路、公路两侧外延五十米范围内十度以上的山坡地。2.禁止在二十五度以上陡坡地和饮用水水源一级保护区的山坡地开垦种植农作物。3.禁止全坡面开垦、顺坡开垦耕种等不合理的开发生产活动。在水土流失重点治理区禁止皆伐和炼山整地。4.禁止开垦、开发、占用和破坏植物保护带。限制行为：1.在二十五度以上陡坡地种植经济林的，应当科学选择树种，合理确定规模，采取水土保持措施，防止造成水土流失。2.在水土流失重点预防区从事林业生产活动的，提倡实行择伐作业，控制炼山整地。</w:t>
                  </w:r>
                </w:p>
              </w:tc>
              <w:tc>
                <w:tcPr>
                  <w:tcW w:w="1599" w:type="pct"/>
                  <w:tcBorders>
                    <w:tl2br w:val="nil"/>
                    <w:tr2bl w:val="nil"/>
                  </w:tcBorders>
                  <w:noWrap w:val="0"/>
                  <w:vAlign w:val="center"/>
                </w:tcPr>
                <w:p w14:paraId="1F1A11B8">
                  <w:pPr>
                    <w:pStyle w:val="202"/>
                    <w:jc w:val="both"/>
                    <w:rPr>
                      <w:rFonts w:hint="default"/>
                      <w:color w:val="auto"/>
                      <w:highlight w:val="none"/>
                      <w:lang w:val="en-US" w:eastAsia="zh-CN"/>
                    </w:rPr>
                  </w:pPr>
                  <w:r>
                    <w:rPr>
                      <w:rFonts w:hint="eastAsia"/>
                      <w:color w:val="auto"/>
                    </w:rPr>
                    <w:t>本项目</w:t>
                  </w:r>
                  <w:r>
                    <w:rPr>
                      <w:color w:val="auto"/>
                    </w:rPr>
                    <w:t>为</w:t>
                  </w:r>
                  <w:r>
                    <w:rPr>
                      <w:rFonts w:hint="eastAsia"/>
                      <w:color w:val="auto"/>
                      <w:lang w:eastAsia="zh-CN"/>
                    </w:rPr>
                    <w:t>生物质气化炉炭渣资源化综合利用项目，</w:t>
                  </w:r>
                  <w:r>
                    <w:rPr>
                      <w:rFonts w:hint="eastAsia"/>
                      <w:color w:val="auto"/>
                      <w:lang w:val="en-US" w:eastAsia="zh-CN"/>
                    </w:rPr>
                    <w:t>租赁</w:t>
                  </w:r>
                  <w:r>
                    <w:rPr>
                      <w:rFonts w:hint="eastAsia"/>
                      <w:color w:val="auto"/>
                    </w:rPr>
                    <w:t>现有厂房</w:t>
                  </w:r>
                  <w:r>
                    <w:rPr>
                      <w:rFonts w:hint="eastAsia"/>
                      <w:color w:val="auto"/>
                      <w:lang w:val="en-US" w:eastAsia="zh-CN"/>
                    </w:rPr>
                    <w:t>进行生产</w:t>
                  </w:r>
                  <w:r>
                    <w:rPr>
                      <w:rFonts w:hint="eastAsia"/>
                      <w:color w:val="auto"/>
                    </w:rPr>
                    <w:t>，</w:t>
                  </w:r>
                  <w:r>
                    <w:rPr>
                      <w:rFonts w:hint="eastAsia"/>
                      <w:color w:val="auto"/>
                      <w:lang w:val="en-US" w:eastAsia="zh-CN"/>
                    </w:rPr>
                    <w:t>不涉及挖砂、取土、采石、挖土洗砂或者从事其他可能造成水土流失的活动，不涉及开垦种植农作物。本项目</w:t>
                  </w:r>
                  <w:r>
                    <w:rPr>
                      <w:rFonts w:hint="eastAsia"/>
                      <w:color w:val="auto"/>
                      <w:vertAlign w:val="baseline"/>
                      <w:lang w:val="en-US" w:eastAsia="zh-CN"/>
                    </w:rPr>
                    <w:t>已取得合法用地手续且</w:t>
                  </w:r>
                  <w:r>
                    <w:rPr>
                      <w:rFonts w:hint="eastAsia"/>
                      <w:color w:val="auto"/>
                      <w:lang w:val="en-US" w:eastAsia="zh-CN"/>
                    </w:rPr>
                    <w:t>已被列入市本级重点项目申报名单（见附件11）</w:t>
                  </w:r>
                  <w:r>
                    <w:rPr>
                      <w:rFonts w:hint="eastAsia"/>
                      <w:color w:val="auto"/>
                      <w:vertAlign w:val="baseline"/>
                      <w:lang w:val="en-US" w:eastAsia="zh-CN"/>
                    </w:rPr>
                    <w:t>。</w:t>
                  </w:r>
                </w:p>
              </w:tc>
            </w:tr>
            <w:tr w14:paraId="05F007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vMerge w:val="continue"/>
                  <w:tcBorders>
                    <w:tl2br w:val="nil"/>
                    <w:tr2bl w:val="nil"/>
                  </w:tcBorders>
                  <w:noWrap w:val="0"/>
                  <w:vAlign w:val="center"/>
                </w:tcPr>
                <w:p w14:paraId="0D2B1609">
                  <w:pPr>
                    <w:pStyle w:val="202"/>
                    <w:rPr>
                      <w:color w:val="auto"/>
                      <w:highlight w:val="none"/>
                    </w:rPr>
                  </w:pPr>
                </w:p>
              </w:tc>
              <w:tc>
                <w:tcPr>
                  <w:tcW w:w="497" w:type="pct"/>
                  <w:tcBorders>
                    <w:tl2br w:val="nil"/>
                    <w:tr2bl w:val="nil"/>
                  </w:tcBorders>
                  <w:noWrap w:val="0"/>
                  <w:vAlign w:val="center"/>
                </w:tcPr>
                <w:p w14:paraId="0A16385C">
                  <w:pPr>
                    <w:pStyle w:val="202"/>
                    <w:rPr>
                      <w:rFonts w:hint="eastAsia"/>
                      <w:color w:val="auto"/>
                      <w:highlight w:val="none"/>
                    </w:rPr>
                  </w:pPr>
                  <w:r>
                    <w:rPr>
                      <w:rFonts w:hint="eastAsia"/>
                      <w:color w:val="auto"/>
                      <w:highlight w:val="none"/>
                    </w:rPr>
                    <w:t>资源开发效率要求</w:t>
                  </w:r>
                </w:p>
              </w:tc>
              <w:tc>
                <w:tcPr>
                  <w:tcW w:w="2234" w:type="pct"/>
                  <w:tcBorders>
                    <w:tl2br w:val="nil"/>
                    <w:tr2bl w:val="nil"/>
                  </w:tcBorders>
                  <w:noWrap w:val="0"/>
                  <w:vAlign w:val="center"/>
                </w:tcPr>
                <w:p w14:paraId="3B447509">
                  <w:pPr>
                    <w:pStyle w:val="202"/>
                    <w:jc w:val="both"/>
                    <w:rPr>
                      <w:rFonts w:hint="default" w:ascii="Times New Roman" w:hAnsi="Times New Roman" w:eastAsia="宋体" w:cs="Times New Roman"/>
                      <w:i w:val="0"/>
                      <w:iCs w:val="0"/>
                      <w:caps w:val="0"/>
                      <w:color w:val="auto"/>
                      <w:spacing w:val="0"/>
                      <w:sz w:val="21"/>
                      <w:szCs w:val="21"/>
                      <w:shd w:val="clear" w:fill="FFFFFF"/>
                    </w:rPr>
                  </w:pPr>
                  <w:r>
                    <w:rPr>
                      <w:rFonts w:hint="default" w:ascii="Times New Roman" w:hAnsi="Times New Roman" w:eastAsia="宋体" w:cs="Times New Roman"/>
                      <w:i w:val="0"/>
                      <w:iCs w:val="0"/>
                      <w:caps w:val="0"/>
                      <w:color w:val="auto"/>
                      <w:spacing w:val="0"/>
                      <w:sz w:val="21"/>
                      <w:szCs w:val="21"/>
                      <w:shd w:val="clear" w:fill="FFFFFF"/>
                    </w:rPr>
                    <w:t>禁燃区内，禁止销售、燃用高污染燃料，禁止新建、改建、扩建燃用高污染燃料的设施。</w:t>
                  </w:r>
                </w:p>
              </w:tc>
              <w:tc>
                <w:tcPr>
                  <w:tcW w:w="1599" w:type="pct"/>
                  <w:tcBorders>
                    <w:tl2br w:val="nil"/>
                    <w:tr2bl w:val="nil"/>
                  </w:tcBorders>
                  <w:noWrap w:val="0"/>
                  <w:vAlign w:val="center"/>
                </w:tcPr>
                <w:p w14:paraId="29F953D2">
                  <w:pPr>
                    <w:pStyle w:val="202"/>
                    <w:rPr>
                      <w:rFonts w:hint="eastAsia"/>
                      <w:color w:val="auto"/>
                      <w:highlight w:val="none"/>
                      <w:lang w:val="en-US" w:eastAsia="zh-CN"/>
                    </w:rPr>
                  </w:pPr>
                  <w:r>
                    <w:rPr>
                      <w:rFonts w:hint="eastAsia"/>
                      <w:color w:val="auto"/>
                      <w:highlight w:val="none"/>
                      <w:lang w:val="en-US" w:eastAsia="zh-CN"/>
                    </w:rPr>
                    <w:t>本项目使用电能、天然气作为能源，不涉及高污染燃料使用。</w:t>
                  </w:r>
                </w:p>
              </w:tc>
            </w:tr>
          </w:tbl>
          <w:p w14:paraId="008E10FB">
            <w:pPr>
              <w:widowControl w:val="0"/>
              <w:numPr>
                <w:ilvl w:val="0"/>
                <w:numId w:val="0"/>
              </w:numPr>
              <w:spacing w:before="120" w:beforeLines="50"/>
              <w:jc w:val="center"/>
              <w:rPr>
                <w:rFonts w:hint="default" w:ascii="Times New Roman" w:hAnsi="Times New Roman" w:eastAsia="宋体" w:cs="Times New Roman"/>
                <w:b/>
                <w:color w:val="auto"/>
                <w:sz w:val="24"/>
                <w:szCs w:val="24"/>
              </w:rPr>
            </w:pPr>
          </w:p>
          <w:p w14:paraId="79E990CF">
            <w:pPr>
              <w:adjustRightInd w:val="0"/>
              <w:snapToGrid w:val="0"/>
              <w:spacing w:line="360" w:lineRule="auto"/>
              <w:ind w:firstLine="482"/>
              <w:rPr>
                <w:snapToGrid w:val="0"/>
                <w:color w:val="auto"/>
                <w:kern w:val="18"/>
                <w:sz w:val="24"/>
              </w:rPr>
            </w:pPr>
            <w:r>
              <w:rPr>
                <w:snapToGrid w:val="0"/>
                <w:color w:val="auto"/>
                <w:kern w:val="18"/>
                <w:sz w:val="24"/>
              </w:rPr>
              <w:t>综上所述，项目选址和建设符合</w:t>
            </w:r>
            <w:r>
              <w:rPr>
                <w:rFonts w:hint="eastAsia" w:ascii="Times New Roman" w:hAnsi="Times New Roman" w:eastAsia="宋体" w:cs="Times New Roman"/>
                <w:snapToGrid w:val="0"/>
                <w:color w:val="auto"/>
                <w:kern w:val="18"/>
                <w:sz w:val="24"/>
              </w:rPr>
              <w:t>生态环境分区管控</w:t>
            </w:r>
            <w:r>
              <w:rPr>
                <w:rFonts w:hint="eastAsia"/>
                <w:snapToGrid w:val="0"/>
                <w:color w:val="auto"/>
                <w:kern w:val="18"/>
                <w:sz w:val="24"/>
              </w:rPr>
              <w:t>要求</w:t>
            </w:r>
            <w:r>
              <w:rPr>
                <w:snapToGrid w:val="0"/>
                <w:color w:val="auto"/>
                <w:kern w:val="18"/>
                <w:sz w:val="24"/>
              </w:rPr>
              <w:t>。</w:t>
            </w:r>
          </w:p>
          <w:p w14:paraId="6C7C0F10">
            <w:pPr>
              <w:pStyle w:val="149"/>
              <w:numPr>
                <w:ilvl w:val="0"/>
                <w:numId w:val="0"/>
              </w:numPr>
              <w:spacing w:before="120" w:beforeLines="50"/>
              <w:jc w:val="both"/>
              <w:textAlignment w:val="center"/>
              <w:rPr>
                <w:rFonts w:hint="eastAsia"/>
                <w:color w:val="auto"/>
              </w:rPr>
            </w:pPr>
          </w:p>
        </w:tc>
      </w:tr>
    </w:tbl>
    <w:p w14:paraId="5E07C7F4">
      <w:pPr>
        <w:sectPr>
          <w:pgSz w:w="16838" w:h="11906" w:orient="landscape"/>
          <w:pgMar w:top="1531" w:right="1701" w:bottom="1531" w:left="1701" w:header="851" w:footer="992" w:gutter="0"/>
          <w:pgBorders>
            <w:top w:val="none" w:sz="0" w:space="0"/>
            <w:left w:val="none" w:sz="0" w:space="0"/>
            <w:bottom w:val="none" w:sz="0" w:space="0"/>
            <w:right w:val="none" w:sz="0" w:space="0"/>
          </w:pgBorders>
          <w:pgNumType w:start="1"/>
          <w:cols w:space="720" w:num="1"/>
          <w:docGrid w:linePitch="312" w:charSpace="0"/>
        </w:sectPr>
      </w:pPr>
    </w:p>
    <w:tbl>
      <w:tblPr>
        <w:tblStyle w:val="29"/>
        <w:tblW w:w="88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7156"/>
      </w:tblGrid>
      <w:tr w14:paraId="6EE5C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83" w:hRule="atLeast"/>
          <w:jc w:val="center"/>
        </w:trPr>
        <w:tc>
          <w:tcPr>
            <w:tcW w:w="1715" w:type="dxa"/>
            <w:noWrap w:val="0"/>
            <w:vAlign w:val="center"/>
          </w:tcPr>
          <w:p w14:paraId="74ADBF5D">
            <w:pPr>
              <w:autoSpaceDE w:val="0"/>
              <w:autoSpaceDN w:val="0"/>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其他符合性分析</w:t>
            </w:r>
          </w:p>
        </w:tc>
        <w:tc>
          <w:tcPr>
            <w:tcW w:w="7156" w:type="dxa"/>
            <w:noWrap w:val="0"/>
            <w:vAlign w:val="center"/>
          </w:tcPr>
          <w:p w14:paraId="67C813A7">
            <w:pPr>
              <w:pStyle w:val="14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1.4、国土空间“三区三线”符合性分析</w:t>
            </w:r>
          </w:p>
          <w:p w14:paraId="64CD612C">
            <w:pPr>
              <w:pStyle w:val="149"/>
              <w:ind w:firstLine="480"/>
              <w:textAlignment w:val="center"/>
              <w:rPr>
                <w:rFonts w:hint="eastAsia" w:ascii="Times New Roman" w:hAnsi="Times New Roman"/>
                <w:snapToGrid w:val="0"/>
                <w:color w:val="auto"/>
                <w:kern w:val="18"/>
              </w:rPr>
            </w:pPr>
            <w:r>
              <w:rPr>
                <w:rFonts w:hint="eastAsia" w:ascii="Times New Roman" w:hAnsi="Times New Roman"/>
                <w:snapToGrid w:val="0"/>
                <w:color w:val="auto"/>
                <w:kern w:val="18"/>
              </w:rPr>
              <w:t>（1）“三区”划定</w:t>
            </w:r>
          </w:p>
          <w:p w14:paraId="104B7F17">
            <w:pPr>
              <w:pStyle w:val="149"/>
              <w:ind w:firstLine="480"/>
              <w:jc w:val="both"/>
              <w:textAlignment w:val="center"/>
              <w:rPr>
                <w:rFonts w:hint="eastAsia" w:ascii="Times New Roman" w:hAnsi="Times New Roman" w:eastAsia="宋体" w:cs="Times New Roman"/>
                <w:bCs/>
                <w:color w:val="auto"/>
                <w:kern w:val="2"/>
                <w:sz w:val="24"/>
                <w:szCs w:val="21"/>
                <w:lang w:val="en-US" w:eastAsia="zh-CN" w:bidi="ar-SA"/>
              </w:rPr>
            </w:pPr>
            <w:bookmarkStart w:id="2" w:name="OLE_LINK15"/>
            <w:r>
              <w:rPr>
                <w:rFonts w:hint="eastAsia" w:ascii="Times New Roman" w:hAnsi="Times New Roman" w:eastAsia="宋体" w:cs="Times New Roman"/>
                <w:bCs/>
                <w:color w:val="auto"/>
                <w:kern w:val="2"/>
                <w:sz w:val="24"/>
                <w:szCs w:val="21"/>
                <w:lang w:val="en-US" w:eastAsia="zh-CN" w:bidi="ar-SA"/>
              </w:rPr>
              <w:t>农业空间：</w:t>
            </w:r>
            <w:bookmarkEnd w:id="2"/>
            <w:r>
              <w:rPr>
                <w:rFonts w:hint="default" w:ascii="Arial" w:hAnsi="Arial" w:eastAsia="Arial" w:cs="Arial"/>
                <w:i w:val="0"/>
                <w:iCs w:val="0"/>
                <w:caps w:val="0"/>
                <w:color w:val="auto"/>
                <w:spacing w:val="0"/>
                <w:sz w:val="24"/>
                <w:szCs w:val="24"/>
                <w:shd w:val="clear" w:fill="FFFFFF"/>
              </w:rPr>
              <w:t>以农业生产和农村居民生活为主体功能，承担农产品生产和农村生活功能的国土空间。它主要包括永久基本农田、一般农田等农业生产用地以及村庄等农村生活用地。这一区域是农业生产的核心，也是农村居民生活的重要场所‌</w:t>
            </w:r>
            <w:r>
              <w:rPr>
                <w:rFonts w:hint="eastAsia" w:ascii="Times New Roman" w:hAnsi="Times New Roman" w:eastAsia="宋体" w:cs="Times New Roman"/>
                <w:bCs/>
                <w:color w:val="auto"/>
                <w:kern w:val="2"/>
                <w:sz w:val="24"/>
                <w:szCs w:val="21"/>
                <w:lang w:val="en-US" w:eastAsia="zh-CN" w:bidi="ar-SA"/>
              </w:rPr>
              <w:t>。</w:t>
            </w:r>
            <w:r>
              <w:rPr>
                <w:rFonts w:hint="eastAsia" w:cs="Times New Roman"/>
                <w:bCs/>
                <w:color w:val="auto"/>
                <w:kern w:val="2"/>
                <w:sz w:val="24"/>
                <w:szCs w:val="21"/>
                <w:lang w:val="en-US" w:eastAsia="zh-CN" w:bidi="ar-SA"/>
              </w:rPr>
              <w:t>本项目</w:t>
            </w:r>
            <w:r>
              <w:rPr>
                <w:rFonts w:hint="eastAsia" w:ascii="Times New Roman" w:hAnsi="Times New Roman" w:eastAsia="宋体" w:cs="Times New Roman"/>
                <w:bCs/>
                <w:color w:val="auto"/>
                <w:kern w:val="2"/>
                <w:sz w:val="24"/>
                <w:szCs w:val="21"/>
                <w:lang w:val="en-US" w:eastAsia="zh-CN" w:bidi="ar-SA"/>
              </w:rPr>
              <w:t>用地性质为工业用地，不涉及农业空间。</w:t>
            </w:r>
          </w:p>
          <w:p w14:paraId="173A7410">
            <w:pPr>
              <w:pStyle w:val="149"/>
              <w:ind w:firstLine="480"/>
              <w:jc w:val="both"/>
              <w:textAlignment w:val="center"/>
              <w:rPr>
                <w:rFonts w:hint="eastAsia"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生态空间：具有自然属性的，以提供生态服务或生态产品为主体功能的国土空间。它涵盖了森林、草原、湿地、河流、湖泊、滩涂、荒地、荒漠等多种自然类型。生态空间是维护生态平衡、提供生态服务的重要区域‌。</w:t>
            </w:r>
            <w:r>
              <w:rPr>
                <w:rFonts w:hint="eastAsia" w:cs="Times New Roman"/>
                <w:bCs/>
                <w:color w:val="auto"/>
                <w:kern w:val="2"/>
                <w:sz w:val="24"/>
                <w:szCs w:val="21"/>
                <w:lang w:val="en-US" w:eastAsia="zh-CN" w:bidi="ar-SA"/>
              </w:rPr>
              <w:t>本项目</w:t>
            </w:r>
            <w:r>
              <w:rPr>
                <w:rFonts w:hint="eastAsia" w:ascii="Times New Roman" w:hAnsi="Times New Roman" w:eastAsia="宋体" w:cs="Times New Roman"/>
                <w:bCs/>
                <w:color w:val="auto"/>
                <w:kern w:val="2"/>
                <w:sz w:val="24"/>
                <w:szCs w:val="21"/>
                <w:lang w:val="en-US" w:eastAsia="zh-CN" w:bidi="ar-SA"/>
              </w:rPr>
              <w:t>用地性质为工业用地，</w:t>
            </w:r>
            <w:r>
              <w:rPr>
                <w:rFonts w:hint="eastAsia" w:cs="Times New Roman"/>
                <w:bCs/>
                <w:color w:val="auto"/>
                <w:kern w:val="2"/>
                <w:sz w:val="24"/>
                <w:szCs w:val="21"/>
                <w:lang w:val="en-US" w:eastAsia="zh-CN" w:bidi="ar-SA"/>
              </w:rPr>
              <w:t>利用现有厂房进行项目建设，对周边生态影响较小</w:t>
            </w:r>
            <w:r>
              <w:rPr>
                <w:rFonts w:hint="eastAsia" w:ascii="Times New Roman" w:hAnsi="Times New Roman" w:eastAsia="宋体" w:cs="Times New Roman"/>
                <w:bCs/>
                <w:color w:val="auto"/>
                <w:kern w:val="2"/>
                <w:sz w:val="24"/>
                <w:szCs w:val="21"/>
                <w:lang w:val="en-US" w:eastAsia="zh-CN" w:bidi="ar-SA"/>
              </w:rPr>
              <w:t>。</w:t>
            </w:r>
          </w:p>
          <w:p w14:paraId="4468A0AD">
            <w:pPr>
              <w:pStyle w:val="149"/>
              <w:ind w:firstLine="480"/>
              <w:jc w:val="both"/>
              <w:textAlignment w:val="center"/>
              <w:rPr>
                <w:rFonts w:hint="eastAsia"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建设空间：以城镇居民生产、生活为主体功能的国土空间。它包括城镇建设空间、工矿建设空间以及部分乡级政府驻地的开发建设空间。城镇空间是承载城镇经济、社会、政治、文化、生态等要素的主要区域‌。</w:t>
            </w:r>
          </w:p>
          <w:p w14:paraId="49FEFC26">
            <w:pPr>
              <w:pStyle w:val="149"/>
              <w:ind w:firstLine="480"/>
              <w:textAlignment w:val="center"/>
              <w:rPr>
                <w:rFonts w:hint="eastAsia"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（2）“</w:t>
            </w:r>
            <w:bookmarkStart w:id="3" w:name="OLE_LINK14"/>
            <w:r>
              <w:rPr>
                <w:rFonts w:hint="eastAsia" w:ascii="Times New Roman" w:hAnsi="Times New Roman" w:eastAsia="宋体" w:cs="Times New Roman"/>
                <w:bCs/>
                <w:color w:val="auto"/>
                <w:kern w:val="2"/>
                <w:sz w:val="24"/>
                <w:szCs w:val="21"/>
                <w:lang w:val="en-US" w:eastAsia="zh-CN" w:bidi="ar-SA"/>
              </w:rPr>
              <w:t>三线</w:t>
            </w:r>
            <w:bookmarkEnd w:id="3"/>
            <w:r>
              <w:rPr>
                <w:rFonts w:hint="eastAsia" w:ascii="Times New Roman" w:hAnsi="Times New Roman" w:eastAsia="宋体" w:cs="Times New Roman"/>
                <w:bCs/>
                <w:color w:val="auto"/>
                <w:kern w:val="2"/>
                <w:sz w:val="24"/>
                <w:szCs w:val="21"/>
                <w:lang w:val="en-US" w:eastAsia="zh-CN" w:bidi="ar-SA"/>
              </w:rPr>
              <w:t>”划定</w:t>
            </w:r>
          </w:p>
          <w:p w14:paraId="22D7D838">
            <w:pPr>
              <w:pStyle w:val="149"/>
              <w:ind w:firstLine="480"/>
              <w:textAlignment w:val="center"/>
              <w:rPr>
                <w:rFonts w:hint="eastAsia" w:ascii="Times New Roman" w:hAnsi="Times New Roman" w:eastAsia="宋体" w:cs="Times New Roman"/>
                <w:bCs/>
                <w:color w:val="auto"/>
                <w:kern w:val="2"/>
                <w:sz w:val="24"/>
                <w:szCs w:val="21"/>
                <w:lang w:val="en-US" w:eastAsia="zh-CN" w:bidi="ar-SA"/>
              </w:rPr>
            </w:pPr>
            <w:bookmarkStart w:id="4" w:name="OLE_LINK16"/>
            <w:bookmarkStart w:id="5" w:name="OLE_LINK17"/>
            <w:r>
              <w:rPr>
                <w:rFonts w:hint="eastAsia" w:ascii="Times New Roman" w:hAnsi="Times New Roman" w:eastAsia="宋体" w:cs="Times New Roman"/>
                <w:bCs/>
                <w:color w:val="auto"/>
                <w:kern w:val="2"/>
                <w:sz w:val="24"/>
                <w:szCs w:val="21"/>
                <w:lang w:val="en-US" w:eastAsia="zh-CN" w:bidi="ar-SA"/>
              </w:rPr>
              <w:t>城镇开发边界：它是指在一定时期内，因城镇发展需要，可以集中进行城镇开发建设的区域边界。这个边界大体上是允许城镇建设用地拓展的最大边界，也是可进行城镇开发建设和禁止进行城镇开发建设区域之间的空间界线。</w:t>
            </w:r>
            <w:bookmarkEnd w:id="4"/>
          </w:p>
          <w:bookmarkEnd w:id="5"/>
          <w:p w14:paraId="7903DB14">
            <w:pPr>
              <w:pStyle w:val="149"/>
              <w:ind w:firstLine="480"/>
              <w:textAlignment w:val="center"/>
              <w:rPr>
                <w:rFonts w:hint="eastAsia"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永久基本农田保护红线：永久性基本农田是按照一定时期人口和经济社会发展对农产品的需求，依据国土空间规划确定的不得擅自占用或改变用途的耕地，是国土空间资源的核心区域。</w:t>
            </w:r>
          </w:p>
          <w:p w14:paraId="34F0C222">
            <w:pPr>
              <w:pStyle w:val="149"/>
              <w:ind w:firstLine="480"/>
              <w:textAlignment w:val="center"/>
              <w:rPr>
                <w:rFonts w:hint="eastAsia"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生态保护红线：是具有特殊重要生态功能、必须强制性严格保护的陆域、水域、海域等区域，是保障和维护国家生态安全的底线。</w:t>
            </w:r>
          </w:p>
          <w:p w14:paraId="1DB8632F">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符合性：本项目位于</w:t>
            </w:r>
            <w:r>
              <w:rPr>
                <w:rFonts w:hint="eastAsia"/>
                <w:bCs/>
                <w:color w:val="auto"/>
                <w:sz w:val="24"/>
                <w:szCs w:val="21"/>
                <w:lang w:eastAsia="zh-CN"/>
              </w:rPr>
              <w:t>福建省福鼎市前岐镇照澜村罗六36号</w:t>
            </w:r>
            <w:r>
              <w:rPr>
                <w:rFonts w:hint="eastAsia" w:ascii="Times New Roman" w:hAnsi="Times New Roman" w:eastAsia="宋体" w:cs="Times New Roman"/>
                <w:bCs/>
                <w:color w:val="auto"/>
                <w:kern w:val="2"/>
                <w:sz w:val="24"/>
                <w:szCs w:val="21"/>
                <w:lang w:val="en-US" w:eastAsia="zh-CN" w:bidi="ar-SA"/>
              </w:rPr>
              <w:t>，项目占地属工业用地，位于城镇开发边界内，不涉及农业空间，占地不涉及永久基本农田和生态保护红线，项目建设符合福鼎市国土空间总体规划（2021-2035年）管理要求。</w:t>
            </w:r>
          </w:p>
          <w:p w14:paraId="06ABAA95">
            <w:pPr>
              <w:pStyle w:val="14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 与《福建省工业炉窑大气污染综合治理方案》的符合性分析</w:t>
            </w:r>
          </w:p>
          <w:p w14:paraId="540E0E4E">
            <w:pPr>
              <w:pStyle w:val="149"/>
              <w:ind w:firstLine="480"/>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对照《福建省工业炉窑大气污染综合治理方案》（闽环保大气〔2019〕10 号），关于本项目</w:t>
            </w:r>
            <w:r>
              <w:rPr>
                <w:rFonts w:hint="eastAsia" w:ascii="Times New Roman" w:hAnsi="Times New Roman" w:eastAsia="宋体" w:cs="Times New Roman"/>
                <w:bCs/>
                <w:color w:val="auto"/>
                <w:szCs w:val="21"/>
                <w:lang w:val="en-US" w:eastAsia="zh-CN"/>
              </w:rPr>
              <w:t>涉工业炉窑情况</w:t>
            </w:r>
            <w:r>
              <w:rPr>
                <w:rFonts w:hint="eastAsia" w:ascii="Times New Roman" w:hAnsi="Times New Roman" w:eastAsia="宋体" w:cs="Times New Roman"/>
                <w:bCs/>
                <w:color w:val="auto"/>
                <w:szCs w:val="21"/>
              </w:rPr>
              <w:t>分析如下：</w:t>
            </w:r>
          </w:p>
          <w:p w14:paraId="2CE8A0B9">
            <w:pPr>
              <w:numPr>
                <w:ilvl w:val="0"/>
                <w:numId w:val="8"/>
              </w:numPr>
              <w:spacing w:before="120" w:beforeLines="50"/>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本项目与《福建省工业炉窑大气污染综合治理方案》（闽环保大气〔2019〕10 号）的符合性分析（摘录）</w:t>
            </w:r>
          </w:p>
          <w:tbl>
            <w:tblPr>
              <w:tblStyle w:val="29"/>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17"/>
              <w:gridCol w:w="3051"/>
              <w:gridCol w:w="2333"/>
              <w:gridCol w:w="834"/>
            </w:tblGrid>
            <w:tr w14:paraId="1BC840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noWrap w:val="0"/>
                  <w:vAlign w:val="center"/>
                </w:tcPr>
                <w:p w14:paraId="41F7B4F2">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bidi="ar"/>
                    </w:rPr>
                    <w:t>序号</w:t>
                  </w:r>
                </w:p>
              </w:tc>
              <w:tc>
                <w:tcPr>
                  <w:tcW w:w="2199" w:type="pct"/>
                  <w:noWrap w:val="0"/>
                  <w:vAlign w:val="center"/>
                </w:tcPr>
                <w:p w14:paraId="055B42E6">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bidi="ar"/>
                    </w:rPr>
                    <w:t>方案内容</w:t>
                  </w:r>
                </w:p>
              </w:tc>
              <w:tc>
                <w:tcPr>
                  <w:tcW w:w="1682" w:type="pct"/>
                  <w:noWrap w:val="0"/>
                  <w:vAlign w:val="center"/>
                </w:tcPr>
                <w:p w14:paraId="0F6FE78E">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bidi="ar"/>
                    </w:rPr>
                    <w:t>本项目情况</w:t>
                  </w:r>
                </w:p>
              </w:tc>
              <w:tc>
                <w:tcPr>
                  <w:tcW w:w="601" w:type="pct"/>
                  <w:noWrap w:val="0"/>
                  <w:vAlign w:val="center"/>
                </w:tcPr>
                <w:p w14:paraId="452E5932">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b/>
                      <w:color w:val="auto"/>
                      <w:kern w:val="2"/>
                      <w:sz w:val="21"/>
                      <w:szCs w:val="21"/>
                      <w:lang w:eastAsia="zh-CN"/>
                    </w:rPr>
                  </w:pPr>
                  <w:r>
                    <w:rPr>
                      <w:rFonts w:hint="default" w:ascii="Times New Roman" w:hAnsi="Times New Roman" w:eastAsia="宋体" w:cs="Times New Roman"/>
                      <w:b/>
                      <w:color w:val="auto"/>
                      <w:kern w:val="2"/>
                      <w:sz w:val="21"/>
                      <w:szCs w:val="21"/>
                      <w:lang w:bidi="ar"/>
                    </w:rPr>
                    <w:t>符合</w:t>
                  </w:r>
                  <w:r>
                    <w:rPr>
                      <w:rFonts w:hint="eastAsia" w:ascii="Times New Roman" w:hAnsi="Times New Roman" w:eastAsia="宋体" w:cs="Times New Roman"/>
                      <w:b/>
                      <w:color w:val="auto"/>
                      <w:kern w:val="2"/>
                      <w:sz w:val="21"/>
                      <w:szCs w:val="21"/>
                      <w:lang w:val="en-US" w:eastAsia="zh-CN" w:bidi="ar"/>
                    </w:rPr>
                    <w:t>性</w:t>
                  </w:r>
                </w:p>
              </w:tc>
            </w:tr>
            <w:tr w14:paraId="0F142B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noWrap w:val="0"/>
                  <w:vAlign w:val="center"/>
                </w:tcPr>
                <w:p w14:paraId="54A1B864">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bidi="ar"/>
                    </w:rPr>
                    <w:t>一、重点任务</w:t>
                  </w:r>
                </w:p>
              </w:tc>
              <w:tc>
                <w:tcPr>
                  <w:tcW w:w="2199" w:type="pct"/>
                  <w:noWrap w:val="0"/>
                  <w:vAlign w:val="center"/>
                </w:tcPr>
                <w:p w14:paraId="3F413A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kern w:val="2"/>
                      <w:sz w:val="21"/>
                      <w:szCs w:val="21"/>
                      <w:highlight w:val="none"/>
                      <w:lang w:bidi="ar"/>
                    </w:rPr>
                  </w:pPr>
                  <w:r>
                    <w:rPr>
                      <w:rFonts w:hint="default" w:ascii="Times New Roman" w:hAnsi="Times New Roman" w:eastAsia="宋体" w:cs="Times New Roman"/>
                      <w:color w:val="auto"/>
                      <w:kern w:val="2"/>
                      <w:sz w:val="21"/>
                      <w:szCs w:val="21"/>
                      <w:highlight w:val="none"/>
                      <w:lang w:bidi="ar"/>
                    </w:rPr>
                    <w:t>加大产业结构调整力度，优化能源结构，加快燃料清洁低碳化替代，深入推进工业炉窑综合整治，提升产业总体发展水平。重点行业工业炉窑要按照大气污染治理要求配套建设高效脱硫脱硝除尘设施。</w:t>
                  </w:r>
                </w:p>
                <w:p w14:paraId="54544C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kern w:val="2"/>
                      <w:sz w:val="21"/>
                      <w:szCs w:val="21"/>
                      <w:highlight w:val="none"/>
                      <w:lang w:bidi="ar"/>
                    </w:rPr>
                  </w:pPr>
                  <w:r>
                    <w:rPr>
                      <w:rFonts w:hint="default" w:ascii="Times New Roman" w:hAnsi="Times New Roman" w:eastAsia="宋体" w:cs="Times New Roman"/>
                      <w:color w:val="auto"/>
                      <w:kern w:val="2"/>
                      <w:sz w:val="21"/>
                      <w:szCs w:val="21"/>
                      <w:highlight w:val="none"/>
                      <w:lang w:bidi="ar"/>
                    </w:rPr>
                    <w:t>严格控制工业炉窑生产工艺过程及相关物料储存、输送等无组织排放，在保障生产安全的前提下，采取密闭、封闭等有效措施，有效提高废气收集率，产尘点及车间不得有可见烟粉尘外逸。</w:t>
                  </w:r>
                </w:p>
              </w:tc>
              <w:tc>
                <w:tcPr>
                  <w:tcW w:w="1682" w:type="pct"/>
                  <w:noWrap w:val="0"/>
                  <w:vAlign w:val="center"/>
                </w:tcPr>
                <w:p w14:paraId="7F13848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本项目</w:t>
                  </w:r>
                  <w:r>
                    <w:rPr>
                      <w:rFonts w:hint="eastAsia" w:ascii="Times New Roman" w:hAnsi="Times New Roman" w:eastAsia="宋体" w:cs="Times New Roman"/>
                      <w:color w:val="auto"/>
                      <w:sz w:val="21"/>
                      <w:szCs w:val="21"/>
                      <w:lang w:val="en-US" w:eastAsia="zh-CN"/>
                    </w:rPr>
                    <w:t>烘干炉利用天然气作为能源。天然气采用低氮燃烧措施，烘干废气采用高效的布袋除尘装置</w:t>
                  </w:r>
                  <w:r>
                    <w:rPr>
                      <w:rFonts w:hint="default" w:ascii="Times New Roman" w:hAnsi="Times New Roman" w:eastAsia="宋体" w:cs="Times New Roman"/>
                      <w:color w:val="auto"/>
                      <w:sz w:val="21"/>
                      <w:szCs w:val="21"/>
                    </w:rPr>
                    <w:t>。</w:t>
                  </w:r>
                </w:p>
                <w:p w14:paraId="5B6D68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2.项目物料均存放于密闭车间内，各产污环节均设收集装置进行收集。</w:t>
                  </w:r>
                </w:p>
              </w:tc>
              <w:tc>
                <w:tcPr>
                  <w:tcW w:w="601" w:type="pct"/>
                  <w:noWrap w:val="0"/>
                  <w:vAlign w:val="center"/>
                </w:tcPr>
                <w:p w14:paraId="25033EEA">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bidi="ar"/>
                    </w:rPr>
                    <w:t>符合</w:t>
                  </w:r>
                </w:p>
              </w:tc>
            </w:tr>
            <w:tr w14:paraId="5B7BF7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6" w:type="pct"/>
                  <w:vMerge w:val="restart"/>
                  <w:noWrap w:val="0"/>
                  <w:vAlign w:val="center"/>
                </w:tcPr>
                <w:p w14:paraId="5C789606">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both"/>
                    <w:textAlignment w:val="auto"/>
                    <w:rPr>
                      <w:rFonts w:hint="default" w:ascii="Times New Roman" w:hAnsi="Times New Roman" w:eastAsia="宋体" w:cs="Times New Roman"/>
                      <w:color w:val="auto"/>
                      <w:kern w:val="2"/>
                      <w:sz w:val="21"/>
                      <w:szCs w:val="21"/>
                      <w:lang w:bidi="ar"/>
                    </w:rPr>
                  </w:pPr>
                  <w:r>
                    <w:rPr>
                      <w:rFonts w:hint="default" w:ascii="Times New Roman" w:hAnsi="Times New Roman" w:eastAsia="宋体" w:cs="Times New Roman"/>
                      <w:color w:val="auto"/>
                      <w:kern w:val="2"/>
                      <w:sz w:val="21"/>
                      <w:szCs w:val="21"/>
                      <w:lang w:bidi="ar"/>
                    </w:rPr>
                    <w:t>二、加大产业结构调整力度工作措施</w:t>
                  </w:r>
                </w:p>
              </w:tc>
              <w:tc>
                <w:tcPr>
                  <w:tcW w:w="2199" w:type="pct"/>
                  <w:noWrap w:val="0"/>
                  <w:vAlign w:val="center"/>
                </w:tcPr>
                <w:p w14:paraId="30F2A6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严格建设项目环境准入。新建涉工业炉窑的建设项目，原则上要入园区，配套建设高效环保治理设施。</w:t>
                  </w:r>
                </w:p>
              </w:tc>
              <w:tc>
                <w:tcPr>
                  <w:tcW w:w="1682" w:type="pct"/>
                  <w:noWrap w:val="0"/>
                  <w:vAlign w:val="center"/>
                </w:tcPr>
                <w:p w14:paraId="086560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w:t>
                  </w:r>
                  <w:r>
                    <w:rPr>
                      <w:rFonts w:hint="eastAsia" w:ascii="Times New Roman" w:hAnsi="Times New Roman" w:eastAsia="宋体" w:cs="Times New Roman"/>
                      <w:color w:val="auto"/>
                      <w:sz w:val="21"/>
                      <w:szCs w:val="21"/>
                      <w:lang w:val="en-US" w:eastAsia="zh-CN"/>
                    </w:rPr>
                    <w:t>位于福建省福鼎市前岐镇照澜村罗六36号，天然气采用低氮燃烧装置，烘干尾气</w:t>
                  </w:r>
                  <w:r>
                    <w:rPr>
                      <w:rFonts w:hint="default" w:ascii="Times New Roman" w:hAnsi="Times New Roman" w:eastAsia="宋体" w:cs="Times New Roman"/>
                      <w:color w:val="auto"/>
                      <w:sz w:val="21"/>
                      <w:szCs w:val="21"/>
                    </w:rPr>
                    <w:t>经收集</w:t>
                  </w:r>
                  <w:r>
                    <w:rPr>
                      <w:rFonts w:hint="eastAsia" w:ascii="Times New Roman" w:hAnsi="Times New Roman" w:eastAsia="宋体" w:cs="Times New Roman"/>
                      <w:color w:val="auto"/>
                      <w:sz w:val="21"/>
                      <w:szCs w:val="21"/>
                      <w:lang w:val="en-US" w:eastAsia="zh-CN"/>
                    </w:rPr>
                    <w:t>通过</w:t>
                  </w:r>
                  <w:r>
                    <w:rPr>
                      <w:rFonts w:hint="default" w:ascii="Times New Roman" w:hAnsi="Times New Roman" w:eastAsia="宋体" w:cs="Times New Roman"/>
                      <w:color w:val="auto"/>
                      <w:sz w:val="21"/>
                      <w:szCs w:val="21"/>
                    </w:rPr>
                    <w:t>布袋除尘器处理后排放，</w:t>
                  </w:r>
                  <w:r>
                    <w:rPr>
                      <w:rFonts w:hint="eastAsia" w:ascii="Times New Roman" w:hAnsi="Times New Roman" w:eastAsia="宋体" w:cs="Times New Roman"/>
                      <w:color w:val="auto"/>
                      <w:sz w:val="21"/>
                      <w:szCs w:val="21"/>
                      <w:lang w:val="en-US" w:eastAsia="zh-CN"/>
                    </w:rPr>
                    <w:t>后端配备了高效除尘设施</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废气经处置后对周边敏感点（厂区东侧100m外零散居民）影响较小。</w:t>
                  </w:r>
                </w:p>
                <w:p w14:paraId="6B00F7C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cs="Times New Roman"/>
                      <w:color w:val="auto"/>
                      <w:sz w:val="21"/>
                      <w:szCs w:val="21"/>
                      <w:lang w:val="en-US" w:eastAsia="zh-CN"/>
                    </w:rPr>
                  </w:pPr>
                  <w:r>
                    <w:rPr>
                      <w:rFonts w:hint="eastAsia" w:cs="Times New Roman"/>
                      <w:color w:val="auto"/>
                      <w:sz w:val="21"/>
                      <w:szCs w:val="21"/>
                      <w:lang w:val="en-US" w:eastAsia="zh-CN"/>
                    </w:rPr>
                    <w:t>本项目所用天然气属于清洁能源，燃烧器使用低氮燃烧器，污染物水平较低，符合方案总体目标要求。</w:t>
                  </w:r>
                </w:p>
              </w:tc>
              <w:tc>
                <w:tcPr>
                  <w:tcW w:w="601" w:type="pct"/>
                  <w:noWrap w:val="0"/>
                  <w:vAlign w:val="center"/>
                </w:tcPr>
                <w:p w14:paraId="4C1F32DE">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bidi="ar"/>
                    </w:rPr>
                  </w:pPr>
                  <w:r>
                    <w:rPr>
                      <w:rFonts w:hint="default" w:ascii="Times New Roman" w:hAnsi="Times New Roman" w:eastAsia="宋体" w:cs="Times New Roman"/>
                      <w:color w:val="auto"/>
                      <w:kern w:val="2"/>
                      <w:sz w:val="21"/>
                      <w:szCs w:val="21"/>
                      <w:lang w:bidi="ar"/>
                    </w:rPr>
                    <w:t>符合</w:t>
                  </w:r>
                </w:p>
              </w:tc>
            </w:tr>
            <w:tr w14:paraId="4C10DA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6" w:type="pct"/>
                  <w:vMerge w:val="continue"/>
                  <w:noWrap w:val="0"/>
                  <w:vAlign w:val="center"/>
                </w:tcPr>
                <w:p w14:paraId="4021F897">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bidi="ar"/>
                    </w:rPr>
                  </w:pPr>
                </w:p>
              </w:tc>
              <w:tc>
                <w:tcPr>
                  <w:tcW w:w="2199" w:type="pct"/>
                  <w:noWrap w:val="0"/>
                  <w:vAlign w:val="center"/>
                </w:tcPr>
                <w:p w14:paraId="3AF645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rPr>
                    <w:t>严格控制新增钢铁、焦化、电解铝、铸造、水泥和平板玻璃等产能；严格执行钢铁、水泥、平板玻璃等行业产能置换实施办法；原则上禁止新建燃料类煤气发生炉（园区现有企业统一建设的清洁煤制气中心除外）。</w:t>
                  </w:r>
                </w:p>
              </w:tc>
              <w:tc>
                <w:tcPr>
                  <w:tcW w:w="1682" w:type="pct"/>
                  <w:noWrap w:val="0"/>
                  <w:vAlign w:val="center"/>
                </w:tcPr>
                <w:p w14:paraId="3C789FED">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both"/>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sz w:val="21"/>
                      <w:szCs w:val="21"/>
                      <w:lang w:val="en-US" w:eastAsia="zh-CN"/>
                    </w:rPr>
                    <w:t>本项目为</w:t>
                  </w:r>
                  <w:r>
                    <w:rPr>
                      <w:rFonts w:hint="eastAsia" w:ascii="Times New Roman" w:hAnsi="Times New Roman" w:cs="Times New Roman"/>
                      <w:color w:val="auto"/>
                      <w:sz w:val="21"/>
                      <w:szCs w:val="21"/>
                      <w:lang w:val="en-US" w:eastAsia="zh-CN"/>
                    </w:rPr>
                    <w:t>生物质气化炉炭渣资源化综合利用项目</w:t>
                  </w:r>
                  <w:r>
                    <w:rPr>
                      <w:rFonts w:hint="eastAsia" w:ascii="Times New Roman" w:hAnsi="Times New Roman" w:eastAsia="宋体" w:cs="Times New Roman"/>
                      <w:color w:val="auto"/>
                      <w:sz w:val="21"/>
                      <w:szCs w:val="21"/>
                      <w:lang w:val="en-US" w:eastAsia="zh-CN"/>
                    </w:rPr>
                    <w:t>，工序采用电能、天然气为燃料，属于清洁能源，不涉及燃料类煤气发生炉。</w:t>
                  </w:r>
                </w:p>
              </w:tc>
              <w:tc>
                <w:tcPr>
                  <w:tcW w:w="601" w:type="pct"/>
                  <w:noWrap w:val="0"/>
                  <w:vAlign w:val="center"/>
                </w:tcPr>
                <w:p w14:paraId="30776AFD">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bidi="ar"/>
                    </w:rPr>
                  </w:pPr>
                  <w:r>
                    <w:rPr>
                      <w:rFonts w:hint="default" w:ascii="Times New Roman" w:hAnsi="Times New Roman" w:eastAsia="宋体" w:cs="Times New Roman"/>
                      <w:color w:val="auto"/>
                      <w:kern w:val="2"/>
                      <w:sz w:val="21"/>
                      <w:szCs w:val="21"/>
                      <w:lang w:bidi="ar"/>
                    </w:rPr>
                    <w:t>符合</w:t>
                  </w:r>
                </w:p>
              </w:tc>
            </w:tr>
            <w:tr w14:paraId="604453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83" w:hRule="atLeast"/>
                <w:jc w:val="center"/>
              </w:trPr>
              <w:tc>
                <w:tcPr>
                  <w:tcW w:w="516" w:type="pct"/>
                  <w:vMerge w:val="continue"/>
                  <w:noWrap w:val="0"/>
                  <w:vAlign w:val="center"/>
                </w:tcPr>
                <w:p w14:paraId="46B34B89">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bidi="ar"/>
                    </w:rPr>
                  </w:pPr>
                </w:p>
              </w:tc>
              <w:tc>
                <w:tcPr>
                  <w:tcW w:w="2199" w:type="pct"/>
                  <w:noWrap w:val="0"/>
                  <w:vAlign w:val="center"/>
                </w:tcPr>
                <w:p w14:paraId="1C378A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rPr>
                    <w:t>加大落后产能和不达标工业炉窑淘汰力度。分行业清理《产业结构调整指导目录》淘汰类工业炉窑。对热效率低下、敞开未封闭，装备简易落后、自动化程度低，无组织排放突出，以及无治理设施或治理设施工艺落后等严重污染环境的工业炉窑，依法责令停业关闭。</w:t>
                  </w:r>
                </w:p>
              </w:tc>
              <w:tc>
                <w:tcPr>
                  <w:tcW w:w="1682" w:type="pct"/>
                  <w:noWrap w:val="0"/>
                  <w:vAlign w:val="center"/>
                </w:tcPr>
                <w:p w14:paraId="41A11C2E">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bidi="ar"/>
                    </w:rPr>
                    <w:t>本项目不属于国家发展和改革委员会颁布的</w:t>
                  </w:r>
                  <w:r>
                    <w:rPr>
                      <w:rFonts w:hint="eastAsia" w:ascii="Times New Roman" w:hAnsi="Times New Roman" w:eastAsia="宋体"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bidi="ar"/>
                    </w:rPr>
                    <w:t>《产业结构调整指导目录</w:t>
                  </w:r>
                  <w:r>
                    <w:rPr>
                      <w:rFonts w:hint="eastAsia" w:ascii="Times New Roman" w:hAnsi="Times New Roman" w:eastAsia="宋体" w:cs="Times New Roman"/>
                      <w:color w:val="auto"/>
                      <w:kern w:val="2"/>
                      <w:sz w:val="21"/>
                      <w:szCs w:val="21"/>
                      <w:lang w:eastAsia="zh-CN" w:bidi="ar"/>
                    </w:rPr>
                    <w:t>（</w:t>
                  </w:r>
                  <w:r>
                    <w:rPr>
                      <w:rFonts w:hint="default" w:ascii="Times New Roman" w:hAnsi="Times New Roman" w:eastAsia="宋体" w:cs="Times New Roman"/>
                      <w:color w:val="auto"/>
                      <w:kern w:val="2"/>
                      <w:sz w:val="21"/>
                      <w:szCs w:val="21"/>
                      <w:lang w:bidi="ar"/>
                    </w:rPr>
                    <w:t>2024 年</w:t>
                  </w:r>
                  <w:r>
                    <w:rPr>
                      <w:rFonts w:hint="eastAsia" w:ascii="Times New Roman" w:hAnsi="Times New Roman" w:eastAsia="宋体" w:cs="Times New Roman"/>
                      <w:color w:val="auto"/>
                      <w:kern w:val="2"/>
                      <w:sz w:val="21"/>
                      <w:szCs w:val="21"/>
                      <w:lang w:eastAsia="zh-CN" w:bidi="ar"/>
                    </w:rPr>
                    <w:t>）</w:t>
                  </w:r>
                  <w:r>
                    <w:rPr>
                      <w:rFonts w:hint="default" w:ascii="Times New Roman" w:hAnsi="Times New Roman" w:eastAsia="宋体" w:cs="Times New Roman"/>
                      <w:color w:val="auto"/>
                      <w:kern w:val="2"/>
                      <w:sz w:val="21"/>
                      <w:szCs w:val="21"/>
                      <w:lang w:bidi="ar"/>
                    </w:rPr>
                    <w:t>》中限制和淘汰类的项目，为允许类</w:t>
                  </w:r>
                  <w:r>
                    <w:rPr>
                      <w:rFonts w:hint="eastAsia" w:ascii="Times New Roman" w:hAnsi="Times New Roman" w:eastAsia="宋体" w:cs="Times New Roman"/>
                      <w:color w:val="auto"/>
                      <w:kern w:val="2"/>
                      <w:sz w:val="21"/>
                      <w:szCs w:val="21"/>
                      <w:lang w:eastAsia="zh-CN" w:bidi="ar"/>
                    </w:rPr>
                    <w:t>。</w:t>
                  </w:r>
                  <w:r>
                    <w:rPr>
                      <w:rFonts w:hint="eastAsia" w:ascii="Times New Roman" w:hAnsi="Times New Roman" w:eastAsia="宋体" w:cs="Times New Roman"/>
                      <w:color w:val="auto"/>
                      <w:kern w:val="2"/>
                      <w:sz w:val="21"/>
                      <w:szCs w:val="21"/>
                      <w:lang w:val="en-US" w:eastAsia="zh-CN" w:bidi="ar"/>
                    </w:rPr>
                    <w:t>且</w:t>
                  </w:r>
                  <w:r>
                    <w:rPr>
                      <w:rFonts w:hint="eastAsia" w:ascii="Times New Roman" w:hAnsi="Times New Roman" w:eastAsia="宋体" w:cs="Times New Roman"/>
                      <w:color w:val="auto"/>
                      <w:sz w:val="21"/>
                      <w:szCs w:val="21"/>
                      <w:lang w:val="en-US" w:eastAsia="zh-CN"/>
                    </w:rPr>
                    <w:t>天然气采用低氮燃烧装置，烘干尾气</w:t>
                  </w:r>
                  <w:r>
                    <w:rPr>
                      <w:rFonts w:hint="default" w:ascii="Times New Roman" w:hAnsi="Times New Roman" w:eastAsia="宋体" w:cs="Times New Roman"/>
                      <w:color w:val="auto"/>
                      <w:sz w:val="21"/>
                      <w:szCs w:val="21"/>
                    </w:rPr>
                    <w:t>经收集</w:t>
                  </w:r>
                  <w:r>
                    <w:rPr>
                      <w:rFonts w:hint="eastAsia" w:ascii="Times New Roman" w:hAnsi="Times New Roman" w:eastAsia="宋体" w:cs="Times New Roman"/>
                      <w:color w:val="auto"/>
                      <w:sz w:val="21"/>
                      <w:szCs w:val="21"/>
                      <w:lang w:val="en-US" w:eastAsia="zh-CN"/>
                    </w:rPr>
                    <w:t>通过</w:t>
                  </w:r>
                  <w:r>
                    <w:rPr>
                      <w:rFonts w:hint="default" w:ascii="Times New Roman" w:hAnsi="Times New Roman" w:eastAsia="宋体" w:cs="Times New Roman"/>
                      <w:color w:val="auto"/>
                      <w:sz w:val="21"/>
                      <w:szCs w:val="21"/>
                    </w:rPr>
                    <w:t>布袋除尘器处理后排放，</w:t>
                  </w:r>
                  <w:r>
                    <w:rPr>
                      <w:rFonts w:hint="eastAsia" w:ascii="Times New Roman" w:hAnsi="Times New Roman" w:eastAsia="宋体" w:cs="Times New Roman"/>
                      <w:color w:val="auto"/>
                      <w:kern w:val="2"/>
                      <w:sz w:val="21"/>
                      <w:szCs w:val="21"/>
                      <w:lang w:val="en-US" w:eastAsia="zh-CN" w:bidi="ar"/>
                    </w:rPr>
                    <w:t>后端配备了高效除尘设施。</w:t>
                  </w:r>
                </w:p>
              </w:tc>
              <w:tc>
                <w:tcPr>
                  <w:tcW w:w="601" w:type="pct"/>
                  <w:noWrap w:val="0"/>
                  <w:vAlign w:val="center"/>
                </w:tcPr>
                <w:p w14:paraId="5A63BD14">
                  <w:pPr>
                    <w:pStyle w:val="19"/>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bidi="ar"/>
                    </w:rPr>
                  </w:pPr>
                  <w:r>
                    <w:rPr>
                      <w:rFonts w:hint="default" w:ascii="Times New Roman" w:hAnsi="Times New Roman" w:eastAsia="宋体" w:cs="Times New Roman"/>
                      <w:color w:val="auto"/>
                      <w:kern w:val="2"/>
                      <w:sz w:val="21"/>
                      <w:szCs w:val="21"/>
                      <w:lang w:bidi="ar"/>
                    </w:rPr>
                    <w:t>符合</w:t>
                  </w:r>
                </w:p>
              </w:tc>
            </w:tr>
          </w:tbl>
          <w:p w14:paraId="3F50F0B9">
            <w:pPr>
              <w:pStyle w:val="141"/>
              <w:rPr>
                <w:rFonts w:hint="eastAsia" w:ascii="Times New Roman" w:hAnsi="Times New Roman" w:eastAsia="宋体" w:cs="Times New Roman"/>
                <w:color w:val="auto"/>
                <w:lang w:val="en-US" w:eastAsia="zh-CN"/>
              </w:rPr>
            </w:pPr>
          </w:p>
          <w:p w14:paraId="566A7316">
            <w:pPr>
              <w:pStyle w:val="14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1.6、与固体废物再生利用污染防治技术导则的符合性分析</w:t>
            </w:r>
          </w:p>
          <w:p w14:paraId="5551378A">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kern w:val="2"/>
                <w:sz w:val="24"/>
                <w:szCs w:val="21"/>
                <w:lang w:val="en-US" w:eastAsia="zh-CN" w:bidi="ar-SA"/>
              </w:rPr>
            </w:pPr>
            <w:r>
              <w:rPr>
                <w:rFonts w:ascii="Times New Roman" w:hAnsi="Times New Roman" w:cs="Times New Roman"/>
                <w:color w:val="auto"/>
                <w:sz w:val="24"/>
                <w:szCs w:val="24"/>
                <w:lang w:eastAsia="zh-CN"/>
              </w:rPr>
              <w:t>对照</w:t>
            </w:r>
            <w:r>
              <w:rPr>
                <w:rFonts w:hint="eastAsia" w:ascii="Times New Roman" w:hAnsi="Times New Roman" w:cs="Times New Roman"/>
                <w:color w:val="auto"/>
                <w:sz w:val="24"/>
                <w:szCs w:val="24"/>
                <w:lang w:eastAsia="zh-CN"/>
              </w:rPr>
              <w:t>《固体废物再生利用污染防治技术导则》（HJ1091-2020）</w:t>
            </w:r>
            <w:r>
              <w:rPr>
                <w:rFonts w:ascii="Times New Roman" w:hAnsi="Times New Roman" w:cs="Times New Roman"/>
                <w:color w:val="auto"/>
                <w:sz w:val="24"/>
                <w:szCs w:val="24"/>
                <w:lang w:eastAsia="zh-CN"/>
              </w:rPr>
              <w:t>相关要求，本项目符合</w:t>
            </w:r>
            <w:r>
              <w:rPr>
                <w:rFonts w:hint="eastAsia" w:ascii="Times New Roman" w:hAnsi="Times New Roman" w:cs="Times New Roman"/>
                <w:color w:val="auto"/>
                <w:sz w:val="24"/>
                <w:szCs w:val="24"/>
                <w:lang w:eastAsia="zh-CN"/>
              </w:rPr>
              <w:t>固体废物再生利用污染防治技术导则</w:t>
            </w:r>
            <w:r>
              <w:rPr>
                <w:rFonts w:ascii="Times New Roman" w:hAnsi="Times New Roman" w:cs="Times New Roman"/>
                <w:color w:val="auto"/>
                <w:sz w:val="24"/>
                <w:szCs w:val="24"/>
                <w:lang w:eastAsia="zh-CN"/>
              </w:rPr>
              <w:t>相关要求，详见表</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lang w:eastAsia="zh-CN"/>
              </w:rPr>
              <w:t>。</w:t>
            </w:r>
          </w:p>
          <w:p w14:paraId="0AEBF6E8">
            <w:pPr>
              <w:autoSpaceDE w:val="0"/>
              <w:autoSpaceDN w:val="0"/>
              <w:adjustRightInd w:val="0"/>
              <w:snapToGrid w:val="0"/>
              <w:spacing w:line="360" w:lineRule="auto"/>
              <w:ind w:firstLine="480" w:firstLineChars="200"/>
              <w:rPr>
                <w:rFonts w:hint="eastAsia" w:ascii="Times New Roman" w:hAnsi="Times New Roman" w:eastAsia="宋体" w:cs="Times New Roman"/>
                <w:bCs/>
                <w:color w:val="auto"/>
                <w:kern w:val="2"/>
                <w:sz w:val="24"/>
                <w:szCs w:val="21"/>
                <w:lang w:val="en-US" w:eastAsia="zh-CN" w:bidi="ar-SA"/>
              </w:rPr>
            </w:pPr>
          </w:p>
        </w:tc>
      </w:tr>
    </w:tbl>
    <w:p w14:paraId="59532822">
      <w:pPr>
        <w:spacing w:line="360" w:lineRule="auto"/>
        <w:outlineLvl w:val="9"/>
        <w:rPr>
          <w:rFonts w:ascii="Times New Roman" w:hAnsi="Times New Roman"/>
          <w:color w:val="auto"/>
          <w:sz w:val="30"/>
        </w:rPr>
        <w:sectPr>
          <w:pgSz w:w="11906" w:h="16838"/>
          <w:pgMar w:top="1701" w:right="1531" w:bottom="1701" w:left="1531" w:header="851" w:footer="992" w:gutter="0"/>
          <w:pgBorders>
            <w:top w:val="none" w:sz="0" w:space="0"/>
            <w:left w:val="none" w:sz="0" w:space="0"/>
            <w:bottom w:val="none" w:sz="0" w:space="0"/>
            <w:right w:val="none" w:sz="0" w:space="0"/>
          </w:pgBorders>
          <w:pgNumType w:start="1"/>
          <w:cols w:space="720" w:num="1"/>
          <w:docGrid w:linePitch="312" w:charSpace="0"/>
        </w:sectPr>
      </w:pP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3492"/>
      </w:tblGrid>
      <w:tr w14:paraId="1BB2B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 w:hRule="atLeast"/>
          <w:jc w:val="center"/>
        </w:trPr>
        <w:tc>
          <w:tcPr>
            <w:tcW w:w="5000" w:type="pct"/>
            <w:noWrap w:val="0"/>
            <w:vAlign w:val="center"/>
          </w:tcPr>
          <w:p w14:paraId="7DB49F62">
            <w:pPr>
              <w:numPr>
                <w:ilvl w:val="0"/>
                <w:numId w:val="8"/>
              </w:numPr>
              <w:spacing w:before="120" w:beforeLines="50"/>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本项目与《固体废物再生利用污染防治技术导则》</w:t>
            </w:r>
            <w:r>
              <w:rPr>
                <w:rFonts w:hint="eastAsia" w:ascii="Times New Roman" w:hAnsi="Times New Roman" w:eastAsia="宋体" w:cs="Times New Roman"/>
                <w:b/>
                <w:color w:val="auto"/>
                <w:sz w:val="24"/>
                <w:szCs w:val="24"/>
                <w:lang w:val="en-US" w:eastAsia="zh-CN"/>
              </w:rPr>
              <w:t>（</w:t>
            </w:r>
            <w:r>
              <w:rPr>
                <w:rFonts w:hint="default" w:ascii="Times New Roman" w:hAnsi="Times New Roman" w:eastAsia="宋体" w:cs="Times New Roman"/>
                <w:b/>
                <w:color w:val="auto"/>
                <w:sz w:val="24"/>
                <w:szCs w:val="24"/>
                <w:lang w:val="en-US" w:eastAsia="zh-CN"/>
              </w:rPr>
              <w:t>HJ1091-2020</w:t>
            </w:r>
            <w:r>
              <w:rPr>
                <w:rFonts w:hint="eastAsia" w:ascii="Times New Roman" w:hAnsi="Times New Roman" w:eastAsia="宋体" w:cs="Times New Roman"/>
                <w:b/>
                <w:color w:val="auto"/>
                <w:sz w:val="24"/>
                <w:szCs w:val="24"/>
                <w:lang w:val="en-US" w:eastAsia="zh-CN"/>
              </w:rPr>
              <w:t>）</w:t>
            </w:r>
            <w:r>
              <w:rPr>
                <w:rFonts w:hint="default" w:ascii="Times New Roman" w:hAnsi="Times New Roman" w:eastAsia="宋体" w:cs="Times New Roman"/>
                <w:b/>
                <w:color w:val="auto"/>
                <w:sz w:val="24"/>
                <w:szCs w:val="24"/>
                <w:lang w:val="en-US" w:eastAsia="zh-CN"/>
              </w:rPr>
              <w:t>相关要求对照表</w:t>
            </w:r>
          </w:p>
          <w:tbl>
            <w:tblPr>
              <w:tblStyle w:val="29"/>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75"/>
              <w:gridCol w:w="5911"/>
              <w:gridCol w:w="5268"/>
              <w:gridCol w:w="879"/>
            </w:tblGrid>
            <w:tr w14:paraId="62BC701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noWrap w:val="0"/>
                  <w:vAlign w:val="center"/>
                </w:tcPr>
                <w:p w14:paraId="7163C8A6">
                  <w:pPr>
                    <w:adjustRightInd w:val="0"/>
                    <w:snapToGrid w:val="0"/>
                    <w:jc w:val="center"/>
                    <w:rPr>
                      <w:rFonts w:ascii="Times New Roman" w:hAnsi="Times New Roman"/>
                      <w:bCs/>
                      <w:caps w:val="0"/>
                      <w:smallCaps w:val="0"/>
                      <w:color w:val="auto"/>
                      <w:kern w:val="0"/>
                      <w:szCs w:val="21"/>
                    </w:rPr>
                  </w:pPr>
                  <w:r>
                    <w:rPr>
                      <w:rFonts w:hint="eastAsia" w:ascii="Times New Roman" w:hAnsi="Times New Roman"/>
                      <w:bCs/>
                      <w:caps w:val="0"/>
                      <w:smallCaps w:val="0"/>
                      <w:color w:val="auto"/>
                      <w:kern w:val="0"/>
                      <w:szCs w:val="21"/>
                    </w:rPr>
                    <w:t>内容</w:t>
                  </w:r>
                </w:p>
              </w:tc>
              <w:tc>
                <w:tcPr>
                  <w:tcW w:w="2200" w:type="pct"/>
                  <w:noWrap w:val="0"/>
                  <w:vAlign w:val="center"/>
                </w:tcPr>
                <w:p w14:paraId="059B9C68">
                  <w:pPr>
                    <w:adjustRightInd w:val="0"/>
                    <w:snapToGrid w:val="0"/>
                    <w:jc w:val="center"/>
                    <w:rPr>
                      <w:rFonts w:ascii="Times New Roman" w:hAnsi="Times New Roman"/>
                      <w:bCs/>
                      <w:caps w:val="0"/>
                      <w:smallCaps w:val="0"/>
                      <w:color w:val="auto"/>
                      <w:kern w:val="0"/>
                      <w:szCs w:val="21"/>
                    </w:rPr>
                  </w:pPr>
                  <w:r>
                    <w:rPr>
                      <w:rFonts w:ascii="Times New Roman" w:hAnsi="Times New Roman"/>
                      <w:bCs/>
                      <w:caps w:val="0"/>
                      <w:smallCaps w:val="0"/>
                      <w:color w:val="auto"/>
                      <w:kern w:val="0"/>
                      <w:szCs w:val="21"/>
                    </w:rPr>
                    <w:t>固体废物再生利用污染防治技术导则要求</w:t>
                  </w:r>
                </w:p>
              </w:tc>
              <w:tc>
                <w:tcPr>
                  <w:tcW w:w="1961" w:type="pct"/>
                  <w:noWrap w:val="0"/>
                  <w:vAlign w:val="center"/>
                </w:tcPr>
                <w:p w14:paraId="58990C9F">
                  <w:pPr>
                    <w:adjustRightInd w:val="0"/>
                    <w:snapToGrid w:val="0"/>
                    <w:jc w:val="center"/>
                    <w:rPr>
                      <w:rFonts w:ascii="Times New Roman" w:hAnsi="Times New Roman"/>
                      <w:bCs/>
                      <w:caps w:val="0"/>
                      <w:smallCaps w:val="0"/>
                      <w:color w:val="auto"/>
                      <w:kern w:val="0"/>
                      <w:szCs w:val="21"/>
                    </w:rPr>
                  </w:pPr>
                  <w:r>
                    <w:rPr>
                      <w:rFonts w:ascii="Times New Roman" w:hAnsi="Times New Roman"/>
                      <w:bCs/>
                      <w:caps w:val="0"/>
                      <w:smallCaps w:val="0"/>
                      <w:color w:val="auto"/>
                      <w:kern w:val="0"/>
                      <w:szCs w:val="21"/>
                    </w:rPr>
                    <w:t>本项目情况</w:t>
                  </w:r>
                </w:p>
              </w:tc>
              <w:tc>
                <w:tcPr>
                  <w:tcW w:w="326" w:type="pct"/>
                  <w:noWrap w:val="0"/>
                  <w:vAlign w:val="center"/>
                </w:tcPr>
                <w:p w14:paraId="13EC53FA">
                  <w:pPr>
                    <w:adjustRightInd w:val="0"/>
                    <w:snapToGrid w:val="0"/>
                    <w:jc w:val="center"/>
                    <w:rPr>
                      <w:rFonts w:ascii="Times New Roman" w:hAnsi="Times New Roman"/>
                      <w:bCs/>
                      <w:caps w:val="0"/>
                      <w:smallCaps w:val="0"/>
                      <w:color w:val="auto"/>
                      <w:kern w:val="0"/>
                      <w:szCs w:val="21"/>
                    </w:rPr>
                  </w:pPr>
                  <w:r>
                    <w:rPr>
                      <w:rFonts w:hint="eastAsia" w:ascii="Times New Roman" w:hAnsi="Times New Roman"/>
                      <w:bCs/>
                      <w:caps w:val="0"/>
                      <w:smallCaps w:val="0"/>
                      <w:color w:val="auto"/>
                      <w:kern w:val="0"/>
                      <w:szCs w:val="21"/>
                    </w:rPr>
                    <w:t>符合性</w:t>
                  </w:r>
                </w:p>
              </w:tc>
            </w:tr>
            <w:tr w14:paraId="6FE9ADF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restart"/>
                  <w:noWrap w:val="0"/>
                  <w:vAlign w:val="center"/>
                </w:tcPr>
                <w:p w14:paraId="7D4EA7FA">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4</w:t>
                  </w:r>
                  <w:r>
                    <w:rPr>
                      <w:rFonts w:hint="eastAsia" w:ascii="Times New Roman" w:hAnsi="Times New Roman"/>
                      <w:caps w:val="0"/>
                      <w:smallCaps w:val="0"/>
                      <w:color w:val="auto"/>
                      <w:kern w:val="0"/>
                      <w:szCs w:val="21"/>
                    </w:rPr>
                    <w:t>.</w:t>
                  </w:r>
                  <w:r>
                    <w:rPr>
                      <w:rFonts w:ascii="Times New Roman" w:hAnsi="Times New Roman"/>
                      <w:caps w:val="0"/>
                      <w:smallCaps w:val="0"/>
                      <w:color w:val="auto"/>
                      <w:kern w:val="0"/>
                      <w:szCs w:val="21"/>
                    </w:rPr>
                    <w:t>总体</w:t>
                  </w:r>
                </w:p>
                <w:p w14:paraId="2813CDAD">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要求</w:t>
                  </w:r>
                </w:p>
              </w:tc>
              <w:tc>
                <w:tcPr>
                  <w:tcW w:w="2200" w:type="pct"/>
                  <w:noWrap w:val="0"/>
                  <w:vAlign w:val="center"/>
                </w:tcPr>
                <w:p w14:paraId="0D8AE79A">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4.1固体废物再生利用应遵循环境安全优先的原则，保证固体废物再生利用全过程的环境安全与人体健康。</w:t>
                  </w:r>
                </w:p>
              </w:tc>
              <w:tc>
                <w:tcPr>
                  <w:tcW w:w="1961" w:type="pct"/>
                  <w:vMerge w:val="restart"/>
                  <w:noWrap w:val="0"/>
                  <w:vAlign w:val="center"/>
                </w:tcPr>
                <w:p w14:paraId="236DF1D0">
                  <w:pPr>
                    <w:adjustRightInd w:val="0"/>
                    <w:snapToGrid w:val="0"/>
                    <w:rPr>
                      <w:rFonts w:ascii="Times New Roman" w:hAnsi="Times New Roman"/>
                      <w:caps w:val="0"/>
                      <w:smallCaps w:val="0"/>
                      <w:color w:val="auto"/>
                      <w:kern w:val="0"/>
                      <w:szCs w:val="21"/>
                    </w:rPr>
                  </w:pPr>
                  <w:r>
                    <w:rPr>
                      <w:rFonts w:hint="eastAsia" w:ascii="Times New Roman" w:hAnsi="Times New Roman"/>
                      <w:caps w:val="0"/>
                      <w:smallCaps w:val="0"/>
                      <w:color w:val="auto"/>
                      <w:lang w:val="en-US" w:eastAsia="zh-CN"/>
                    </w:rPr>
                    <w:t>本项目生物质灰渣一般固体废物，经</w:t>
                  </w:r>
                  <w:r>
                    <w:rPr>
                      <w:rFonts w:hint="eastAsia"/>
                      <w:caps w:val="0"/>
                      <w:smallCaps w:val="0"/>
                      <w:color w:val="auto"/>
                      <w:lang w:val="en-US" w:eastAsia="zh-CN"/>
                    </w:rPr>
                    <w:t>烘干、磁选、分选、制粉后外售</w:t>
                  </w:r>
                  <w:r>
                    <w:rPr>
                      <w:rFonts w:hint="eastAsia" w:ascii="Times New Roman" w:hAnsi="Times New Roman"/>
                      <w:caps w:val="0"/>
                      <w:smallCaps w:val="0"/>
                      <w:color w:val="auto"/>
                    </w:rPr>
                    <w:t>，</w:t>
                  </w:r>
                  <w:r>
                    <w:rPr>
                      <w:rFonts w:hint="eastAsia" w:ascii="Times New Roman" w:hAnsi="Times New Roman"/>
                      <w:caps w:val="0"/>
                      <w:smallCaps w:val="0"/>
                      <w:color w:val="auto"/>
                      <w:kern w:val="0"/>
                      <w:szCs w:val="21"/>
                    </w:rPr>
                    <w:t>可实现固废的资源化和无害化处置，对区域生态环境保护具有正效应，符合国家产业政策及相关技术政策、标准、规范的要求。</w:t>
                  </w:r>
                </w:p>
              </w:tc>
              <w:tc>
                <w:tcPr>
                  <w:tcW w:w="326" w:type="pct"/>
                  <w:vMerge w:val="restart"/>
                  <w:noWrap w:val="0"/>
                  <w:vAlign w:val="center"/>
                </w:tcPr>
                <w:p w14:paraId="7E1D72C9">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673C94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0AD0B0DB">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67702DF6">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4.2进行固体废物再生利用技术选择时，应在固体废物再生利用技术生命周期评价结果的基础上，结合相关法规及行业的产业政策要求。</w:t>
                  </w:r>
                </w:p>
              </w:tc>
              <w:tc>
                <w:tcPr>
                  <w:tcW w:w="1961" w:type="pct"/>
                  <w:vMerge w:val="continue"/>
                  <w:noWrap w:val="0"/>
                  <w:vAlign w:val="center"/>
                </w:tcPr>
                <w:p w14:paraId="490E90AA">
                  <w:pPr>
                    <w:adjustRightInd w:val="0"/>
                    <w:snapToGrid w:val="0"/>
                    <w:jc w:val="left"/>
                    <w:rPr>
                      <w:rFonts w:ascii="Times New Roman" w:hAnsi="Times New Roman"/>
                      <w:caps w:val="0"/>
                      <w:smallCaps w:val="0"/>
                      <w:color w:val="auto"/>
                      <w:kern w:val="0"/>
                      <w:szCs w:val="21"/>
                    </w:rPr>
                  </w:pPr>
                </w:p>
              </w:tc>
              <w:tc>
                <w:tcPr>
                  <w:tcW w:w="326" w:type="pct"/>
                  <w:vMerge w:val="continue"/>
                  <w:noWrap w:val="0"/>
                  <w:vAlign w:val="center"/>
                </w:tcPr>
                <w:p w14:paraId="426289B1">
                  <w:pPr>
                    <w:adjustRightInd w:val="0"/>
                    <w:snapToGrid w:val="0"/>
                    <w:jc w:val="left"/>
                    <w:rPr>
                      <w:rFonts w:ascii="Times New Roman" w:hAnsi="Times New Roman"/>
                      <w:caps w:val="0"/>
                      <w:smallCaps w:val="0"/>
                      <w:color w:val="auto"/>
                      <w:kern w:val="0"/>
                      <w:szCs w:val="21"/>
                    </w:rPr>
                  </w:pPr>
                </w:p>
              </w:tc>
            </w:tr>
            <w:tr w14:paraId="13EA73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108540A4">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2644125B">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4.3固体废物再生利用建设项目的选址应符合区域性环境保护规划和当地的城乡总体规划。</w:t>
                  </w:r>
                </w:p>
              </w:tc>
              <w:tc>
                <w:tcPr>
                  <w:tcW w:w="1961" w:type="pct"/>
                  <w:noWrap w:val="0"/>
                  <w:vAlign w:val="center"/>
                </w:tcPr>
                <w:p w14:paraId="48D3AC7A">
                  <w:pPr>
                    <w:adjustRightInd w:val="0"/>
                    <w:snapToGrid w:val="0"/>
                    <w:jc w:val="left"/>
                    <w:rPr>
                      <w:rFonts w:ascii="Times New Roman" w:hAnsi="Times New Roman"/>
                      <w:caps w:val="0"/>
                      <w:smallCaps w:val="0"/>
                      <w:color w:val="auto"/>
                      <w:kern w:val="0"/>
                      <w:szCs w:val="21"/>
                    </w:rPr>
                  </w:pPr>
                  <w:r>
                    <w:rPr>
                      <w:rFonts w:hint="eastAsia" w:ascii="Times New Roman" w:hAnsi="Times New Roman"/>
                      <w:caps w:val="0"/>
                      <w:smallCaps w:val="0"/>
                      <w:color w:val="auto"/>
                      <w:kern w:val="0"/>
                      <w:szCs w:val="21"/>
                    </w:rPr>
                    <w:t>根据用地</w:t>
                  </w:r>
                  <w:r>
                    <w:rPr>
                      <w:rFonts w:hint="eastAsia" w:ascii="Times New Roman" w:hAnsi="Times New Roman"/>
                      <w:caps w:val="0"/>
                      <w:smallCaps w:val="0"/>
                      <w:color w:val="auto"/>
                      <w:kern w:val="0"/>
                      <w:szCs w:val="21"/>
                      <w:lang w:val="en-US" w:eastAsia="zh-CN"/>
                    </w:rPr>
                    <w:t>证明</w:t>
                  </w:r>
                  <w:r>
                    <w:rPr>
                      <w:rFonts w:hint="eastAsia" w:ascii="Times New Roman" w:hAnsi="Times New Roman"/>
                      <w:caps w:val="0"/>
                      <w:smallCaps w:val="0"/>
                      <w:color w:val="auto"/>
                      <w:kern w:val="0"/>
                      <w:szCs w:val="21"/>
                    </w:rPr>
                    <w:t>文件（见附件</w:t>
                  </w:r>
                  <w:r>
                    <w:rPr>
                      <w:rFonts w:hint="eastAsia"/>
                      <w:caps w:val="0"/>
                      <w:smallCaps w:val="0"/>
                      <w:color w:val="auto"/>
                      <w:kern w:val="0"/>
                      <w:szCs w:val="21"/>
                      <w:lang w:val="en-US" w:eastAsia="zh-CN"/>
                    </w:rPr>
                    <w:t>4</w:t>
                  </w:r>
                  <w:r>
                    <w:rPr>
                      <w:rFonts w:hint="eastAsia" w:ascii="Times New Roman" w:hAnsi="Times New Roman"/>
                      <w:caps w:val="0"/>
                      <w:smallCaps w:val="0"/>
                      <w:color w:val="auto"/>
                      <w:kern w:val="0"/>
                      <w:szCs w:val="21"/>
                    </w:rPr>
                    <w:t>）</w:t>
                  </w:r>
                  <w:r>
                    <w:rPr>
                      <w:rFonts w:hint="eastAsia" w:ascii="Times New Roman" w:hAnsi="Times New Roman"/>
                      <w:caps w:val="0"/>
                      <w:smallCaps w:val="0"/>
                      <w:color w:val="auto"/>
                      <w:kern w:val="0"/>
                      <w:szCs w:val="21"/>
                      <w:lang w:eastAsia="zh-CN"/>
                    </w:rPr>
                    <w:t>。</w:t>
                  </w:r>
                  <w:r>
                    <w:rPr>
                      <w:rFonts w:hint="eastAsia" w:ascii="Times New Roman" w:hAnsi="Times New Roman"/>
                      <w:caps w:val="0"/>
                      <w:smallCaps w:val="0"/>
                      <w:color w:val="auto"/>
                      <w:kern w:val="0"/>
                      <w:szCs w:val="21"/>
                    </w:rPr>
                    <w:t>可知，项目所在地属于工业用地</w:t>
                  </w:r>
                  <w:r>
                    <w:rPr>
                      <w:rFonts w:hint="eastAsia"/>
                      <w:caps w:val="0"/>
                      <w:smallCaps w:val="0"/>
                      <w:color w:val="auto"/>
                      <w:kern w:val="0"/>
                      <w:szCs w:val="21"/>
                      <w:lang w:eastAsia="zh-CN"/>
                    </w:rPr>
                    <w:t>，</w:t>
                  </w:r>
                  <w:r>
                    <w:rPr>
                      <w:rFonts w:hint="eastAsia"/>
                      <w:caps w:val="0"/>
                      <w:smallCaps w:val="0"/>
                      <w:color w:val="auto"/>
                      <w:kern w:val="0"/>
                      <w:szCs w:val="21"/>
                      <w:lang w:val="en-US" w:eastAsia="zh-CN"/>
                    </w:rPr>
                    <w:t>符合</w:t>
                  </w:r>
                  <w:r>
                    <w:rPr>
                      <w:rFonts w:ascii="Times New Roman" w:hAnsi="Times New Roman"/>
                      <w:caps w:val="0"/>
                      <w:smallCaps w:val="0"/>
                      <w:color w:val="auto"/>
                      <w:kern w:val="0"/>
                      <w:szCs w:val="21"/>
                    </w:rPr>
                    <w:t>当地的城乡总体规划</w:t>
                  </w:r>
                  <w:r>
                    <w:rPr>
                      <w:rFonts w:hint="eastAsia" w:ascii="Times New Roman" w:hAnsi="Times New Roman"/>
                      <w:caps w:val="0"/>
                      <w:smallCaps w:val="0"/>
                      <w:color w:val="auto"/>
                      <w:kern w:val="0"/>
                      <w:szCs w:val="21"/>
                    </w:rPr>
                    <w:t>。</w:t>
                  </w:r>
                </w:p>
              </w:tc>
              <w:tc>
                <w:tcPr>
                  <w:tcW w:w="326" w:type="pct"/>
                  <w:noWrap w:val="0"/>
                  <w:vAlign w:val="center"/>
                </w:tcPr>
                <w:p w14:paraId="7C59E401">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7E87D0F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083569DD">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5C045075">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4.4固体废物再生利用建设项目的设计、施工、验收和运行应遵守国家现行的相关法规的规定，同时建立完善的环境管理制度，包括环境影响评价、环境管理计划、环境保护责任、排污许可、监测、信息公开、环境应急预案和环境保护档案管理等制度。</w:t>
                  </w:r>
                </w:p>
              </w:tc>
              <w:tc>
                <w:tcPr>
                  <w:tcW w:w="1961" w:type="pct"/>
                  <w:noWrap w:val="0"/>
                  <w:vAlign w:val="center"/>
                </w:tcPr>
                <w:p w14:paraId="6D7B8BFD">
                  <w:pPr>
                    <w:adjustRightInd w:val="0"/>
                    <w:snapToGrid w:val="0"/>
                    <w:jc w:val="center"/>
                    <w:rPr>
                      <w:rFonts w:ascii="Times New Roman" w:hAnsi="Times New Roman"/>
                      <w:caps w:val="0"/>
                      <w:smallCaps w:val="0"/>
                      <w:color w:val="auto"/>
                      <w:kern w:val="0"/>
                      <w:szCs w:val="21"/>
                    </w:rPr>
                  </w:pPr>
                  <w:r>
                    <w:rPr>
                      <w:rFonts w:hint="eastAsia" w:ascii="Times New Roman" w:hAnsi="Times New Roman"/>
                      <w:caps w:val="0"/>
                      <w:smallCaps w:val="0"/>
                      <w:color w:val="auto"/>
                      <w:kern w:val="0"/>
                      <w:szCs w:val="21"/>
                    </w:rPr>
                    <w:t>建设单位承诺严格按照规范要求落实</w:t>
                  </w:r>
                </w:p>
              </w:tc>
              <w:tc>
                <w:tcPr>
                  <w:tcW w:w="326" w:type="pct"/>
                  <w:noWrap w:val="0"/>
                  <w:vAlign w:val="center"/>
                </w:tcPr>
                <w:p w14:paraId="6F9087E3">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4FC651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208974A2">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4A8B5638">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4.5应对固体废物再生利用各技术环节的环境污染因子进行识别，采取有效污染控制措施，配备污染物监测设备设施，避免污染物的无组织排放，防止发生二次污染，妥善处置产生的废物。</w:t>
                  </w:r>
                </w:p>
              </w:tc>
              <w:tc>
                <w:tcPr>
                  <w:tcW w:w="1961" w:type="pct"/>
                  <w:noWrap w:val="0"/>
                  <w:vAlign w:val="center"/>
                </w:tcPr>
                <w:p w14:paraId="3811F35B">
                  <w:pPr>
                    <w:adjustRightInd w:val="0"/>
                    <w:snapToGrid w:val="0"/>
                    <w:rPr>
                      <w:rFonts w:hint="default" w:ascii="Times New Roman" w:hAnsi="Times New Roman" w:eastAsia="宋体"/>
                      <w:caps w:val="0"/>
                      <w:smallCaps w:val="0"/>
                      <w:color w:val="auto"/>
                      <w:kern w:val="0"/>
                      <w:szCs w:val="21"/>
                      <w:lang w:val="en-US" w:eastAsia="zh-CN"/>
                    </w:rPr>
                  </w:pPr>
                  <w:r>
                    <w:rPr>
                      <w:rFonts w:ascii="Times New Roman" w:hAnsi="Times New Roman"/>
                      <w:caps w:val="0"/>
                      <w:smallCaps w:val="0"/>
                      <w:color w:val="auto"/>
                      <w:szCs w:val="21"/>
                    </w:rPr>
                    <w:t>本项目无废水产生</w:t>
                  </w:r>
                  <w:r>
                    <w:rPr>
                      <w:rFonts w:hint="eastAsia" w:ascii="Times New Roman" w:hAnsi="Times New Roman"/>
                      <w:caps w:val="0"/>
                      <w:smallCaps w:val="0"/>
                      <w:color w:val="auto"/>
                      <w:szCs w:val="21"/>
                      <w:lang w:eastAsia="zh-CN"/>
                    </w:rPr>
                    <w:t>，</w:t>
                  </w:r>
                  <w:r>
                    <w:rPr>
                      <w:rFonts w:hint="eastAsia" w:ascii="Times New Roman" w:hAnsi="Times New Roman"/>
                      <w:caps w:val="0"/>
                      <w:smallCaps w:val="0"/>
                      <w:color w:val="auto"/>
                      <w:szCs w:val="21"/>
                      <w:lang w:val="en-US" w:eastAsia="zh-CN"/>
                    </w:rPr>
                    <w:t>生活污水经化粪池处置后用于周边山林灌溉，废气经收集处置后均可满足相应排放标准，固体废物可妥善处置。</w:t>
                  </w:r>
                </w:p>
              </w:tc>
              <w:tc>
                <w:tcPr>
                  <w:tcW w:w="326" w:type="pct"/>
                  <w:noWrap w:val="0"/>
                  <w:vAlign w:val="center"/>
                </w:tcPr>
                <w:p w14:paraId="6FA1537C">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4287FF8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1AD7A64E">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1C4E44D5">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4.6固体废物再生利用过程产生的各种污染物的排放应满足国家和地方的污染物排放</w:t>
                  </w:r>
                  <w:r>
                    <w:rPr>
                      <w:rFonts w:hint="eastAsia"/>
                      <w:caps w:val="0"/>
                      <w:smallCaps w:val="0"/>
                      <w:color w:val="auto"/>
                      <w:kern w:val="0"/>
                      <w:szCs w:val="21"/>
                      <w:lang w:eastAsia="zh-CN"/>
                    </w:rPr>
                    <w:t>（</w:t>
                  </w:r>
                  <w:r>
                    <w:rPr>
                      <w:rFonts w:ascii="Times New Roman" w:hAnsi="Times New Roman"/>
                      <w:caps w:val="0"/>
                      <w:smallCaps w:val="0"/>
                      <w:color w:val="auto"/>
                      <w:kern w:val="0"/>
                      <w:szCs w:val="21"/>
                    </w:rPr>
                    <w:t>控制</w:t>
                  </w:r>
                  <w:r>
                    <w:rPr>
                      <w:rFonts w:hint="eastAsia"/>
                      <w:caps w:val="0"/>
                      <w:smallCaps w:val="0"/>
                      <w:color w:val="auto"/>
                      <w:kern w:val="0"/>
                      <w:szCs w:val="21"/>
                      <w:lang w:eastAsia="zh-CN"/>
                    </w:rPr>
                    <w:t>）</w:t>
                  </w:r>
                  <w:r>
                    <w:rPr>
                      <w:rFonts w:ascii="Times New Roman" w:hAnsi="Times New Roman"/>
                      <w:caps w:val="0"/>
                      <w:smallCaps w:val="0"/>
                      <w:color w:val="auto"/>
                      <w:kern w:val="0"/>
                      <w:szCs w:val="21"/>
                    </w:rPr>
                    <w:t>标准与排污许可要求。</w:t>
                  </w:r>
                </w:p>
              </w:tc>
              <w:tc>
                <w:tcPr>
                  <w:tcW w:w="1961" w:type="pct"/>
                  <w:noWrap w:val="0"/>
                  <w:vAlign w:val="center"/>
                </w:tcPr>
                <w:p w14:paraId="216A9F0E">
                  <w:pPr>
                    <w:adjustRightInd w:val="0"/>
                    <w:snapToGrid w:val="0"/>
                    <w:rPr>
                      <w:rFonts w:hint="default"/>
                      <w:caps w:val="0"/>
                      <w:smallCaps w:val="0"/>
                      <w:color w:val="auto"/>
                      <w:kern w:val="0"/>
                      <w:szCs w:val="21"/>
                      <w:lang w:val="en-US" w:eastAsia="zh-CN"/>
                    </w:rPr>
                  </w:pPr>
                  <w:r>
                    <w:rPr>
                      <w:rFonts w:ascii="Times New Roman" w:hAnsi="Times New Roman"/>
                      <w:caps w:val="0"/>
                      <w:smallCaps w:val="0"/>
                      <w:color w:val="auto"/>
                      <w:szCs w:val="21"/>
                    </w:rPr>
                    <w:t>本项目无废水产生</w:t>
                  </w:r>
                  <w:r>
                    <w:rPr>
                      <w:rFonts w:hint="eastAsia" w:ascii="Times New Roman" w:hAnsi="Times New Roman"/>
                      <w:caps w:val="0"/>
                      <w:smallCaps w:val="0"/>
                      <w:color w:val="auto"/>
                      <w:szCs w:val="21"/>
                      <w:lang w:eastAsia="zh-CN"/>
                    </w:rPr>
                    <w:t>，</w:t>
                  </w:r>
                  <w:r>
                    <w:rPr>
                      <w:rFonts w:hint="eastAsia" w:ascii="Times New Roman" w:hAnsi="Times New Roman"/>
                      <w:caps w:val="0"/>
                      <w:smallCaps w:val="0"/>
                      <w:color w:val="auto"/>
                      <w:szCs w:val="21"/>
                      <w:lang w:val="en-US" w:eastAsia="zh-CN"/>
                    </w:rPr>
                    <w:t>生活污水经化粪池处置后用于周边山林灌溉，废气经收集处置后均可满足相应排放标准，固体废物可妥善处置。</w:t>
                  </w:r>
                </w:p>
              </w:tc>
              <w:tc>
                <w:tcPr>
                  <w:tcW w:w="326" w:type="pct"/>
                  <w:noWrap w:val="0"/>
                  <w:vAlign w:val="center"/>
                </w:tcPr>
                <w:p w14:paraId="4E38E7B6">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192AF5C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4"/>
                  <w:noWrap w:val="0"/>
                  <w:vAlign w:val="center"/>
                </w:tcPr>
                <w:p w14:paraId="70A374D3">
                  <w:pPr>
                    <w:adjustRightInd w:val="0"/>
                    <w:snapToGrid w:val="0"/>
                    <w:jc w:val="left"/>
                    <w:rPr>
                      <w:rFonts w:ascii="Times New Roman" w:hAnsi="Times New Roman"/>
                      <w:caps w:val="0"/>
                      <w:smallCaps w:val="0"/>
                      <w:color w:val="auto"/>
                      <w:kern w:val="0"/>
                      <w:sz w:val="20"/>
                      <w:szCs w:val="20"/>
                    </w:rPr>
                  </w:pPr>
                  <w:r>
                    <w:rPr>
                      <w:rFonts w:ascii="Times New Roman" w:hAnsi="Times New Roman"/>
                      <w:caps w:val="0"/>
                      <w:smallCaps w:val="0"/>
                      <w:color w:val="auto"/>
                      <w:kern w:val="0"/>
                      <w:szCs w:val="21"/>
                    </w:rPr>
                    <w:t>5</w:t>
                  </w:r>
                  <w:r>
                    <w:rPr>
                      <w:rFonts w:hint="eastAsia" w:ascii="Times New Roman" w:hAnsi="Times New Roman"/>
                      <w:caps w:val="0"/>
                      <w:smallCaps w:val="0"/>
                      <w:color w:val="auto"/>
                      <w:kern w:val="0"/>
                      <w:szCs w:val="21"/>
                    </w:rPr>
                    <w:t>.</w:t>
                  </w:r>
                  <w:r>
                    <w:rPr>
                      <w:rFonts w:ascii="Times New Roman" w:hAnsi="Times New Roman"/>
                      <w:caps w:val="0"/>
                      <w:smallCaps w:val="0"/>
                      <w:color w:val="auto"/>
                      <w:kern w:val="0"/>
                      <w:szCs w:val="21"/>
                    </w:rPr>
                    <w:t>主要工艺单元污染防治技术要求</w:t>
                  </w:r>
                </w:p>
              </w:tc>
            </w:tr>
            <w:tr w14:paraId="28DDD5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restart"/>
                  <w:noWrap w:val="0"/>
                  <w:vAlign w:val="center"/>
                </w:tcPr>
                <w:p w14:paraId="7454B987">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5.1一般规定</w:t>
                  </w:r>
                </w:p>
              </w:tc>
              <w:tc>
                <w:tcPr>
                  <w:tcW w:w="2200" w:type="pct"/>
                  <w:noWrap w:val="0"/>
                  <w:vAlign w:val="center"/>
                </w:tcPr>
                <w:p w14:paraId="14F3C6FE">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5.1.1进行再生利用作业前，应明确固体废物的理化特性，并采取相应的安全防护措施，以防止固体废物在清洗、破碎、中和反应等过程中引起有毒有害物质的释放。</w:t>
                  </w:r>
                </w:p>
              </w:tc>
              <w:tc>
                <w:tcPr>
                  <w:tcW w:w="1961" w:type="pct"/>
                  <w:noWrap w:val="0"/>
                  <w:vAlign w:val="center"/>
                </w:tcPr>
                <w:p w14:paraId="59D13205">
                  <w:pPr>
                    <w:adjustRightInd w:val="0"/>
                    <w:snapToGrid w:val="0"/>
                    <w:rPr>
                      <w:rFonts w:ascii="Times New Roman" w:hAnsi="Times New Roman"/>
                      <w:caps w:val="0"/>
                      <w:smallCaps w:val="0"/>
                      <w:color w:val="auto"/>
                      <w:kern w:val="0"/>
                      <w:szCs w:val="21"/>
                    </w:rPr>
                  </w:pPr>
                  <w:r>
                    <w:rPr>
                      <w:rFonts w:hint="eastAsia" w:ascii="Times New Roman" w:hAnsi="Times New Roman"/>
                      <w:bCs/>
                      <w:caps w:val="0"/>
                      <w:smallCaps w:val="0"/>
                      <w:color w:val="auto"/>
                      <w:szCs w:val="21"/>
                    </w:rPr>
                    <w:t>项目</w:t>
                  </w:r>
                  <w:r>
                    <w:rPr>
                      <w:rFonts w:hint="eastAsia"/>
                      <w:bCs/>
                      <w:caps w:val="0"/>
                      <w:smallCaps w:val="0"/>
                      <w:color w:val="auto"/>
                      <w:szCs w:val="21"/>
                      <w:lang w:val="en-US" w:eastAsia="zh-CN"/>
                    </w:rPr>
                    <w:t>生物质炭渣</w:t>
                  </w:r>
                  <w:r>
                    <w:rPr>
                      <w:rFonts w:hint="eastAsia" w:ascii="Times New Roman" w:hAnsi="Times New Roman"/>
                      <w:bCs/>
                      <w:caps w:val="0"/>
                      <w:smallCaps w:val="0"/>
                      <w:color w:val="auto"/>
                      <w:szCs w:val="21"/>
                    </w:rPr>
                    <w:t>的</w:t>
                  </w:r>
                  <w:r>
                    <w:rPr>
                      <w:rFonts w:hint="eastAsia" w:ascii="Times New Roman" w:hAnsi="Times New Roman"/>
                      <w:caps w:val="0"/>
                      <w:smallCaps w:val="0"/>
                      <w:color w:val="auto"/>
                      <w:kern w:val="0"/>
                      <w:szCs w:val="21"/>
                    </w:rPr>
                    <w:t>收集、贮存、运输、处理和处置过程按照《一般工业固体废物贮存和填埋污染控制标准》（GB 18599-2020）及其修改单要求执行。</w:t>
                  </w:r>
                </w:p>
              </w:tc>
              <w:tc>
                <w:tcPr>
                  <w:tcW w:w="326" w:type="pct"/>
                  <w:noWrap w:val="0"/>
                  <w:vAlign w:val="center"/>
                </w:tcPr>
                <w:p w14:paraId="02508CEB">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207B553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52E9A337">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518D6F1E">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5.1.3应根据固体废物的特性设置必要的防扬撒、防渗漏、防腐蚀设施，配备废气处理、废水处理、噪声控制等污染防治设施，按要求对主要环境影响指标进行在线监测。</w:t>
                  </w:r>
                </w:p>
              </w:tc>
              <w:tc>
                <w:tcPr>
                  <w:tcW w:w="1961" w:type="pct"/>
                  <w:noWrap w:val="0"/>
                  <w:vAlign w:val="center"/>
                </w:tcPr>
                <w:p w14:paraId="08F1F708">
                  <w:pPr>
                    <w:adjustRightInd w:val="0"/>
                    <w:snapToGrid w:val="0"/>
                    <w:rPr>
                      <w:rFonts w:hint="eastAsia" w:ascii="Times New Roman" w:hAnsi="Times New Roman"/>
                      <w:caps w:val="0"/>
                      <w:smallCaps w:val="0"/>
                      <w:color w:val="auto"/>
                      <w:kern w:val="0"/>
                      <w:szCs w:val="21"/>
                    </w:rPr>
                  </w:pPr>
                  <w:r>
                    <w:rPr>
                      <w:rFonts w:hint="eastAsia" w:ascii="Times New Roman" w:hAnsi="Times New Roman"/>
                      <w:caps w:val="0"/>
                      <w:smallCaps w:val="0"/>
                      <w:color w:val="auto"/>
                      <w:kern w:val="0"/>
                      <w:szCs w:val="21"/>
                    </w:rPr>
                    <w:t>本项目所采用的各项污染防治措施技术可行、经济合理，可保证各类大气污染物长期稳定达标排放，并满足国家和地方污染物排放总量控制要求；项目生产过</w:t>
                  </w:r>
                  <w:r>
                    <w:rPr>
                      <w:rFonts w:hint="eastAsia"/>
                      <w:caps w:val="0"/>
                      <w:smallCaps w:val="0"/>
                      <w:color w:val="auto"/>
                      <w:kern w:val="0"/>
                      <w:szCs w:val="21"/>
                      <w:lang w:eastAsia="zh-CN"/>
                    </w:rPr>
                    <w:t>程中</w:t>
                  </w:r>
                  <w:r>
                    <w:rPr>
                      <w:rFonts w:hint="eastAsia" w:ascii="Times New Roman" w:hAnsi="Times New Roman"/>
                      <w:caps w:val="0"/>
                      <w:smallCaps w:val="0"/>
                      <w:color w:val="auto"/>
                      <w:kern w:val="0"/>
                      <w:szCs w:val="21"/>
                    </w:rPr>
                    <w:t>产生的固体废物均能得到合理处置和利用，噪声影响可控；生产车间采取分区防渗、防腐措施，避免发生废水渗漏并下渗污染土壤和地下水环境</w:t>
                  </w:r>
                  <w:r>
                    <w:rPr>
                      <w:rFonts w:ascii="Times New Roman" w:hAnsi="Times New Roman"/>
                      <w:caps w:val="0"/>
                      <w:smallCaps w:val="0"/>
                      <w:color w:val="auto"/>
                      <w:kern w:val="0"/>
                      <w:szCs w:val="21"/>
                    </w:rPr>
                    <w:t>。</w:t>
                  </w:r>
                </w:p>
              </w:tc>
              <w:tc>
                <w:tcPr>
                  <w:tcW w:w="326" w:type="pct"/>
                  <w:noWrap w:val="0"/>
                  <w:vAlign w:val="center"/>
                </w:tcPr>
                <w:p w14:paraId="3A0B8605">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32A2AF3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3C1D5C10">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4E117A26">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5.1.4产生粉尘和有毒有害气体的作业区应采取除尘和有毒有害气体收集措施。扬尘点应设置吸尘罩和收尘设备，有毒有害气体逸散区应设置吸附</w:t>
                  </w:r>
                  <w:r>
                    <w:rPr>
                      <w:rFonts w:hint="eastAsia"/>
                      <w:caps w:val="0"/>
                      <w:smallCaps w:val="0"/>
                      <w:color w:val="auto"/>
                      <w:kern w:val="0"/>
                      <w:szCs w:val="21"/>
                      <w:lang w:eastAsia="zh-CN"/>
                    </w:rPr>
                    <w:t>（</w:t>
                  </w:r>
                  <w:r>
                    <w:rPr>
                      <w:rFonts w:ascii="Times New Roman" w:hAnsi="Times New Roman"/>
                      <w:caps w:val="0"/>
                      <w:smallCaps w:val="0"/>
                      <w:color w:val="auto"/>
                      <w:kern w:val="0"/>
                      <w:szCs w:val="21"/>
                    </w:rPr>
                    <w:t>吸收</w:t>
                  </w:r>
                  <w:r>
                    <w:rPr>
                      <w:rFonts w:hint="eastAsia"/>
                      <w:caps w:val="0"/>
                      <w:smallCaps w:val="0"/>
                      <w:color w:val="auto"/>
                      <w:kern w:val="0"/>
                      <w:szCs w:val="21"/>
                      <w:lang w:eastAsia="zh-CN"/>
                    </w:rPr>
                    <w:t>）</w:t>
                  </w:r>
                  <w:r>
                    <w:rPr>
                      <w:rFonts w:ascii="Times New Roman" w:hAnsi="Times New Roman"/>
                      <w:caps w:val="0"/>
                      <w:smallCaps w:val="0"/>
                      <w:color w:val="auto"/>
                      <w:kern w:val="0"/>
                      <w:szCs w:val="21"/>
                    </w:rPr>
                    <w:t>转化装置，保证作业区粉尘、有害气体浓度满足GBZ2.1的要求。</w:t>
                  </w:r>
                </w:p>
              </w:tc>
              <w:tc>
                <w:tcPr>
                  <w:tcW w:w="1961" w:type="pct"/>
                  <w:noWrap w:val="0"/>
                  <w:vAlign w:val="center"/>
                </w:tcPr>
                <w:p w14:paraId="38573429">
                  <w:pPr>
                    <w:pStyle w:val="170"/>
                    <w:jc w:val="both"/>
                    <w:rPr>
                      <w:rFonts w:ascii="Times New Roman" w:hAnsi="Times New Roman"/>
                      <w:caps w:val="0"/>
                      <w:smallCaps w:val="0"/>
                      <w:color w:val="auto"/>
                      <w:kern w:val="0"/>
                      <w:szCs w:val="21"/>
                    </w:rPr>
                  </w:pPr>
                  <w:r>
                    <w:rPr>
                      <w:rFonts w:hint="eastAsia"/>
                      <w:caps w:val="0"/>
                      <w:smallCaps w:val="0"/>
                      <w:color w:val="auto"/>
                      <w:kern w:val="0"/>
                      <w:szCs w:val="21"/>
                      <w:lang w:val="en-US" w:eastAsia="zh-CN"/>
                    </w:rPr>
                    <w:t>本项目</w:t>
                  </w:r>
                  <w:r>
                    <w:rPr>
                      <w:rFonts w:hint="default" w:ascii="Times New Roman" w:hAnsi="Times New Roman" w:cs="Times New Roman"/>
                      <w:color w:val="auto"/>
                      <w:kern w:val="2"/>
                      <w:sz w:val="21"/>
                      <w:szCs w:val="21"/>
                      <w:lang w:val="en-US" w:eastAsia="zh-CN" w:bidi="ar-SA"/>
                    </w:rPr>
                    <w:t>筛分、制粉工序</w:t>
                  </w:r>
                  <w:r>
                    <w:rPr>
                      <w:rFonts w:hint="default" w:ascii="Times New Roman" w:hAnsi="Times New Roman" w:cs="Times New Roman"/>
                      <w:color w:val="auto"/>
                      <w:sz w:val="21"/>
                      <w:szCs w:val="21"/>
                      <w:lang w:val="en-US" w:eastAsia="zh-CN"/>
                    </w:rPr>
                    <w:t>粉尘经</w:t>
                  </w:r>
                  <w:r>
                    <w:rPr>
                      <w:rFonts w:hint="default" w:ascii="Times New Roman" w:hAnsi="Times New Roman" w:cs="Times New Roman"/>
                      <w:color w:val="auto"/>
                      <w:sz w:val="21"/>
                      <w:szCs w:val="21"/>
                    </w:rPr>
                    <w:t>收集后引至袋式除尘器</w:t>
                  </w:r>
                  <w:r>
                    <w:rPr>
                      <w:rFonts w:hint="default" w:ascii="Times New Roman" w:hAnsi="Times New Roman" w:cs="Times New Roman"/>
                      <w:color w:val="auto"/>
                      <w:sz w:val="21"/>
                      <w:szCs w:val="21"/>
                      <w:lang w:val="en-US" w:eastAsia="zh-CN"/>
                    </w:rPr>
                    <w:t>处置后，通过</w:t>
                  </w:r>
                  <w:r>
                    <w:rPr>
                      <w:rFonts w:hint="default" w:ascii="Times New Roman" w:hAnsi="Times New Roman" w:cs="Times New Roman"/>
                      <w:color w:val="auto"/>
                      <w:sz w:val="21"/>
                      <w:szCs w:val="21"/>
                    </w:rPr>
                    <w:t>1根15m高排气筒（DA001）</w:t>
                  </w:r>
                  <w:r>
                    <w:rPr>
                      <w:rFonts w:hint="default" w:ascii="Times New Roman" w:hAnsi="Times New Roman" w:cs="Times New Roman"/>
                      <w:color w:val="auto"/>
                      <w:sz w:val="21"/>
                      <w:szCs w:val="21"/>
                      <w:lang w:val="en-US" w:eastAsia="zh-CN"/>
                    </w:rPr>
                    <w:t>高空</w:t>
                  </w:r>
                  <w:r>
                    <w:rPr>
                      <w:rFonts w:hint="default" w:ascii="Times New Roman" w:hAnsi="Times New Roman" w:cs="Times New Roman"/>
                      <w:color w:val="auto"/>
                      <w:sz w:val="21"/>
                      <w:szCs w:val="21"/>
                    </w:rPr>
                    <w:t>排放。</w:t>
                  </w:r>
                  <w:r>
                    <w:rPr>
                      <w:rFonts w:hint="default" w:ascii="Times New Roman" w:hAnsi="Times New Roman" w:cs="Times New Roman"/>
                      <w:color w:val="auto"/>
                      <w:sz w:val="21"/>
                      <w:szCs w:val="21"/>
                      <w:lang w:val="en-US" w:eastAsia="zh-CN"/>
                    </w:rPr>
                    <w:t>天然气燃烧废气经低氮燃烧处置后通过15m高排气筒（DA002）排放。烘干废气经布袋除尘器处置后，通过</w:t>
                  </w:r>
                  <w:r>
                    <w:rPr>
                      <w:rFonts w:hint="default" w:ascii="Times New Roman" w:hAnsi="Times New Roman" w:cs="Times New Roman"/>
                      <w:color w:val="auto"/>
                      <w:sz w:val="21"/>
                      <w:szCs w:val="21"/>
                    </w:rPr>
                    <w:t>1根15m高排气筒（DA00</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高空</w:t>
                  </w:r>
                  <w:r>
                    <w:rPr>
                      <w:rFonts w:hint="default" w:ascii="Times New Roman" w:hAnsi="Times New Roman" w:cs="Times New Roman"/>
                      <w:color w:val="auto"/>
                      <w:sz w:val="21"/>
                      <w:szCs w:val="21"/>
                    </w:rPr>
                    <w:t>排放。</w:t>
                  </w:r>
                </w:p>
              </w:tc>
              <w:tc>
                <w:tcPr>
                  <w:tcW w:w="326" w:type="pct"/>
                  <w:noWrap w:val="0"/>
                  <w:vAlign w:val="center"/>
                </w:tcPr>
                <w:p w14:paraId="53715525">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47D09D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4CC1D14A">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2354F55C">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5.1.5应采取大气污染控制措施，大气污染物排放应满足特定行业排放</w:t>
                  </w:r>
                  <w:r>
                    <w:rPr>
                      <w:rFonts w:hint="eastAsia"/>
                      <w:caps w:val="0"/>
                      <w:smallCaps w:val="0"/>
                      <w:color w:val="auto"/>
                      <w:kern w:val="0"/>
                      <w:szCs w:val="21"/>
                      <w:lang w:eastAsia="zh-CN"/>
                    </w:rPr>
                    <w:t>（</w:t>
                  </w:r>
                  <w:r>
                    <w:rPr>
                      <w:rFonts w:ascii="Times New Roman" w:hAnsi="Times New Roman"/>
                      <w:caps w:val="0"/>
                      <w:smallCaps w:val="0"/>
                      <w:color w:val="auto"/>
                      <w:kern w:val="0"/>
                      <w:szCs w:val="21"/>
                    </w:rPr>
                    <w:t>控制</w:t>
                  </w:r>
                  <w:r>
                    <w:rPr>
                      <w:rFonts w:hint="eastAsia"/>
                      <w:caps w:val="0"/>
                      <w:smallCaps w:val="0"/>
                      <w:color w:val="auto"/>
                      <w:kern w:val="0"/>
                      <w:szCs w:val="21"/>
                      <w:lang w:eastAsia="zh-CN"/>
                    </w:rPr>
                    <w:t>）</w:t>
                  </w:r>
                  <w:r>
                    <w:rPr>
                      <w:rFonts w:ascii="Times New Roman" w:hAnsi="Times New Roman"/>
                      <w:caps w:val="0"/>
                      <w:smallCaps w:val="0"/>
                      <w:color w:val="auto"/>
                      <w:kern w:val="0"/>
                      <w:szCs w:val="21"/>
                    </w:rPr>
                    <w:t>标准的要求。没有特定行业污染排放</w:t>
                  </w:r>
                  <w:r>
                    <w:rPr>
                      <w:rFonts w:hint="eastAsia"/>
                      <w:caps w:val="0"/>
                      <w:smallCaps w:val="0"/>
                      <w:color w:val="auto"/>
                      <w:kern w:val="0"/>
                      <w:szCs w:val="21"/>
                      <w:lang w:eastAsia="zh-CN"/>
                    </w:rPr>
                    <w:t>（</w:t>
                  </w:r>
                  <w:r>
                    <w:rPr>
                      <w:rFonts w:ascii="Times New Roman" w:hAnsi="Times New Roman"/>
                      <w:caps w:val="0"/>
                      <w:smallCaps w:val="0"/>
                      <w:color w:val="auto"/>
                      <w:kern w:val="0"/>
                      <w:szCs w:val="21"/>
                    </w:rPr>
                    <w:t>控制</w:t>
                  </w:r>
                  <w:r>
                    <w:rPr>
                      <w:rFonts w:hint="eastAsia"/>
                      <w:caps w:val="0"/>
                      <w:smallCaps w:val="0"/>
                      <w:color w:val="auto"/>
                      <w:kern w:val="0"/>
                      <w:szCs w:val="21"/>
                      <w:lang w:eastAsia="zh-CN"/>
                    </w:rPr>
                    <w:t>）</w:t>
                  </w:r>
                  <w:r>
                    <w:rPr>
                      <w:rFonts w:ascii="Times New Roman" w:hAnsi="Times New Roman"/>
                      <w:caps w:val="0"/>
                      <w:smallCaps w:val="0"/>
                      <w:color w:val="auto"/>
                      <w:kern w:val="0"/>
                      <w:szCs w:val="21"/>
                    </w:rPr>
                    <w:t>标准的，应满足GB16297的要求，特征污染物排放</w:t>
                  </w:r>
                  <w:r>
                    <w:rPr>
                      <w:rFonts w:hint="eastAsia"/>
                      <w:caps w:val="0"/>
                      <w:smallCaps w:val="0"/>
                      <w:color w:val="auto"/>
                      <w:kern w:val="0"/>
                      <w:szCs w:val="21"/>
                      <w:lang w:eastAsia="zh-CN"/>
                    </w:rPr>
                    <w:t>（</w:t>
                  </w:r>
                  <w:r>
                    <w:rPr>
                      <w:rFonts w:ascii="Times New Roman" w:hAnsi="Times New Roman"/>
                      <w:caps w:val="0"/>
                      <w:smallCaps w:val="0"/>
                      <w:color w:val="auto"/>
                      <w:kern w:val="0"/>
                      <w:szCs w:val="21"/>
                    </w:rPr>
                    <w:t>控制</w:t>
                  </w:r>
                  <w:r>
                    <w:rPr>
                      <w:rFonts w:hint="eastAsia"/>
                      <w:caps w:val="0"/>
                      <w:smallCaps w:val="0"/>
                      <w:color w:val="auto"/>
                      <w:kern w:val="0"/>
                      <w:szCs w:val="21"/>
                      <w:lang w:eastAsia="zh-CN"/>
                    </w:rPr>
                    <w:t>）</w:t>
                  </w:r>
                  <w:r>
                    <w:rPr>
                      <w:rFonts w:ascii="Times New Roman" w:hAnsi="Times New Roman"/>
                      <w:caps w:val="0"/>
                      <w:smallCaps w:val="0"/>
                      <w:color w:val="auto"/>
                      <w:kern w:val="0"/>
                      <w:szCs w:val="21"/>
                    </w:rPr>
                    <w:t>应满足环境影响评价要求。</w:t>
                  </w:r>
                </w:p>
              </w:tc>
              <w:tc>
                <w:tcPr>
                  <w:tcW w:w="1961" w:type="pct"/>
                  <w:noWrap w:val="0"/>
                  <w:vAlign w:val="center"/>
                </w:tcPr>
                <w:p w14:paraId="3D4994C9">
                  <w:pPr>
                    <w:adjustRightInd w:val="0"/>
                    <w:snapToGrid w:val="0"/>
                    <w:rPr>
                      <w:rFonts w:ascii="Times New Roman" w:hAnsi="Times New Roman"/>
                      <w:caps w:val="0"/>
                      <w:smallCaps w:val="0"/>
                      <w:color w:val="auto"/>
                      <w:kern w:val="0"/>
                      <w:szCs w:val="21"/>
                    </w:rPr>
                  </w:pPr>
                  <w:r>
                    <w:rPr>
                      <w:rFonts w:hint="eastAsia" w:ascii="Times New Roman" w:hAnsi="Times New Roman"/>
                      <w:caps w:val="0"/>
                      <w:smallCaps w:val="0"/>
                      <w:color w:val="auto"/>
                      <w:kern w:val="0"/>
                      <w:szCs w:val="21"/>
                    </w:rPr>
                    <w:t>根据工程分析，</w:t>
                  </w:r>
                  <w:r>
                    <w:rPr>
                      <w:rFonts w:ascii="Times New Roman" w:hAnsi="Times New Roman"/>
                      <w:caps w:val="0"/>
                      <w:smallCaps w:val="0"/>
                      <w:color w:val="auto"/>
                      <w:kern w:val="0"/>
                      <w:szCs w:val="21"/>
                    </w:rPr>
                    <w:t>本项目</w:t>
                  </w:r>
                  <w:r>
                    <w:rPr>
                      <w:rFonts w:hint="eastAsia" w:ascii="Times New Roman" w:hAnsi="Times New Roman"/>
                      <w:caps w:val="0"/>
                      <w:smallCaps w:val="0"/>
                      <w:color w:val="auto"/>
                      <w:kern w:val="0"/>
                      <w:szCs w:val="21"/>
                    </w:rPr>
                    <w:t>大气污染物排放可满足相应标准的要求</w:t>
                  </w:r>
                  <w:r>
                    <w:rPr>
                      <w:rFonts w:ascii="Times New Roman" w:hAnsi="Times New Roman"/>
                      <w:caps w:val="0"/>
                      <w:smallCaps w:val="0"/>
                      <w:color w:val="auto"/>
                      <w:kern w:val="0"/>
                      <w:szCs w:val="21"/>
                    </w:rPr>
                    <w:t>。</w:t>
                  </w:r>
                </w:p>
              </w:tc>
              <w:tc>
                <w:tcPr>
                  <w:tcW w:w="326" w:type="pct"/>
                  <w:noWrap w:val="0"/>
                  <w:vAlign w:val="center"/>
                </w:tcPr>
                <w:p w14:paraId="347C76E6">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60507D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7E791D16">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60FAF3C1">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5.1.6应采取必要的措施防止恶臭物质扩散，周界恶臭污染物浓度应符合GB 14554的要求。</w:t>
                  </w:r>
                </w:p>
              </w:tc>
              <w:tc>
                <w:tcPr>
                  <w:tcW w:w="1961" w:type="pct"/>
                  <w:noWrap w:val="0"/>
                  <w:vAlign w:val="center"/>
                </w:tcPr>
                <w:p w14:paraId="0EF3D809">
                  <w:pPr>
                    <w:adjustRightInd w:val="0"/>
                    <w:snapToGrid w:val="0"/>
                    <w:rPr>
                      <w:rFonts w:ascii="Times New Roman" w:hAnsi="Times New Roman"/>
                      <w:caps w:val="0"/>
                      <w:smallCaps w:val="0"/>
                      <w:color w:val="auto"/>
                      <w:kern w:val="0"/>
                      <w:szCs w:val="21"/>
                    </w:rPr>
                  </w:pPr>
                  <w:r>
                    <w:rPr>
                      <w:rFonts w:hint="eastAsia" w:ascii="Times New Roman" w:hAnsi="Times New Roman"/>
                      <w:caps w:val="0"/>
                      <w:smallCaps w:val="0"/>
                      <w:color w:val="auto"/>
                      <w:kern w:val="0"/>
                      <w:szCs w:val="21"/>
                    </w:rPr>
                    <w:t>本项目</w:t>
                  </w:r>
                  <w:r>
                    <w:rPr>
                      <w:rFonts w:hint="eastAsia" w:ascii="Times New Roman" w:hAnsi="Times New Roman"/>
                      <w:caps w:val="0"/>
                      <w:smallCaps w:val="0"/>
                      <w:color w:val="auto"/>
                      <w:kern w:val="0"/>
                      <w:szCs w:val="21"/>
                      <w:lang w:val="en-US" w:eastAsia="zh-CN"/>
                    </w:rPr>
                    <w:t>不涉及恶臭物质的产生</w:t>
                  </w:r>
                  <w:r>
                    <w:rPr>
                      <w:rFonts w:hint="eastAsia" w:ascii="Times New Roman" w:hAnsi="Times New Roman"/>
                      <w:caps w:val="0"/>
                      <w:smallCaps w:val="0"/>
                      <w:color w:val="auto"/>
                      <w:kern w:val="0"/>
                      <w:szCs w:val="21"/>
                    </w:rPr>
                    <w:t>。</w:t>
                  </w:r>
                </w:p>
              </w:tc>
              <w:tc>
                <w:tcPr>
                  <w:tcW w:w="326" w:type="pct"/>
                  <w:noWrap w:val="0"/>
                  <w:vAlign w:val="center"/>
                </w:tcPr>
                <w:p w14:paraId="6F0B2418">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6D5A8CB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6A10ACE9">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0D732034">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5.1.7产生的冷凝液、浓缩液、渗滤液等废液应进行有效收集后集中处理。处理后产生的废水应优先考虑循环利用；排放时应满足特定行业排放</w:t>
                  </w:r>
                  <w:r>
                    <w:rPr>
                      <w:rFonts w:hint="eastAsia"/>
                      <w:caps w:val="0"/>
                      <w:smallCaps w:val="0"/>
                      <w:color w:val="auto"/>
                      <w:kern w:val="0"/>
                      <w:szCs w:val="21"/>
                      <w:lang w:eastAsia="zh-CN"/>
                    </w:rPr>
                    <w:t>（</w:t>
                  </w:r>
                  <w:r>
                    <w:rPr>
                      <w:rFonts w:ascii="Times New Roman" w:hAnsi="Times New Roman"/>
                      <w:caps w:val="0"/>
                      <w:smallCaps w:val="0"/>
                      <w:color w:val="auto"/>
                      <w:kern w:val="0"/>
                      <w:szCs w:val="21"/>
                    </w:rPr>
                    <w:t>控制</w:t>
                  </w:r>
                  <w:r>
                    <w:rPr>
                      <w:rFonts w:hint="eastAsia"/>
                      <w:caps w:val="0"/>
                      <w:smallCaps w:val="0"/>
                      <w:color w:val="auto"/>
                      <w:kern w:val="0"/>
                      <w:szCs w:val="21"/>
                      <w:lang w:eastAsia="zh-CN"/>
                    </w:rPr>
                    <w:t>）</w:t>
                  </w:r>
                  <w:r>
                    <w:rPr>
                      <w:rFonts w:ascii="Times New Roman" w:hAnsi="Times New Roman"/>
                      <w:caps w:val="0"/>
                      <w:smallCaps w:val="0"/>
                      <w:color w:val="auto"/>
                      <w:kern w:val="0"/>
                      <w:szCs w:val="21"/>
                    </w:rPr>
                    <w:t>标准的要求；没有特定行业污染排放</w:t>
                  </w:r>
                  <w:r>
                    <w:rPr>
                      <w:rFonts w:hint="eastAsia"/>
                      <w:caps w:val="0"/>
                      <w:smallCaps w:val="0"/>
                      <w:color w:val="auto"/>
                      <w:kern w:val="0"/>
                      <w:szCs w:val="21"/>
                      <w:lang w:eastAsia="zh-CN"/>
                    </w:rPr>
                    <w:t>（</w:t>
                  </w:r>
                  <w:r>
                    <w:rPr>
                      <w:rFonts w:ascii="Times New Roman" w:hAnsi="Times New Roman"/>
                      <w:caps w:val="0"/>
                      <w:smallCaps w:val="0"/>
                      <w:color w:val="auto"/>
                      <w:kern w:val="0"/>
                      <w:szCs w:val="21"/>
                    </w:rPr>
                    <w:t>控制</w:t>
                  </w:r>
                  <w:r>
                    <w:rPr>
                      <w:rFonts w:hint="eastAsia"/>
                      <w:caps w:val="0"/>
                      <w:smallCaps w:val="0"/>
                      <w:color w:val="auto"/>
                      <w:kern w:val="0"/>
                      <w:szCs w:val="21"/>
                      <w:lang w:eastAsia="zh-CN"/>
                    </w:rPr>
                    <w:t>）</w:t>
                  </w:r>
                  <w:r>
                    <w:rPr>
                      <w:rFonts w:ascii="Times New Roman" w:hAnsi="Times New Roman"/>
                      <w:caps w:val="0"/>
                      <w:smallCaps w:val="0"/>
                      <w:color w:val="auto"/>
                      <w:kern w:val="0"/>
                      <w:szCs w:val="21"/>
                    </w:rPr>
                    <w:t>标准的，应满足GB8978的要求，特征污染物排放</w:t>
                  </w:r>
                  <w:r>
                    <w:rPr>
                      <w:rFonts w:hint="eastAsia"/>
                      <w:caps w:val="0"/>
                      <w:smallCaps w:val="0"/>
                      <w:color w:val="auto"/>
                      <w:kern w:val="0"/>
                      <w:szCs w:val="21"/>
                      <w:lang w:eastAsia="zh-CN"/>
                    </w:rPr>
                    <w:t>（</w:t>
                  </w:r>
                  <w:r>
                    <w:rPr>
                      <w:rFonts w:ascii="Times New Roman" w:hAnsi="Times New Roman"/>
                      <w:caps w:val="0"/>
                      <w:smallCaps w:val="0"/>
                      <w:color w:val="auto"/>
                      <w:kern w:val="0"/>
                      <w:szCs w:val="21"/>
                    </w:rPr>
                    <w:t>控制</w:t>
                  </w:r>
                  <w:r>
                    <w:rPr>
                      <w:rFonts w:hint="eastAsia"/>
                      <w:caps w:val="0"/>
                      <w:smallCaps w:val="0"/>
                      <w:color w:val="auto"/>
                      <w:kern w:val="0"/>
                      <w:szCs w:val="21"/>
                      <w:lang w:eastAsia="zh-CN"/>
                    </w:rPr>
                    <w:t>）</w:t>
                  </w:r>
                  <w:r>
                    <w:rPr>
                      <w:rFonts w:ascii="Times New Roman" w:hAnsi="Times New Roman"/>
                      <w:caps w:val="0"/>
                      <w:smallCaps w:val="0"/>
                      <w:color w:val="auto"/>
                      <w:kern w:val="0"/>
                      <w:szCs w:val="21"/>
                    </w:rPr>
                    <w:t>应满足环境影响评价要求。</w:t>
                  </w:r>
                </w:p>
              </w:tc>
              <w:tc>
                <w:tcPr>
                  <w:tcW w:w="1961" w:type="pct"/>
                  <w:noWrap w:val="0"/>
                  <w:vAlign w:val="center"/>
                </w:tcPr>
                <w:p w14:paraId="514818D9">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szCs w:val="21"/>
                    </w:rPr>
                    <w:t>本项目</w:t>
                  </w:r>
                  <w:r>
                    <w:rPr>
                      <w:rFonts w:hint="eastAsia" w:ascii="Times New Roman" w:hAnsi="Times New Roman"/>
                      <w:caps w:val="0"/>
                      <w:smallCaps w:val="0"/>
                      <w:color w:val="auto"/>
                      <w:szCs w:val="21"/>
                      <w:lang w:val="en-US" w:eastAsia="zh-CN"/>
                    </w:rPr>
                    <w:t>生物质炭渣进厂后进行烘干处置，后续生产贮存过程中不存在渗滤液等废液的产生，</w:t>
                  </w:r>
                  <w:r>
                    <w:rPr>
                      <w:rFonts w:hint="eastAsia"/>
                      <w:caps w:val="0"/>
                      <w:smallCaps w:val="0"/>
                      <w:color w:val="auto"/>
                      <w:szCs w:val="21"/>
                      <w:lang w:val="en-US" w:eastAsia="zh-CN"/>
                    </w:rPr>
                    <w:t>无废水外排</w:t>
                  </w:r>
                  <w:r>
                    <w:rPr>
                      <w:rFonts w:ascii="Times New Roman" w:hAnsi="Times New Roman"/>
                      <w:caps w:val="0"/>
                      <w:smallCaps w:val="0"/>
                      <w:color w:val="auto"/>
                      <w:szCs w:val="21"/>
                    </w:rPr>
                    <w:t>。</w:t>
                  </w:r>
                </w:p>
              </w:tc>
              <w:tc>
                <w:tcPr>
                  <w:tcW w:w="326" w:type="pct"/>
                  <w:noWrap w:val="0"/>
                  <w:vAlign w:val="center"/>
                </w:tcPr>
                <w:p w14:paraId="4C995E1E">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2BC24A4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49A2DB1F">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6DB9433C">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5.1.8应防止噪声污染。设备运转时厂界噪声应符合GB12348的要求，作业车间噪声应符合GBZ2.2的要求。</w:t>
                  </w:r>
                </w:p>
              </w:tc>
              <w:tc>
                <w:tcPr>
                  <w:tcW w:w="1961" w:type="pct"/>
                  <w:noWrap w:val="0"/>
                  <w:vAlign w:val="center"/>
                </w:tcPr>
                <w:p w14:paraId="69789877">
                  <w:pPr>
                    <w:adjustRightInd w:val="0"/>
                    <w:snapToGrid w:val="0"/>
                    <w:jc w:val="left"/>
                    <w:rPr>
                      <w:rFonts w:ascii="Times New Roman" w:hAnsi="Times New Roman"/>
                      <w:caps w:val="0"/>
                      <w:smallCaps w:val="0"/>
                      <w:color w:val="auto"/>
                      <w:kern w:val="0"/>
                      <w:szCs w:val="21"/>
                    </w:rPr>
                  </w:pPr>
                  <w:r>
                    <w:rPr>
                      <w:rFonts w:hint="eastAsia" w:ascii="Times New Roman" w:hAnsi="Times New Roman"/>
                      <w:caps w:val="0"/>
                      <w:smallCaps w:val="0"/>
                      <w:color w:val="auto"/>
                      <w:kern w:val="0"/>
                      <w:szCs w:val="21"/>
                    </w:rPr>
                    <w:t>本项目</w:t>
                  </w:r>
                  <w:r>
                    <w:rPr>
                      <w:rFonts w:ascii="Times New Roman" w:hAnsi="Times New Roman"/>
                      <w:caps w:val="0"/>
                      <w:smallCaps w:val="0"/>
                      <w:color w:val="auto"/>
                      <w:kern w:val="0"/>
                      <w:szCs w:val="21"/>
                    </w:rPr>
                    <w:t>通过选用低噪设备、优化布局、对</w:t>
                  </w:r>
                  <w:r>
                    <w:rPr>
                      <w:rFonts w:hint="eastAsia" w:ascii="Times New Roman" w:hAnsi="Times New Roman"/>
                      <w:caps w:val="0"/>
                      <w:smallCaps w:val="0"/>
                      <w:color w:val="auto"/>
                      <w:kern w:val="0"/>
                      <w:szCs w:val="21"/>
                    </w:rPr>
                    <w:t>固定噪声源采取隔声、减振等降噪措施后，可保证厂界噪声应符合《工业企业厂界环境噪声排放标准》</w:t>
                  </w:r>
                  <w:r>
                    <w:rPr>
                      <w:rFonts w:hint="eastAsia"/>
                      <w:caps w:val="0"/>
                      <w:smallCaps w:val="0"/>
                      <w:color w:val="auto"/>
                      <w:kern w:val="0"/>
                      <w:szCs w:val="21"/>
                      <w:lang w:eastAsia="zh-CN"/>
                    </w:rPr>
                    <w:t>（</w:t>
                  </w:r>
                  <w:r>
                    <w:rPr>
                      <w:rFonts w:hint="eastAsia" w:ascii="Times New Roman" w:hAnsi="Times New Roman"/>
                      <w:caps w:val="0"/>
                      <w:smallCaps w:val="0"/>
                      <w:color w:val="auto"/>
                      <w:kern w:val="0"/>
                      <w:szCs w:val="21"/>
                    </w:rPr>
                    <w:t>GB12348-2008</w:t>
                  </w:r>
                  <w:r>
                    <w:rPr>
                      <w:rFonts w:hint="eastAsia"/>
                      <w:caps w:val="0"/>
                      <w:smallCaps w:val="0"/>
                      <w:color w:val="auto"/>
                      <w:kern w:val="0"/>
                      <w:szCs w:val="21"/>
                      <w:lang w:eastAsia="zh-CN"/>
                    </w:rPr>
                    <w:t>）</w:t>
                  </w:r>
                  <w:r>
                    <w:rPr>
                      <w:rFonts w:hint="eastAsia"/>
                      <w:caps w:val="0"/>
                      <w:smallCaps w:val="0"/>
                      <w:color w:val="auto"/>
                      <w:kern w:val="0"/>
                      <w:szCs w:val="21"/>
                      <w:lang w:val="en-US" w:eastAsia="zh-CN"/>
                    </w:rPr>
                    <w:t>2</w:t>
                  </w:r>
                  <w:r>
                    <w:rPr>
                      <w:rFonts w:hint="eastAsia" w:ascii="Times New Roman" w:hAnsi="Times New Roman"/>
                      <w:caps w:val="0"/>
                      <w:smallCaps w:val="0"/>
                      <w:color w:val="auto"/>
                      <w:kern w:val="0"/>
                      <w:szCs w:val="21"/>
                    </w:rPr>
                    <w:t>类标准要求，作业车间噪声符合GBZ2.2的要求</w:t>
                  </w:r>
                  <w:r>
                    <w:rPr>
                      <w:rFonts w:ascii="Times New Roman" w:hAnsi="Times New Roman"/>
                      <w:caps w:val="0"/>
                      <w:smallCaps w:val="0"/>
                      <w:color w:val="auto"/>
                      <w:kern w:val="0"/>
                      <w:szCs w:val="21"/>
                    </w:rPr>
                    <w:t>。</w:t>
                  </w:r>
                </w:p>
              </w:tc>
              <w:tc>
                <w:tcPr>
                  <w:tcW w:w="326" w:type="pct"/>
                  <w:noWrap w:val="0"/>
                  <w:vAlign w:val="center"/>
                </w:tcPr>
                <w:p w14:paraId="55D234F2">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3EB6E5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3F8DA46F">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398CA693">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5.1.9产生的污泥、底渣、废油类等固体废物应按照其管理属性分别处置。不能自行综合利用或处置的，应交给有相应资质和处理能力的企业进行综合利用或处置。</w:t>
                  </w:r>
                </w:p>
              </w:tc>
              <w:tc>
                <w:tcPr>
                  <w:tcW w:w="1961" w:type="pct"/>
                  <w:noWrap w:val="0"/>
                  <w:vAlign w:val="center"/>
                </w:tcPr>
                <w:p w14:paraId="7EC7F69F">
                  <w:pPr>
                    <w:adjustRightInd w:val="0"/>
                    <w:snapToGrid w:val="0"/>
                    <w:jc w:val="left"/>
                    <w:rPr>
                      <w:rFonts w:ascii="Times New Roman" w:hAnsi="Times New Roman"/>
                      <w:caps w:val="0"/>
                      <w:smallCaps w:val="0"/>
                      <w:color w:val="auto"/>
                      <w:kern w:val="0"/>
                      <w:szCs w:val="21"/>
                    </w:rPr>
                  </w:pPr>
                  <w:r>
                    <w:rPr>
                      <w:rStyle w:val="116"/>
                      <w:rFonts w:ascii="Times New Roman" w:hAnsi="Times New Roman"/>
                      <w:caps w:val="0"/>
                      <w:smallCaps w:val="0"/>
                      <w:color w:val="auto"/>
                      <w:sz w:val="21"/>
                      <w:szCs w:val="21"/>
                    </w:rPr>
                    <w:t>项目固废分类收集处理</w:t>
                  </w:r>
                  <w:r>
                    <w:rPr>
                      <w:rFonts w:hint="eastAsia" w:ascii="Times New Roman" w:hAnsi="Times New Roman"/>
                      <w:caps w:val="0"/>
                      <w:smallCaps w:val="0"/>
                      <w:color w:val="auto"/>
                      <w:szCs w:val="21"/>
                      <w:lang w:eastAsia="zh-CN"/>
                    </w:rPr>
                    <w:t>，</w:t>
                  </w:r>
                  <w:r>
                    <w:rPr>
                      <w:rFonts w:hint="eastAsia"/>
                      <w:caps w:val="0"/>
                      <w:smallCaps w:val="0"/>
                      <w:color w:val="auto"/>
                      <w:szCs w:val="21"/>
                      <w:lang w:val="en-US" w:eastAsia="zh-CN"/>
                    </w:rPr>
                    <w:t>废包装、废铁块、废石子等一般固体废物收集后外售综合利用</w:t>
                  </w:r>
                  <w:r>
                    <w:rPr>
                      <w:rFonts w:hint="eastAsia" w:ascii="Times New Roman" w:hAnsi="Times New Roman"/>
                      <w:caps w:val="0"/>
                      <w:smallCaps w:val="0"/>
                      <w:color w:val="auto"/>
                    </w:rPr>
                    <w:t>；</w:t>
                  </w:r>
                  <w:r>
                    <w:rPr>
                      <w:rFonts w:ascii="Times New Roman" w:hAnsi="Times New Roman"/>
                      <w:caps w:val="0"/>
                      <w:smallCaps w:val="0"/>
                      <w:color w:val="auto"/>
                    </w:rPr>
                    <w:t>生活垃圾统一收集后，由环卫部门清运。</w:t>
                  </w:r>
                </w:p>
              </w:tc>
              <w:tc>
                <w:tcPr>
                  <w:tcW w:w="326" w:type="pct"/>
                  <w:noWrap w:val="0"/>
                  <w:vAlign w:val="center"/>
                </w:tcPr>
                <w:p w14:paraId="76F772F9">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r w14:paraId="4B9A54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 w:type="pct"/>
                  <w:vMerge w:val="continue"/>
                  <w:noWrap w:val="0"/>
                  <w:vAlign w:val="center"/>
                </w:tcPr>
                <w:p w14:paraId="28DE1D6B">
                  <w:pPr>
                    <w:adjustRightInd w:val="0"/>
                    <w:snapToGrid w:val="0"/>
                    <w:jc w:val="left"/>
                    <w:rPr>
                      <w:rFonts w:ascii="Times New Roman" w:hAnsi="Times New Roman"/>
                      <w:caps w:val="0"/>
                      <w:smallCaps w:val="0"/>
                      <w:color w:val="auto"/>
                      <w:kern w:val="0"/>
                      <w:szCs w:val="21"/>
                    </w:rPr>
                  </w:pPr>
                </w:p>
              </w:tc>
              <w:tc>
                <w:tcPr>
                  <w:tcW w:w="2200" w:type="pct"/>
                  <w:noWrap w:val="0"/>
                  <w:vAlign w:val="center"/>
                </w:tcPr>
                <w:p w14:paraId="6AB17DE0">
                  <w:pPr>
                    <w:adjustRightInd w:val="0"/>
                    <w:snapToGrid w:val="0"/>
                    <w:rPr>
                      <w:rFonts w:ascii="Times New Roman" w:hAnsi="Times New Roman"/>
                      <w:caps w:val="0"/>
                      <w:smallCaps w:val="0"/>
                      <w:color w:val="auto"/>
                      <w:kern w:val="0"/>
                      <w:szCs w:val="21"/>
                    </w:rPr>
                  </w:pPr>
                  <w:r>
                    <w:rPr>
                      <w:rFonts w:ascii="Times New Roman" w:hAnsi="Times New Roman"/>
                      <w:caps w:val="0"/>
                      <w:smallCaps w:val="0"/>
                      <w:color w:val="auto"/>
                      <w:kern w:val="0"/>
                      <w:szCs w:val="21"/>
                    </w:rPr>
                    <w:t>5.1.10危险废物的贮存、包装、处置等应符合GB18597、HJ2042等危险废物专用标准的要求。</w:t>
                  </w:r>
                </w:p>
              </w:tc>
              <w:tc>
                <w:tcPr>
                  <w:tcW w:w="1961" w:type="pct"/>
                  <w:noWrap w:val="0"/>
                  <w:vAlign w:val="center"/>
                </w:tcPr>
                <w:p w14:paraId="05BBC369">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严格按照规范要求执行。</w:t>
                  </w:r>
                </w:p>
              </w:tc>
              <w:tc>
                <w:tcPr>
                  <w:tcW w:w="326" w:type="pct"/>
                  <w:noWrap w:val="0"/>
                  <w:vAlign w:val="center"/>
                </w:tcPr>
                <w:p w14:paraId="4650FB0E">
                  <w:pPr>
                    <w:adjustRightInd w:val="0"/>
                    <w:snapToGrid w:val="0"/>
                    <w:jc w:val="center"/>
                    <w:rPr>
                      <w:rFonts w:ascii="Times New Roman" w:hAnsi="Times New Roman"/>
                      <w:caps w:val="0"/>
                      <w:smallCaps w:val="0"/>
                      <w:color w:val="auto"/>
                      <w:kern w:val="0"/>
                      <w:szCs w:val="21"/>
                    </w:rPr>
                  </w:pPr>
                  <w:r>
                    <w:rPr>
                      <w:rFonts w:ascii="Times New Roman" w:hAnsi="Times New Roman"/>
                      <w:caps w:val="0"/>
                      <w:smallCaps w:val="0"/>
                      <w:color w:val="auto"/>
                      <w:kern w:val="0"/>
                      <w:szCs w:val="21"/>
                    </w:rPr>
                    <w:t>相符</w:t>
                  </w:r>
                </w:p>
              </w:tc>
            </w:tr>
          </w:tbl>
          <w:p w14:paraId="2CA5150D">
            <w:pPr>
              <w:pStyle w:val="149"/>
              <w:numPr>
                <w:ilvl w:val="0"/>
                <w:numId w:val="0"/>
              </w:numPr>
              <w:spacing w:before="120" w:beforeLines="50"/>
              <w:jc w:val="both"/>
              <w:textAlignment w:val="center"/>
              <w:rPr>
                <w:rFonts w:hint="eastAsia"/>
                <w:color w:val="auto"/>
              </w:rPr>
            </w:pPr>
          </w:p>
        </w:tc>
      </w:tr>
    </w:tbl>
    <w:p w14:paraId="1F29D840">
      <w:pPr>
        <w:spacing w:line="360" w:lineRule="auto"/>
        <w:outlineLvl w:val="9"/>
        <w:rPr>
          <w:rFonts w:ascii="Times New Roman" w:hAnsi="Times New Roman"/>
          <w:color w:val="auto"/>
          <w:sz w:val="30"/>
        </w:rPr>
        <w:sectPr>
          <w:pgSz w:w="16838" w:h="11906" w:orient="landscape"/>
          <w:pgMar w:top="1531" w:right="1701" w:bottom="1531" w:left="1701" w:header="851" w:footer="992" w:gutter="0"/>
          <w:pgBorders>
            <w:top w:val="none" w:sz="0" w:space="0"/>
            <w:left w:val="none" w:sz="0" w:space="0"/>
            <w:bottom w:val="none" w:sz="0" w:space="0"/>
            <w:right w:val="none" w:sz="0" w:space="0"/>
          </w:pgBorders>
          <w:pgNumType w:start="1"/>
          <w:cols w:space="720" w:num="1"/>
          <w:docGrid w:linePitch="312" w:charSpace="0"/>
        </w:sectPr>
      </w:pPr>
    </w:p>
    <w:p w14:paraId="3365ACE0">
      <w:pPr>
        <w:pStyle w:val="19"/>
        <w:numPr>
          <w:ilvl w:val="0"/>
          <w:numId w:val="7"/>
        </w:numPr>
        <w:spacing w:before="120" w:beforeLines="50" w:beforeAutospacing="0" w:after="120" w:afterLines="50" w:afterAutospacing="0"/>
        <w:ind w:left="0" w:leftChars="0" w:firstLine="420" w:firstLineChars="0"/>
        <w:jc w:val="center"/>
        <w:outlineLvl w:val="0"/>
        <w:rPr>
          <w:rFonts w:ascii="Times New Roman" w:hAnsi="Times New Roman"/>
          <w:b/>
          <w:snapToGrid w:val="0"/>
          <w:color w:val="auto"/>
          <w:sz w:val="30"/>
          <w:szCs w:val="30"/>
        </w:rPr>
      </w:pPr>
      <w:r>
        <w:rPr>
          <w:rFonts w:ascii="Times New Roman" w:hAnsi="Times New Roman"/>
          <w:b/>
          <w:snapToGrid w:val="0"/>
          <w:color w:val="auto"/>
          <w:sz w:val="30"/>
          <w:szCs w:val="30"/>
        </w:rPr>
        <w:t>建设项目工程分析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8615"/>
      </w:tblGrid>
      <w:tr w14:paraId="690B9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6476C4E4">
            <w:pPr>
              <w:pStyle w:val="19"/>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建设内容</w:t>
            </w:r>
          </w:p>
        </w:tc>
        <w:tc>
          <w:tcPr>
            <w:tcW w:w="8344" w:type="dxa"/>
            <w:noWrap w:val="0"/>
            <w:vAlign w:val="top"/>
          </w:tcPr>
          <w:p w14:paraId="35E5E64C">
            <w:pPr>
              <w:pStyle w:val="143"/>
              <w:spacing w:before="120" w:beforeLines="50"/>
              <w:rPr>
                <w:rFonts w:ascii="Times New Roman" w:hAnsi="Times New Roman"/>
                <w:color w:val="auto"/>
                <w:sz w:val="24"/>
                <w:szCs w:val="24"/>
              </w:rPr>
            </w:pPr>
            <w:r>
              <w:rPr>
                <w:rFonts w:ascii="Times New Roman" w:hAnsi="Times New Roman"/>
                <w:color w:val="auto"/>
                <w:sz w:val="24"/>
                <w:szCs w:val="24"/>
              </w:rPr>
              <w:t>2.1.1项目由来</w:t>
            </w:r>
          </w:p>
          <w:p w14:paraId="524D2148">
            <w:pPr>
              <w:spacing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rPr>
              <w:t>宁德市广拓材料科技有限公司</w:t>
            </w:r>
            <w:r>
              <w:rPr>
                <w:rFonts w:hint="eastAsia"/>
                <w:color w:val="auto"/>
                <w:sz w:val="24"/>
                <w:szCs w:val="24"/>
                <w:lang w:val="en-US" w:eastAsia="zh-CN"/>
              </w:rPr>
              <w:t>位于福建省福鼎市前岐镇照澜村罗六36号，租赁福鼎市福阳溶剂有限公司现有厂房建设</w:t>
            </w:r>
            <w:r>
              <w:rPr>
                <w:rFonts w:hint="eastAsia" w:ascii="Times New Roman" w:hAnsi="Times New Roman"/>
                <w:color w:val="auto"/>
                <w:sz w:val="24"/>
                <w:szCs w:val="24"/>
                <w:lang w:val="en-US" w:eastAsia="zh-CN"/>
              </w:rPr>
              <w:t>“</w:t>
            </w:r>
            <w:r>
              <w:rPr>
                <w:rFonts w:ascii="Times New Roman" w:hAnsi="Times New Roman"/>
                <w:color w:val="auto"/>
                <w:sz w:val="24"/>
                <w:szCs w:val="24"/>
              </w:rPr>
              <w:fldChar w:fldCharType="begin"/>
            </w:r>
            <w:r>
              <w:rPr>
                <w:rFonts w:ascii="Times New Roman" w:hAnsi="Times New Roman"/>
                <w:color w:val="auto"/>
                <w:sz w:val="24"/>
                <w:szCs w:val="24"/>
              </w:rPr>
              <w:instrText xml:space="preserve"> REF 项目名称 \h  \* MERGEFORMAT </w:instrText>
            </w:r>
            <w:r>
              <w:rPr>
                <w:rFonts w:ascii="Times New Roman" w:hAnsi="Times New Roman"/>
                <w:color w:val="auto"/>
                <w:sz w:val="24"/>
                <w:szCs w:val="24"/>
              </w:rPr>
              <w:fldChar w:fldCharType="separate"/>
            </w:r>
            <w:r>
              <w:rPr>
                <w:rFonts w:hint="eastAsia"/>
                <w:color w:val="auto"/>
                <w:sz w:val="24"/>
                <w:szCs w:val="24"/>
                <w:lang w:eastAsia="zh-CN"/>
              </w:rPr>
              <w:t>生物质气化炉炭渣资源化综合利用项目</w:t>
            </w:r>
            <w:r>
              <w:rPr>
                <w:rFonts w:ascii="Times New Roman" w:hAnsi="Times New Roman"/>
                <w:color w:val="auto"/>
                <w:sz w:val="24"/>
                <w:szCs w:val="24"/>
              </w:rPr>
              <w:fldChar w:fldCharType="end"/>
            </w:r>
            <w:r>
              <w:rPr>
                <w:rFonts w:hint="eastAsia" w:ascii="Times New Roman" w:hAnsi="Times New Roman"/>
                <w:color w:val="auto"/>
                <w:sz w:val="24"/>
                <w:szCs w:val="24"/>
                <w:lang w:val="en-US" w:eastAsia="zh-CN"/>
              </w:rPr>
              <w:t>”，改造</w:t>
            </w:r>
            <w:r>
              <w:rPr>
                <w:rFonts w:hint="eastAsia"/>
                <w:color w:val="auto"/>
                <w:sz w:val="24"/>
                <w:szCs w:val="24"/>
                <w:lang w:val="en-US" w:eastAsia="zh-CN"/>
              </w:rPr>
              <w:t>现有</w:t>
            </w:r>
            <w:r>
              <w:rPr>
                <w:rFonts w:hint="eastAsia" w:ascii="Times New Roman" w:hAnsi="Times New Roman"/>
                <w:color w:val="auto"/>
                <w:sz w:val="24"/>
                <w:szCs w:val="24"/>
                <w:lang w:val="en-US" w:eastAsia="zh-CN"/>
              </w:rPr>
              <w:t>生产车间、原材料仓库、办公楼，购置烘干设备、物料分选和输送设备、粉碎设备、制粉设备、气固分离设备、包装设备、储存器具等，以生物质气化炉在完成生物质气化工艺后产生的炭渣为原料，</w:t>
            </w:r>
            <w:r>
              <w:rPr>
                <w:rFonts w:hint="eastAsia"/>
                <w:color w:val="auto"/>
                <w:sz w:val="24"/>
                <w:szCs w:val="24"/>
                <w:lang w:val="en-US" w:eastAsia="zh-CN"/>
              </w:rPr>
              <w:t>建设一条</w:t>
            </w:r>
            <w:r>
              <w:rPr>
                <w:rFonts w:hint="eastAsia" w:ascii="Times New Roman" w:hAnsi="Times New Roman"/>
                <w:color w:val="auto"/>
                <w:sz w:val="24"/>
                <w:szCs w:val="24"/>
                <w:lang w:val="en-US" w:eastAsia="zh-CN"/>
              </w:rPr>
              <w:t>生物质炭渣</w:t>
            </w:r>
            <w:r>
              <w:rPr>
                <w:rFonts w:hint="eastAsia"/>
                <w:color w:val="auto"/>
                <w:sz w:val="24"/>
                <w:szCs w:val="24"/>
                <w:lang w:val="en-US" w:eastAsia="zh-CN"/>
              </w:rPr>
              <w:t>处置</w:t>
            </w:r>
            <w:r>
              <w:rPr>
                <w:rFonts w:hint="eastAsia" w:ascii="Times New Roman" w:hAnsi="Times New Roman"/>
                <w:color w:val="auto"/>
                <w:sz w:val="24"/>
                <w:szCs w:val="24"/>
                <w:lang w:val="en-US" w:eastAsia="zh-CN"/>
              </w:rPr>
              <w:t>线，建成后年处置</w:t>
            </w:r>
            <w:r>
              <w:rPr>
                <w:rFonts w:hint="eastAsia"/>
                <w:color w:val="auto"/>
                <w:sz w:val="24"/>
                <w:szCs w:val="24"/>
                <w:lang w:val="en-US" w:eastAsia="zh-CN"/>
              </w:rPr>
              <w:t>3.5</w:t>
            </w:r>
            <w:r>
              <w:rPr>
                <w:rFonts w:hint="eastAsia" w:ascii="Times New Roman" w:hAnsi="Times New Roman"/>
                <w:color w:val="auto"/>
                <w:sz w:val="24"/>
                <w:szCs w:val="24"/>
                <w:lang w:val="en-US" w:eastAsia="zh-CN"/>
              </w:rPr>
              <w:t>万吨炭渣。</w:t>
            </w:r>
          </w:p>
          <w:p w14:paraId="652C4845">
            <w:pPr>
              <w:spacing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本项目为环境资源化循环利用项目，项目原材料炭渣均来自于生物质气化炉在完成生物质气化工艺后产生的炭渣，其主要成分是炭（</w:t>
            </w:r>
            <w:r>
              <w:rPr>
                <w:rFonts w:hint="eastAsia"/>
                <w:color w:val="auto"/>
                <w:sz w:val="24"/>
                <w:szCs w:val="24"/>
                <w:lang w:val="en-US" w:eastAsia="zh-CN"/>
              </w:rPr>
              <w:t>35</w:t>
            </w:r>
            <w:r>
              <w:rPr>
                <w:rFonts w:hint="eastAsia" w:ascii="Times New Roman" w:hAnsi="Times New Roman"/>
                <w:color w:val="auto"/>
                <w:sz w:val="24"/>
                <w:szCs w:val="24"/>
                <w:lang w:val="en-US" w:eastAsia="zh-CN"/>
              </w:rPr>
              <w:t>%），水分（</w:t>
            </w:r>
            <w:r>
              <w:rPr>
                <w:rFonts w:hint="eastAsia"/>
                <w:color w:val="auto"/>
                <w:sz w:val="24"/>
                <w:szCs w:val="24"/>
                <w:lang w:val="en-US" w:eastAsia="zh-CN"/>
              </w:rPr>
              <w:t>55</w:t>
            </w:r>
            <w:r>
              <w:rPr>
                <w:rFonts w:hint="eastAsia" w:ascii="Times New Roman" w:hAnsi="Times New Roman"/>
                <w:color w:val="auto"/>
                <w:sz w:val="24"/>
                <w:szCs w:val="24"/>
                <w:lang w:val="en-US" w:eastAsia="zh-CN"/>
              </w:rPr>
              <w:t>%），金属与无机质残留物颗粒（10%）</w:t>
            </w:r>
            <w:r>
              <w:rPr>
                <w:rFonts w:hint="eastAsia"/>
                <w:color w:val="auto"/>
                <w:sz w:val="24"/>
                <w:szCs w:val="24"/>
                <w:lang w:val="en-US" w:eastAsia="zh-CN"/>
              </w:rPr>
              <w:t>，</w:t>
            </w:r>
            <w:r>
              <w:rPr>
                <w:rFonts w:hint="eastAsia" w:ascii="Times New Roman" w:hAnsi="Times New Roman"/>
                <w:color w:val="auto"/>
                <w:sz w:val="24"/>
                <w:szCs w:val="24"/>
                <w:lang w:val="en-US" w:eastAsia="zh-CN"/>
              </w:rPr>
              <w:t>原料主要从省内收集</w:t>
            </w:r>
            <w:r>
              <w:rPr>
                <w:rFonts w:hint="eastAsia"/>
                <w:color w:val="auto"/>
                <w:sz w:val="24"/>
                <w:szCs w:val="24"/>
                <w:lang w:val="en-US" w:eastAsia="zh-CN"/>
              </w:rPr>
              <w:t>。</w:t>
            </w:r>
          </w:p>
          <w:p w14:paraId="5B9937D5">
            <w:pPr>
              <w:pStyle w:val="157"/>
              <w:keepNext w:val="0"/>
              <w:keepLines w:val="0"/>
              <w:pageBreakBefore w:val="0"/>
              <w:widowControl w:val="0"/>
              <w:kinsoku/>
              <w:wordWrap/>
              <w:overflowPunct/>
              <w:topLinePunct w:val="0"/>
              <w:autoSpaceDE/>
              <w:autoSpaceDN/>
              <w:bidi w:val="0"/>
              <w:adjustRightInd/>
              <w:snapToGrid/>
              <w:spacing w:after="0"/>
              <w:ind w:left="0" w:leftChars="0" w:firstLine="480"/>
              <w:jc w:val="both"/>
              <w:textAlignment w:val="auto"/>
              <w:rPr>
                <w:rFonts w:hint="eastAsia"/>
                <w:color w:val="auto"/>
              </w:rPr>
            </w:pPr>
            <w:r>
              <w:rPr>
                <w:rFonts w:ascii="Times New Roman" w:hAnsi="Times New Roman"/>
                <w:color w:val="auto"/>
                <w:sz w:val="24"/>
                <w:szCs w:val="24"/>
              </w:rPr>
              <w:t>根据《中华人民共和国环境影响评价法</w:t>
            </w:r>
            <w:r>
              <w:rPr>
                <w:rFonts w:hint="eastAsia"/>
                <w:color w:val="auto"/>
                <w:sz w:val="24"/>
                <w:szCs w:val="24"/>
                <w:lang w:eastAsia="zh-CN"/>
              </w:rPr>
              <w:t>》《</w:t>
            </w:r>
            <w:r>
              <w:rPr>
                <w:rFonts w:ascii="Times New Roman" w:hAnsi="Times New Roman"/>
                <w:color w:val="auto"/>
                <w:sz w:val="24"/>
                <w:szCs w:val="24"/>
              </w:rPr>
              <w:t>建设项目环境保护管理条例》及《建设项目环境影响评价分类管理名录》（2021 年版）的有关规定，项目属</w:t>
            </w:r>
            <w:r>
              <w:rPr>
                <w:rFonts w:hint="eastAsia"/>
                <w:color w:val="auto"/>
              </w:rPr>
              <w:t>“四十七、生态保护和环境治理业</w:t>
            </w:r>
            <w:r>
              <w:rPr>
                <w:rFonts w:hint="eastAsia"/>
                <w:color w:val="auto"/>
                <w:lang w:val="en-US" w:eastAsia="zh-CN"/>
              </w:rPr>
              <w:t>：103.一般工业固体废物（含污水处理污泥）、建筑施工废弃物处置及综合利用</w:t>
            </w:r>
            <w:r>
              <w:rPr>
                <w:rFonts w:hint="eastAsia"/>
                <w:color w:val="auto"/>
              </w:rPr>
              <w:t>”</w:t>
            </w:r>
            <w:r>
              <w:rPr>
                <w:rFonts w:hint="eastAsia"/>
                <w:color w:val="auto"/>
                <w:lang w:val="en-US" w:eastAsia="zh-CN"/>
              </w:rPr>
              <w:t>中的其他类别</w:t>
            </w:r>
            <w:r>
              <w:rPr>
                <w:rFonts w:hint="eastAsia"/>
                <w:color w:val="auto"/>
              </w:rPr>
              <w:t>，因此，本项目应编制环境影响报告表。</w:t>
            </w:r>
          </w:p>
          <w:p w14:paraId="2C491619">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《建设项目环境影响评价分类管理名录》（</w:t>
            </w:r>
            <w:r>
              <w:rPr>
                <w:rFonts w:ascii="Times New Roman" w:hAnsi="Times New Roman" w:eastAsia="宋体" w:cs="Times New Roman"/>
                <w:b/>
                <w:color w:val="auto"/>
                <w:sz w:val="24"/>
                <w:szCs w:val="24"/>
              </w:rPr>
              <w:t>2021</w:t>
            </w:r>
            <w:r>
              <w:rPr>
                <w:rFonts w:hint="eastAsia" w:ascii="Times New Roman" w:hAnsi="Times New Roman" w:eastAsia="宋体" w:cs="Times New Roman"/>
                <w:b/>
                <w:color w:val="auto"/>
                <w:sz w:val="24"/>
                <w:szCs w:val="24"/>
              </w:rPr>
              <w:t>年版）摘录</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2600"/>
              <w:gridCol w:w="2987"/>
              <w:gridCol w:w="1671"/>
              <w:gridCol w:w="1141"/>
            </w:tblGrid>
            <w:tr w14:paraId="56C0E0D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48" w:type="pct"/>
                  <w:tcBorders>
                    <w:tl2br w:val="single" w:color="auto" w:sz="12" w:space="0"/>
                  </w:tcBorders>
                  <w:shd w:val="clear" w:color="auto" w:fill="auto"/>
                  <w:noWrap w:val="0"/>
                  <w:vAlign w:val="center"/>
                </w:tcPr>
                <w:p w14:paraId="508D140E">
                  <w:pPr>
                    <w:pStyle w:val="201"/>
                    <w:jc w:val="right"/>
                    <w:rPr>
                      <w:rFonts w:eastAsia="宋体"/>
                      <w:color w:val="auto"/>
                    </w:rPr>
                  </w:pPr>
                  <w:r>
                    <w:rPr>
                      <w:rFonts w:eastAsia="宋体"/>
                      <w:color w:val="auto"/>
                    </w:rPr>
                    <w:t>环评类别</w:t>
                  </w:r>
                </w:p>
                <w:p w14:paraId="279D7D67">
                  <w:pPr>
                    <w:pStyle w:val="201"/>
                    <w:jc w:val="left"/>
                    <w:rPr>
                      <w:rFonts w:eastAsia="宋体"/>
                      <w:color w:val="auto"/>
                    </w:rPr>
                  </w:pPr>
                  <w:r>
                    <w:rPr>
                      <w:rFonts w:eastAsia="宋体"/>
                      <w:color w:val="auto"/>
                    </w:rPr>
                    <w:t>项目类别</w:t>
                  </w:r>
                </w:p>
              </w:tc>
              <w:tc>
                <w:tcPr>
                  <w:tcW w:w="1778" w:type="pct"/>
                  <w:tcBorders>
                    <w:tl2br w:val="nil"/>
                    <w:tr2bl w:val="nil"/>
                  </w:tcBorders>
                  <w:shd w:val="clear" w:color="auto" w:fill="auto"/>
                  <w:noWrap w:val="0"/>
                  <w:vAlign w:val="center"/>
                </w:tcPr>
                <w:p w14:paraId="5D2788BA">
                  <w:pPr>
                    <w:pStyle w:val="201"/>
                    <w:rPr>
                      <w:rFonts w:eastAsia="宋体"/>
                      <w:color w:val="auto"/>
                    </w:rPr>
                  </w:pPr>
                  <w:r>
                    <w:rPr>
                      <w:rFonts w:eastAsia="宋体"/>
                      <w:color w:val="auto"/>
                    </w:rPr>
                    <w:t>报告书</w:t>
                  </w:r>
                </w:p>
              </w:tc>
              <w:tc>
                <w:tcPr>
                  <w:tcW w:w="995" w:type="pct"/>
                  <w:tcBorders>
                    <w:tl2br w:val="nil"/>
                    <w:tr2bl w:val="nil"/>
                  </w:tcBorders>
                  <w:shd w:val="clear" w:color="auto" w:fill="D7D7D7" w:themeFill="background1" w:themeFillShade="D8"/>
                  <w:noWrap w:val="0"/>
                  <w:vAlign w:val="center"/>
                </w:tcPr>
                <w:p w14:paraId="2B99ACFD">
                  <w:pPr>
                    <w:pStyle w:val="201"/>
                    <w:rPr>
                      <w:rFonts w:eastAsia="宋体"/>
                      <w:color w:val="auto"/>
                      <w:shd w:val="clear" w:color="auto" w:fill="auto"/>
                    </w:rPr>
                  </w:pPr>
                  <w:r>
                    <w:rPr>
                      <w:rFonts w:eastAsia="宋体"/>
                      <w:color w:val="auto"/>
                      <w:shd w:val="clear" w:color="auto" w:fill="auto"/>
                    </w:rPr>
                    <w:t>报告表</w:t>
                  </w:r>
                </w:p>
              </w:tc>
              <w:tc>
                <w:tcPr>
                  <w:tcW w:w="676" w:type="pct"/>
                  <w:tcBorders>
                    <w:tl2br w:val="nil"/>
                    <w:tr2bl w:val="nil"/>
                  </w:tcBorders>
                  <w:noWrap w:val="0"/>
                  <w:vAlign w:val="center"/>
                </w:tcPr>
                <w:p w14:paraId="2DB19D23">
                  <w:pPr>
                    <w:pStyle w:val="201"/>
                    <w:rPr>
                      <w:rFonts w:eastAsia="宋体"/>
                      <w:color w:val="auto"/>
                    </w:rPr>
                  </w:pPr>
                  <w:r>
                    <w:rPr>
                      <w:rFonts w:eastAsia="宋体"/>
                      <w:color w:val="auto"/>
                    </w:rPr>
                    <w:t>登记表</w:t>
                  </w:r>
                </w:p>
              </w:tc>
            </w:tr>
            <w:tr w14:paraId="6FAA79A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00" w:type="pct"/>
                  <w:gridSpan w:val="4"/>
                  <w:tcBorders>
                    <w:tl2br w:val="nil"/>
                    <w:tr2bl w:val="nil"/>
                  </w:tcBorders>
                  <w:shd w:val="clear" w:color="auto" w:fill="D7D7D7" w:themeFill="background1" w:themeFillShade="D8"/>
                  <w:noWrap w:val="0"/>
                  <w:vAlign w:val="center"/>
                </w:tcPr>
                <w:p w14:paraId="7F8BC03F">
                  <w:pPr>
                    <w:pStyle w:val="201"/>
                    <w:jc w:val="both"/>
                    <w:rPr>
                      <w:rFonts w:hint="default" w:ascii="Times New Roman" w:hAnsi="Times New Roman" w:eastAsia="宋体" w:cs="Times New Roman"/>
                      <w:color w:val="auto"/>
                      <w:shd w:val="clear" w:color="auto" w:fill="auto"/>
                    </w:rPr>
                  </w:pPr>
                  <w:r>
                    <w:rPr>
                      <w:rFonts w:hint="eastAsia" w:eastAsia="宋体"/>
                      <w:color w:val="auto"/>
                    </w:rPr>
                    <w:t>四十七、生态保护和环境治理业</w:t>
                  </w:r>
                </w:p>
              </w:tc>
            </w:tr>
            <w:tr w14:paraId="35AA990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48" w:type="pct"/>
                  <w:tcBorders>
                    <w:tl2br w:val="nil"/>
                    <w:tr2bl w:val="nil"/>
                  </w:tcBorders>
                  <w:shd w:val="clear" w:color="auto" w:fill="auto"/>
                  <w:noWrap w:val="0"/>
                  <w:vAlign w:val="center"/>
                </w:tcPr>
                <w:p w14:paraId="5A9ADE4F">
                  <w:pPr>
                    <w:pStyle w:val="201"/>
                    <w:rPr>
                      <w:rFonts w:hint="default" w:ascii="Times New Roman" w:hAnsi="Times New Roman" w:eastAsia="宋体" w:cs="Times New Roman"/>
                      <w:color w:val="auto"/>
                    </w:rPr>
                  </w:pPr>
                  <w:r>
                    <w:rPr>
                      <w:rFonts w:hint="eastAsia" w:eastAsia="宋体"/>
                      <w:color w:val="auto"/>
                    </w:rPr>
                    <w:t>103.一般工业固体废物（含污水处理污泥）、建筑施工废弃物处置及综合利用</w:t>
                  </w:r>
                </w:p>
              </w:tc>
              <w:tc>
                <w:tcPr>
                  <w:tcW w:w="1778" w:type="pct"/>
                  <w:tcBorders>
                    <w:tl2br w:val="nil"/>
                    <w:tr2bl w:val="nil"/>
                  </w:tcBorders>
                  <w:shd w:val="clear" w:color="auto" w:fill="auto"/>
                  <w:noWrap w:val="0"/>
                  <w:vAlign w:val="center"/>
                </w:tcPr>
                <w:p w14:paraId="2FC28BD9">
                  <w:pPr>
                    <w:pStyle w:val="201"/>
                    <w:rPr>
                      <w:rFonts w:hint="default" w:ascii="Times New Roman" w:hAnsi="Times New Roman" w:eastAsia="宋体" w:cs="Times New Roman"/>
                      <w:color w:val="auto"/>
                      <w:lang w:val="en-US" w:eastAsia="zh-CN"/>
                    </w:rPr>
                  </w:pPr>
                  <w:r>
                    <w:rPr>
                      <w:rFonts w:hint="eastAsia" w:eastAsia="宋体"/>
                      <w:color w:val="auto"/>
                      <w:lang w:val="en-US" w:eastAsia="zh-CN"/>
                    </w:rPr>
                    <w:t>一般工业固体废物（含污水处理污泥）采取填埋、焚烧（水泥窑协同处置的改造项目除外）方式的</w:t>
                  </w:r>
                </w:p>
              </w:tc>
              <w:tc>
                <w:tcPr>
                  <w:tcW w:w="995" w:type="pct"/>
                  <w:tcBorders>
                    <w:tl2br w:val="nil"/>
                    <w:tr2bl w:val="nil"/>
                  </w:tcBorders>
                  <w:shd w:val="clear" w:color="auto" w:fill="D7D7D7" w:themeFill="background1" w:themeFillShade="D8"/>
                  <w:noWrap w:val="0"/>
                  <w:vAlign w:val="center"/>
                </w:tcPr>
                <w:p w14:paraId="67F3458D">
                  <w:pPr>
                    <w:pStyle w:val="201"/>
                    <w:jc w:val="center"/>
                    <w:rPr>
                      <w:rFonts w:hint="default" w:ascii="Times New Roman" w:hAnsi="Times New Roman" w:eastAsia="宋体" w:cs="Times New Roman"/>
                      <w:color w:val="auto"/>
                      <w:shd w:val="clear" w:color="auto" w:fill="auto"/>
                      <w:lang w:val="en-US" w:eastAsia="zh-CN"/>
                    </w:rPr>
                  </w:pPr>
                  <w:r>
                    <w:rPr>
                      <w:rFonts w:hint="default" w:eastAsia="宋体"/>
                      <w:color w:val="auto"/>
                      <w:lang w:val="en-US" w:eastAsia="zh-CN"/>
                    </w:rPr>
                    <w:t>其他</w:t>
                  </w:r>
                </w:p>
              </w:tc>
              <w:tc>
                <w:tcPr>
                  <w:tcW w:w="676" w:type="pct"/>
                  <w:tcBorders>
                    <w:tl2br w:val="nil"/>
                    <w:tr2bl w:val="nil"/>
                  </w:tcBorders>
                  <w:noWrap w:val="0"/>
                  <w:vAlign w:val="center"/>
                </w:tcPr>
                <w:p w14:paraId="2BDEFD88">
                  <w:pPr>
                    <w:pStyle w:val="201"/>
                    <w:rPr>
                      <w:rFonts w:hint="default" w:ascii="Times New Roman" w:hAnsi="Times New Roman" w:eastAsia="宋体" w:cs="Times New Roman"/>
                      <w:color w:val="auto"/>
                    </w:rPr>
                  </w:pPr>
                  <w:r>
                    <w:rPr>
                      <w:rFonts w:hint="eastAsia" w:eastAsia="宋体"/>
                      <w:color w:val="auto"/>
                    </w:rPr>
                    <w:t>/</w:t>
                  </w:r>
                </w:p>
              </w:tc>
            </w:tr>
          </w:tbl>
          <w:p w14:paraId="0BA85B8D">
            <w:pPr>
              <w:adjustRightInd w:val="0"/>
              <w:snapToGrid w:val="0"/>
              <w:spacing w:line="360" w:lineRule="auto"/>
              <w:jc w:val="left"/>
              <w:rPr>
                <w:rFonts w:ascii="Times New Roman" w:hAnsi="Times New Roman"/>
                <w:b/>
                <w:bCs/>
                <w:color w:val="auto"/>
                <w:sz w:val="24"/>
                <w:szCs w:val="24"/>
              </w:rPr>
            </w:pPr>
          </w:p>
          <w:p w14:paraId="2BAE6218">
            <w:pPr>
              <w:adjustRightInd w:val="0"/>
              <w:snapToGrid w:val="0"/>
              <w:spacing w:line="360" w:lineRule="auto"/>
              <w:jc w:val="left"/>
              <w:rPr>
                <w:rFonts w:ascii="Times New Roman" w:hAnsi="Times New Roman"/>
                <w:b/>
                <w:bCs/>
                <w:color w:val="auto"/>
                <w:sz w:val="24"/>
                <w:szCs w:val="24"/>
              </w:rPr>
            </w:pPr>
            <w:r>
              <w:rPr>
                <w:rFonts w:ascii="Times New Roman" w:hAnsi="Times New Roman"/>
                <w:b/>
                <w:bCs/>
                <w:color w:val="auto"/>
                <w:sz w:val="24"/>
                <w:szCs w:val="24"/>
              </w:rPr>
              <w:t>2.1.2项目基本情况</w:t>
            </w:r>
          </w:p>
          <w:p w14:paraId="6F51FCCC">
            <w:pPr>
              <w:pStyle w:val="13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Times New Roman" w:hAnsi="Times New Roman"/>
                <w:color w:val="auto"/>
                <w:sz w:val="24"/>
                <w:szCs w:val="24"/>
              </w:rPr>
            </w:pPr>
            <w:r>
              <w:rPr>
                <w:rFonts w:hint="eastAsia" w:ascii="Times New Roman" w:hAnsi="Times New Roman"/>
                <w:color w:val="auto"/>
                <w:sz w:val="24"/>
                <w:szCs w:val="24"/>
              </w:rPr>
              <w:t>（1）项目名称：</w:t>
            </w:r>
            <w:r>
              <w:rPr>
                <w:rFonts w:ascii="Times New Roman" w:hAnsi="Times New Roman"/>
                <w:color w:val="auto"/>
                <w:sz w:val="24"/>
                <w:szCs w:val="24"/>
              </w:rPr>
              <w:fldChar w:fldCharType="begin"/>
            </w:r>
            <w:r>
              <w:rPr>
                <w:rFonts w:ascii="Times New Roman" w:hAnsi="Times New Roman"/>
                <w:color w:val="auto"/>
                <w:sz w:val="24"/>
                <w:szCs w:val="24"/>
              </w:rPr>
              <w:instrText xml:space="preserve"> REF 项目名称 \h  \* MERGEFORMAT </w:instrText>
            </w:r>
            <w:r>
              <w:rPr>
                <w:rFonts w:ascii="Times New Roman" w:hAnsi="Times New Roman"/>
                <w:color w:val="auto"/>
                <w:sz w:val="24"/>
                <w:szCs w:val="24"/>
              </w:rPr>
              <w:fldChar w:fldCharType="separate"/>
            </w:r>
            <w:r>
              <w:rPr>
                <w:rFonts w:hint="eastAsia"/>
                <w:color w:val="auto"/>
                <w:sz w:val="24"/>
                <w:szCs w:val="24"/>
                <w:lang w:eastAsia="zh-CN"/>
              </w:rPr>
              <w:t>生物质气化炉炭渣资源化综合利用项目</w:t>
            </w:r>
            <w:r>
              <w:rPr>
                <w:rFonts w:ascii="Times New Roman" w:hAnsi="Times New Roman"/>
                <w:color w:val="auto"/>
                <w:sz w:val="24"/>
                <w:szCs w:val="24"/>
              </w:rPr>
              <w:fldChar w:fldCharType="end"/>
            </w:r>
          </w:p>
          <w:p w14:paraId="3F88E35E">
            <w:pPr>
              <w:pStyle w:val="13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Times New Roman" w:hAnsi="Times New Roman" w:eastAsia="宋体"/>
                <w:color w:val="auto"/>
                <w:sz w:val="24"/>
                <w:szCs w:val="24"/>
                <w:lang w:eastAsia="zh-CN"/>
              </w:rPr>
            </w:pPr>
            <w:r>
              <w:rPr>
                <w:rFonts w:hint="eastAsia" w:ascii="Times New Roman" w:hAnsi="Times New Roman"/>
                <w:color w:val="auto"/>
                <w:sz w:val="24"/>
                <w:szCs w:val="24"/>
              </w:rPr>
              <w:t>（2）建设单位：</w:t>
            </w:r>
            <w:r>
              <w:rPr>
                <w:rFonts w:hint="eastAsia"/>
                <w:color w:val="auto"/>
                <w:sz w:val="24"/>
                <w:szCs w:val="24"/>
                <w:lang w:eastAsia="zh-CN"/>
              </w:rPr>
              <w:t>宁德市广拓材料科技有限公司</w:t>
            </w:r>
          </w:p>
          <w:p w14:paraId="603B889E">
            <w:pPr>
              <w:pStyle w:val="13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Times New Roman" w:hAnsi="Times New Roman" w:eastAsia="宋体"/>
                <w:color w:val="auto"/>
                <w:sz w:val="24"/>
                <w:szCs w:val="24"/>
                <w:lang w:eastAsia="zh-CN"/>
              </w:rPr>
            </w:pPr>
            <w:r>
              <w:rPr>
                <w:rFonts w:hint="eastAsia" w:ascii="Times New Roman" w:hAnsi="Times New Roman"/>
                <w:color w:val="auto"/>
                <w:sz w:val="24"/>
                <w:szCs w:val="24"/>
              </w:rPr>
              <w:t>（3）建设性质：</w:t>
            </w:r>
            <w:r>
              <w:rPr>
                <w:rFonts w:hint="eastAsia"/>
                <w:color w:val="auto"/>
                <w:sz w:val="24"/>
                <w:szCs w:val="24"/>
                <w:lang w:val="en-US" w:eastAsia="zh-CN"/>
              </w:rPr>
              <w:t>新建</w:t>
            </w:r>
          </w:p>
          <w:p w14:paraId="4A7BCE84">
            <w:pPr>
              <w:pStyle w:val="13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Times New Roman" w:hAnsi="Times New Roman" w:eastAsia="宋体"/>
                <w:color w:val="auto"/>
                <w:sz w:val="24"/>
                <w:szCs w:val="24"/>
                <w:lang w:eastAsia="zh-CN"/>
              </w:rPr>
            </w:pPr>
            <w:r>
              <w:rPr>
                <w:rFonts w:hint="eastAsia" w:ascii="Times New Roman" w:hAnsi="Times New Roman"/>
                <w:color w:val="auto"/>
                <w:sz w:val="24"/>
                <w:szCs w:val="24"/>
              </w:rPr>
              <w:t>（4）建设地点：</w:t>
            </w:r>
            <w:r>
              <w:rPr>
                <w:rFonts w:hint="eastAsia"/>
                <w:color w:val="auto"/>
                <w:sz w:val="24"/>
                <w:szCs w:val="24"/>
                <w:lang w:eastAsia="zh-CN"/>
              </w:rPr>
              <w:t>福建省福鼎市前岐镇照澜村罗六36号</w:t>
            </w:r>
          </w:p>
          <w:p w14:paraId="435E25F5">
            <w:pPr>
              <w:pStyle w:val="13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Times New Roman" w:hAnsi="Times New Roman"/>
                <w:color w:val="auto"/>
                <w:sz w:val="24"/>
                <w:szCs w:val="24"/>
              </w:rPr>
            </w:pPr>
            <w:r>
              <w:rPr>
                <w:rFonts w:hint="eastAsia" w:ascii="Times New Roman" w:hAnsi="Times New Roman"/>
                <w:color w:val="auto"/>
                <w:sz w:val="24"/>
                <w:szCs w:val="24"/>
              </w:rPr>
              <w:t>（5）总 投 资：</w:t>
            </w:r>
            <w:r>
              <w:rPr>
                <w:rFonts w:hint="eastAsia"/>
                <w:color w:val="auto"/>
                <w:sz w:val="24"/>
                <w:szCs w:val="24"/>
                <w:lang w:val="en-US" w:eastAsia="zh-CN"/>
              </w:rPr>
              <w:t>1500</w:t>
            </w:r>
            <w:r>
              <w:rPr>
                <w:rFonts w:hint="eastAsia" w:ascii="Times New Roman" w:hAnsi="Times New Roman"/>
                <w:color w:val="auto"/>
                <w:sz w:val="24"/>
                <w:szCs w:val="24"/>
              </w:rPr>
              <w:t>万元</w:t>
            </w:r>
          </w:p>
          <w:p w14:paraId="12ECA029">
            <w:pPr>
              <w:pStyle w:val="13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default" w:ascii="Times New Roman" w:hAnsi="Times New Roman"/>
                <w:color w:val="auto"/>
                <w:sz w:val="24"/>
                <w:szCs w:val="24"/>
                <w:lang w:val="en-US"/>
              </w:rPr>
            </w:pPr>
            <w:r>
              <w:rPr>
                <w:rFonts w:hint="eastAsia" w:ascii="Times New Roman" w:hAnsi="Times New Roman"/>
                <w:color w:val="auto"/>
                <w:sz w:val="24"/>
                <w:szCs w:val="24"/>
              </w:rPr>
              <w:t>（6）</w:t>
            </w:r>
            <w:r>
              <w:rPr>
                <w:rFonts w:hint="eastAsia"/>
                <w:color w:val="auto"/>
                <w:sz w:val="24"/>
                <w:szCs w:val="24"/>
                <w:lang w:val="en-US" w:eastAsia="zh-CN"/>
              </w:rPr>
              <w:t>用地面积</w:t>
            </w:r>
            <w:r>
              <w:rPr>
                <w:rFonts w:hint="eastAsia" w:ascii="Times New Roman" w:hAnsi="Times New Roman"/>
                <w:color w:val="auto"/>
                <w:sz w:val="24"/>
                <w:szCs w:val="24"/>
              </w:rPr>
              <w:t>：</w:t>
            </w:r>
            <w:r>
              <w:rPr>
                <w:rFonts w:hint="eastAsia"/>
                <w:color w:val="auto"/>
                <w:sz w:val="24"/>
                <w:szCs w:val="24"/>
                <w:lang w:val="en-US" w:eastAsia="zh-CN"/>
              </w:rPr>
              <w:t>面积</w:t>
            </w:r>
            <w:r>
              <w:rPr>
                <w:rFonts w:hint="eastAsia"/>
                <w:color w:val="auto"/>
                <w:sz w:val="24"/>
                <w:szCs w:val="24"/>
                <w:highlight w:val="none"/>
                <w:lang w:val="en-US" w:eastAsia="zh-CN"/>
              </w:rPr>
              <w:t>3826</w:t>
            </w:r>
            <w:r>
              <w:rPr>
                <w:rFonts w:hint="eastAsia"/>
                <w:color w:val="auto"/>
                <w:sz w:val="24"/>
                <w:szCs w:val="24"/>
                <w:lang w:val="en-US" w:eastAsia="zh-CN"/>
              </w:rPr>
              <w:t>平方米</w:t>
            </w:r>
          </w:p>
          <w:p w14:paraId="03F2D5D0">
            <w:pPr>
              <w:pStyle w:val="13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（7）生产规模：</w:t>
            </w:r>
            <w:r>
              <w:rPr>
                <w:rFonts w:hint="eastAsia"/>
                <w:color w:val="auto"/>
                <w:sz w:val="24"/>
                <w:szCs w:val="24"/>
                <w:lang w:val="en-US" w:eastAsia="zh-CN"/>
              </w:rPr>
              <w:t>年处置3.5万吨生物质炭渣</w:t>
            </w:r>
          </w:p>
          <w:p w14:paraId="6F6C9AC1">
            <w:pPr>
              <w:pStyle w:val="137"/>
              <w:ind w:firstLine="48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（8）生产定员：</w:t>
            </w:r>
            <w:r>
              <w:rPr>
                <w:rFonts w:hint="eastAsia"/>
                <w:color w:val="auto"/>
                <w:sz w:val="24"/>
                <w:szCs w:val="24"/>
                <w:highlight w:val="none"/>
                <w:lang w:val="en-US" w:eastAsia="zh-CN"/>
              </w:rPr>
              <w:t>新增</w:t>
            </w:r>
            <w:r>
              <w:rPr>
                <w:rFonts w:hint="eastAsia" w:ascii="Times New Roman" w:hAnsi="Times New Roman"/>
                <w:color w:val="auto"/>
                <w:sz w:val="24"/>
                <w:szCs w:val="24"/>
                <w:highlight w:val="none"/>
                <w:lang w:val="en-US" w:eastAsia="zh-CN"/>
              </w:rPr>
              <w:t>职工</w:t>
            </w:r>
            <w:r>
              <w:rPr>
                <w:rFonts w:hint="eastAsia"/>
                <w:color w:val="auto"/>
                <w:sz w:val="24"/>
                <w:szCs w:val="24"/>
                <w:highlight w:val="none"/>
                <w:lang w:val="en-US" w:eastAsia="zh-CN"/>
              </w:rPr>
              <w:t>30</w:t>
            </w:r>
            <w:r>
              <w:rPr>
                <w:rFonts w:hint="eastAsia" w:ascii="Times New Roman" w:hAnsi="Times New Roman"/>
                <w:color w:val="auto"/>
                <w:sz w:val="24"/>
                <w:szCs w:val="24"/>
                <w:highlight w:val="none"/>
              </w:rPr>
              <w:t>人，均不住厂</w:t>
            </w:r>
            <w:r>
              <w:rPr>
                <w:rFonts w:hint="eastAsia" w:ascii="Times New Roman" w:hAnsi="Times New Roman"/>
                <w:color w:val="auto"/>
                <w:sz w:val="24"/>
                <w:szCs w:val="24"/>
                <w:highlight w:val="none"/>
                <w:lang w:eastAsia="zh-CN"/>
              </w:rPr>
              <w:t>。</w:t>
            </w:r>
          </w:p>
          <w:p w14:paraId="36CF3FFE">
            <w:pPr>
              <w:pStyle w:val="137"/>
              <w:ind w:firstLine="48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（9）工作制度：</w:t>
            </w:r>
            <w:r>
              <w:rPr>
                <w:rFonts w:hint="eastAsia"/>
                <w:color w:val="auto"/>
                <w:sz w:val="24"/>
                <w:szCs w:val="24"/>
                <w:highlight w:val="none"/>
                <w:lang w:val="en-US" w:eastAsia="zh-CN"/>
              </w:rPr>
              <w:t>四班三运转</w:t>
            </w:r>
            <w:r>
              <w:rPr>
                <w:rFonts w:hint="eastAsia" w:ascii="Times New Roman" w:hAnsi="Times New Roman"/>
                <w:color w:val="auto"/>
                <w:sz w:val="24"/>
                <w:szCs w:val="24"/>
                <w:highlight w:val="none"/>
              </w:rPr>
              <w:t>，每班</w:t>
            </w: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小时，年工作</w:t>
            </w:r>
            <w:r>
              <w:rPr>
                <w:rFonts w:hint="eastAsia"/>
                <w:color w:val="auto"/>
                <w:sz w:val="24"/>
                <w:szCs w:val="24"/>
                <w:highlight w:val="none"/>
                <w:lang w:val="en-US" w:eastAsia="zh-CN"/>
              </w:rPr>
              <w:t>30</w:t>
            </w:r>
            <w:r>
              <w:rPr>
                <w:rFonts w:hint="eastAsia" w:ascii="Times New Roman" w:hAnsi="Times New Roman"/>
                <w:color w:val="auto"/>
                <w:sz w:val="24"/>
                <w:szCs w:val="24"/>
                <w:highlight w:val="none"/>
              </w:rPr>
              <w:t>0天</w:t>
            </w:r>
            <w:r>
              <w:rPr>
                <w:rFonts w:hint="eastAsia" w:ascii="Times New Roman" w:hAnsi="Times New Roman"/>
                <w:color w:val="auto"/>
                <w:sz w:val="24"/>
                <w:szCs w:val="24"/>
                <w:highlight w:val="none"/>
                <w:lang w:eastAsia="zh-CN"/>
              </w:rPr>
              <w:t>。</w:t>
            </w:r>
          </w:p>
          <w:p w14:paraId="3F241240">
            <w:pPr>
              <w:adjustRightInd w:val="0"/>
              <w:snapToGrid w:val="0"/>
              <w:spacing w:line="360" w:lineRule="auto"/>
              <w:jc w:val="left"/>
              <w:rPr>
                <w:rFonts w:ascii="Times New Roman" w:hAnsi="Times New Roman"/>
                <w:b/>
                <w:bCs/>
                <w:color w:val="auto"/>
                <w:sz w:val="24"/>
                <w:szCs w:val="24"/>
              </w:rPr>
            </w:pPr>
            <w:r>
              <w:rPr>
                <w:rFonts w:ascii="Times New Roman" w:hAnsi="Times New Roman"/>
                <w:b/>
                <w:bCs/>
                <w:color w:val="auto"/>
                <w:sz w:val="24"/>
                <w:szCs w:val="24"/>
              </w:rPr>
              <w:t>2.1.3建设内容</w:t>
            </w:r>
          </w:p>
          <w:p w14:paraId="1F1CE67C">
            <w:pPr>
              <w:adjustRightInd w:val="0"/>
              <w:snapToGrid w:val="0"/>
              <w:spacing w:line="360" w:lineRule="auto"/>
              <w:ind w:firstLine="480" w:firstLineChars="200"/>
              <w:jc w:val="left"/>
              <w:rPr>
                <w:rFonts w:ascii="Times New Roman" w:hAnsi="Times New Roman"/>
                <w:bCs/>
                <w:color w:val="auto"/>
                <w:sz w:val="24"/>
                <w:szCs w:val="24"/>
              </w:rPr>
            </w:pPr>
            <w:r>
              <w:rPr>
                <w:rFonts w:ascii="Times New Roman" w:hAnsi="Times New Roman"/>
                <w:bCs/>
                <w:color w:val="auto"/>
                <w:sz w:val="24"/>
                <w:szCs w:val="24"/>
              </w:rPr>
              <w:t>项目包括主体工程、公用工程、环保工程等，具体项目建设内容见</w:t>
            </w:r>
            <w:r>
              <w:rPr>
                <w:rFonts w:hint="eastAsia"/>
                <w:bCs/>
                <w:color w:val="auto"/>
                <w:sz w:val="24"/>
                <w:szCs w:val="24"/>
                <w:lang w:val="en-US" w:eastAsia="zh-CN"/>
              </w:rPr>
              <w:t>下表</w:t>
            </w:r>
            <w:r>
              <w:rPr>
                <w:rFonts w:ascii="Times New Roman" w:hAnsi="Times New Roman"/>
                <w:bCs/>
                <w:color w:val="auto"/>
                <w:sz w:val="24"/>
                <w:szCs w:val="24"/>
              </w:rPr>
              <w:t>。</w:t>
            </w:r>
          </w:p>
          <w:p w14:paraId="6886C66F">
            <w:pPr>
              <w:numPr>
                <w:ilvl w:val="0"/>
                <w:numId w:val="8"/>
              </w:numPr>
              <w:spacing w:before="120" w:beforeLines="50"/>
              <w:jc w:val="center"/>
              <w:rPr>
                <w:rFonts w:ascii="Times New Roman" w:hAnsi="Times New Roman"/>
                <w:b/>
                <w:color w:val="auto"/>
                <w:sz w:val="24"/>
                <w:szCs w:val="24"/>
              </w:rPr>
            </w:pPr>
            <w:bookmarkStart w:id="6" w:name="_Ref68032001"/>
            <w:r>
              <w:rPr>
                <w:rFonts w:ascii="Times New Roman" w:hAnsi="Times New Roman"/>
                <w:b/>
                <w:color w:val="auto"/>
                <w:sz w:val="24"/>
                <w:szCs w:val="24"/>
              </w:rPr>
              <w:t>项目建设内容一览表</w:t>
            </w:r>
            <w:bookmarkEnd w:id="6"/>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1"/>
              <w:gridCol w:w="899"/>
              <w:gridCol w:w="857"/>
              <w:gridCol w:w="5929"/>
            </w:tblGrid>
            <w:tr w14:paraId="13BDF0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9" w:type="pct"/>
                  <w:gridSpan w:val="3"/>
                  <w:tcBorders>
                    <w:top w:val="single" w:color="auto" w:sz="12" w:space="0"/>
                    <w:left w:val="nil"/>
                    <w:bottom w:val="single" w:color="auto" w:sz="6" w:space="0"/>
                  </w:tcBorders>
                  <w:noWrap w:val="0"/>
                  <w:vAlign w:val="center"/>
                </w:tcPr>
                <w:p w14:paraId="78BBB02C">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项目组成</w:t>
                  </w:r>
                </w:p>
              </w:tc>
              <w:tc>
                <w:tcPr>
                  <w:tcW w:w="3530" w:type="pct"/>
                  <w:tcBorders>
                    <w:top w:val="single" w:color="auto" w:sz="12" w:space="0"/>
                    <w:bottom w:val="single" w:color="auto" w:sz="6" w:space="0"/>
                    <w:right w:val="nil"/>
                  </w:tcBorders>
                  <w:noWrap w:val="0"/>
                  <w:vAlign w:val="center"/>
                </w:tcPr>
                <w:p w14:paraId="2E68B621">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工程主要内容</w:t>
                  </w:r>
                </w:p>
              </w:tc>
            </w:tr>
            <w:tr w14:paraId="2D989D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restart"/>
                  <w:tcBorders>
                    <w:top w:val="single" w:color="auto" w:sz="6" w:space="0"/>
                    <w:left w:val="nil"/>
                  </w:tcBorders>
                  <w:noWrap w:val="0"/>
                  <w:vAlign w:val="center"/>
                </w:tcPr>
                <w:p w14:paraId="4AC6F4F0">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主体</w:t>
                  </w:r>
                </w:p>
                <w:p w14:paraId="3E4173EF">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工程</w:t>
                  </w:r>
                </w:p>
              </w:tc>
              <w:tc>
                <w:tcPr>
                  <w:tcW w:w="1044" w:type="pct"/>
                  <w:gridSpan w:val="2"/>
                  <w:tcBorders>
                    <w:top w:val="single" w:color="auto" w:sz="6" w:space="0"/>
                    <w:bottom w:val="single" w:color="auto" w:sz="6" w:space="0"/>
                  </w:tcBorders>
                  <w:noWrap w:val="0"/>
                  <w:vAlign w:val="center"/>
                </w:tcPr>
                <w:p w14:paraId="790932C5">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厂房1</w:t>
                  </w:r>
                </w:p>
              </w:tc>
              <w:tc>
                <w:tcPr>
                  <w:tcW w:w="3530" w:type="pct"/>
                  <w:tcBorders>
                    <w:top w:val="single" w:color="auto" w:sz="6" w:space="0"/>
                    <w:bottom w:val="single" w:color="auto" w:sz="6" w:space="0"/>
                    <w:right w:val="nil"/>
                  </w:tcBorders>
                  <w:noWrap w:val="0"/>
                  <w:vAlign w:val="center"/>
                </w:tcPr>
                <w:p w14:paraId="17A8C5C3">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原料仓库</w:t>
                  </w:r>
                  <w:r>
                    <w:rPr>
                      <w:rFonts w:hint="eastAsia" w:cs="Times New Roman"/>
                      <w:color w:val="auto"/>
                      <w:sz w:val="21"/>
                      <w:szCs w:val="21"/>
                      <w:lang w:val="en-US" w:eastAsia="zh-CN"/>
                    </w:rPr>
                    <w:t>，建筑面积576m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default" w:ascii="Times New Roman" w:hAnsi="Times New Roman" w:cs="Times New Roman"/>
                      <w:color w:val="auto"/>
                      <w:sz w:val="21"/>
                      <w:szCs w:val="21"/>
                      <w:lang w:val="en-US" w:eastAsia="zh-CN"/>
                    </w:rPr>
                    <w:t>用于生物质炭渣原料贮存</w:t>
                  </w:r>
                </w:p>
              </w:tc>
            </w:tr>
            <w:tr w14:paraId="0CADD45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continue"/>
                  <w:tcBorders>
                    <w:left w:val="nil"/>
                  </w:tcBorders>
                  <w:noWrap w:val="0"/>
                  <w:vAlign w:val="center"/>
                </w:tcPr>
                <w:p w14:paraId="754DA2FF">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1044" w:type="pct"/>
                  <w:gridSpan w:val="2"/>
                  <w:tcBorders>
                    <w:top w:val="single" w:color="auto" w:sz="6" w:space="0"/>
                    <w:bottom w:val="single" w:color="auto" w:sz="6" w:space="0"/>
                  </w:tcBorders>
                  <w:noWrap w:val="0"/>
                  <w:vAlign w:val="center"/>
                </w:tcPr>
                <w:p w14:paraId="737D9E6E">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厂房2</w:t>
                  </w:r>
                </w:p>
              </w:tc>
              <w:tc>
                <w:tcPr>
                  <w:tcW w:w="3530" w:type="pct"/>
                  <w:tcBorders>
                    <w:top w:val="single" w:color="auto" w:sz="6" w:space="0"/>
                    <w:bottom w:val="single" w:color="auto" w:sz="6" w:space="0"/>
                    <w:right w:val="nil"/>
                  </w:tcBorders>
                  <w:noWrap w:val="0"/>
                  <w:vAlign w:val="center"/>
                </w:tcPr>
                <w:p w14:paraId="27008989">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生产车间一，建筑面积360m</w:t>
                  </w:r>
                  <w:r>
                    <w:rPr>
                      <w:rFonts w:hint="eastAsia" w:cs="Times New Roman"/>
                      <w:color w:val="auto"/>
                      <w:sz w:val="21"/>
                      <w:szCs w:val="21"/>
                      <w:vertAlign w:val="superscript"/>
                      <w:lang w:val="en-US" w:eastAsia="zh-CN"/>
                    </w:rPr>
                    <w:t>2</w:t>
                  </w:r>
                  <w:r>
                    <w:rPr>
                      <w:rFonts w:hint="eastAsia" w:cs="Times New Roman"/>
                      <w:color w:val="auto"/>
                      <w:sz w:val="21"/>
                      <w:szCs w:val="21"/>
                      <w:vertAlign w:val="baseline"/>
                      <w:lang w:val="en-US" w:eastAsia="zh-CN"/>
                    </w:rPr>
                    <w:t>，</w:t>
                  </w:r>
                  <w:r>
                    <w:rPr>
                      <w:rFonts w:hint="default" w:ascii="Times New Roman" w:hAnsi="Times New Roman" w:cs="Times New Roman"/>
                      <w:color w:val="auto"/>
                      <w:sz w:val="21"/>
                      <w:szCs w:val="21"/>
                      <w:lang w:val="en-US" w:eastAsia="zh-CN"/>
                    </w:rPr>
                    <w:t>划分为烘干、磁选、筛分、破碎等生产区域</w:t>
                  </w:r>
                </w:p>
              </w:tc>
            </w:tr>
            <w:tr w14:paraId="51C8C7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continue"/>
                  <w:tcBorders>
                    <w:left w:val="nil"/>
                    <w:bottom w:val="single" w:color="auto" w:sz="6" w:space="0"/>
                  </w:tcBorders>
                  <w:noWrap w:val="0"/>
                  <w:vAlign w:val="center"/>
                </w:tcPr>
                <w:p w14:paraId="1423EA70">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1044" w:type="pct"/>
                  <w:gridSpan w:val="2"/>
                  <w:tcBorders>
                    <w:top w:val="single" w:color="auto" w:sz="6" w:space="0"/>
                    <w:bottom w:val="single" w:color="auto" w:sz="6" w:space="0"/>
                  </w:tcBorders>
                  <w:noWrap w:val="0"/>
                  <w:vAlign w:val="center"/>
                </w:tcPr>
                <w:p w14:paraId="408BA9CC">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厂房3</w:t>
                  </w:r>
                </w:p>
              </w:tc>
              <w:tc>
                <w:tcPr>
                  <w:tcW w:w="3530" w:type="pct"/>
                  <w:tcBorders>
                    <w:top w:val="single" w:color="auto" w:sz="6" w:space="0"/>
                    <w:bottom w:val="single" w:color="auto" w:sz="6" w:space="0"/>
                    <w:right w:val="nil"/>
                  </w:tcBorders>
                  <w:noWrap w:val="0"/>
                  <w:vAlign w:val="center"/>
                </w:tcPr>
                <w:p w14:paraId="3C15B032">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生产车间二，建筑面积240m</w:t>
                  </w:r>
                  <w:r>
                    <w:rPr>
                      <w:rFonts w:hint="eastAsia" w:cs="Times New Roman"/>
                      <w:color w:val="auto"/>
                      <w:sz w:val="21"/>
                      <w:szCs w:val="21"/>
                      <w:vertAlign w:val="superscript"/>
                      <w:lang w:val="en-US" w:eastAsia="zh-CN"/>
                    </w:rPr>
                    <w:t>2</w:t>
                  </w:r>
                  <w:r>
                    <w:rPr>
                      <w:rFonts w:hint="eastAsia" w:cs="Times New Roman"/>
                      <w:color w:val="auto"/>
                      <w:sz w:val="21"/>
                      <w:szCs w:val="21"/>
                      <w:vertAlign w:val="baseline"/>
                      <w:lang w:val="en-US" w:eastAsia="zh-CN"/>
                    </w:rPr>
                    <w:t>，</w:t>
                  </w:r>
                  <w:r>
                    <w:rPr>
                      <w:rFonts w:hint="default" w:ascii="Times New Roman" w:hAnsi="Times New Roman" w:cs="Times New Roman"/>
                      <w:color w:val="auto"/>
                      <w:sz w:val="21"/>
                      <w:szCs w:val="21"/>
                      <w:lang w:val="en-US" w:eastAsia="zh-CN"/>
                    </w:rPr>
                    <w:t>设有制粉、包装等生产区域</w:t>
                  </w:r>
                </w:p>
              </w:tc>
            </w:tr>
            <w:tr w14:paraId="03570F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restart"/>
                  <w:tcBorders>
                    <w:top w:val="single" w:color="auto" w:sz="6" w:space="0"/>
                    <w:left w:val="nil"/>
                  </w:tcBorders>
                  <w:noWrap w:val="0"/>
                  <w:vAlign w:val="center"/>
                </w:tcPr>
                <w:p w14:paraId="59682721">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辅助工程</w:t>
                  </w:r>
                </w:p>
              </w:tc>
              <w:tc>
                <w:tcPr>
                  <w:tcW w:w="1044" w:type="pct"/>
                  <w:gridSpan w:val="2"/>
                  <w:tcBorders>
                    <w:top w:val="single" w:color="auto" w:sz="6" w:space="0"/>
                    <w:bottom w:val="single" w:color="000000" w:sz="4" w:space="0"/>
                  </w:tcBorders>
                  <w:noWrap w:val="0"/>
                  <w:vAlign w:val="center"/>
                </w:tcPr>
                <w:p w14:paraId="1F4DFE8A">
                  <w:pPr>
                    <w:pStyle w:val="174"/>
                    <w:keepNext w:val="0"/>
                    <w:keepLines w:val="0"/>
                    <w:pageBreakBefore w:val="0"/>
                    <w:kinsoku/>
                    <w:wordWrap/>
                    <w:overflowPunct/>
                    <w:topLinePunct w:val="0"/>
                    <w:bidi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rPr>
                    <w:t>办公区</w:t>
                  </w:r>
                </w:p>
              </w:tc>
              <w:tc>
                <w:tcPr>
                  <w:tcW w:w="3530" w:type="pct"/>
                  <w:tcBorders>
                    <w:top w:val="single" w:color="auto" w:sz="6" w:space="0"/>
                    <w:bottom w:val="single" w:color="000000" w:sz="4" w:space="0"/>
                    <w:right w:val="nil"/>
                  </w:tcBorders>
                  <w:noWrap w:val="0"/>
                  <w:vAlign w:val="center"/>
                </w:tcPr>
                <w:p w14:paraId="57E320D6">
                  <w:pPr>
                    <w:pStyle w:val="174"/>
                    <w:keepNext w:val="0"/>
                    <w:keepLines w:val="0"/>
                    <w:pageBreakBefore w:val="0"/>
                    <w:kinsoku/>
                    <w:wordWrap/>
                    <w:overflowPunct/>
                    <w:topLinePunct w:val="0"/>
                    <w:bidi w:val="0"/>
                    <w:snapToGrid w:val="0"/>
                    <w:spacing w:before="0" w:after="0" w:line="240" w:lineRule="auto"/>
                    <w:ind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eastAsia="宋体" w:cs="Times New Roman"/>
                      <w:color w:val="auto"/>
                      <w:kern w:val="2"/>
                      <w:sz w:val="21"/>
                      <w:szCs w:val="21"/>
                      <w:lang w:val="en-US" w:eastAsia="zh-CN"/>
                    </w:rPr>
                    <w:t>320m</w:t>
                  </w:r>
                  <w:r>
                    <w:rPr>
                      <w:rFonts w:hint="eastAsia" w:cs="Times New Roman"/>
                      <w:color w:val="auto"/>
                      <w:sz w:val="21"/>
                      <w:szCs w:val="21"/>
                      <w:vertAlign w:val="superscript"/>
                      <w:lang w:val="en-US" w:eastAsia="zh-CN"/>
                    </w:rPr>
                    <w:t>2</w:t>
                  </w:r>
                  <w:r>
                    <w:rPr>
                      <w:rFonts w:hint="default" w:ascii="Times New Roman" w:hAnsi="Times New Roman" w:eastAsia="宋体" w:cs="Times New Roman"/>
                      <w:color w:val="auto"/>
                      <w:kern w:val="2"/>
                      <w:sz w:val="21"/>
                      <w:szCs w:val="21"/>
                      <w:lang w:val="en-US" w:eastAsia="zh-CN"/>
                    </w:rPr>
                    <w:t>用于员工办公</w:t>
                  </w:r>
                </w:p>
              </w:tc>
            </w:tr>
            <w:tr w14:paraId="1DB8F3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continue"/>
                  <w:tcBorders>
                    <w:left w:val="nil"/>
                  </w:tcBorders>
                  <w:noWrap w:val="0"/>
                  <w:vAlign w:val="center"/>
                </w:tcPr>
                <w:p w14:paraId="35BB8134">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1044" w:type="pct"/>
                  <w:gridSpan w:val="2"/>
                  <w:tcBorders>
                    <w:top w:val="single" w:color="auto" w:sz="6" w:space="0"/>
                    <w:bottom w:val="single" w:color="000000" w:sz="4" w:space="0"/>
                  </w:tcBorders>
                  <w:noWrap w:val="0"/>
                  <w:vAlign w:val="center"/>
                </w:tcPr>
                <w:p w14:paraId="21CE88D2">
                  <w:pPr>
                    <w:pStyle w:val="174"/>
                    <w:keepNext w:val="0"/>
                    <w:keepLines w:val="0"/>
                    <w:pageBreakBefore w:val="0"/>
                    <w:kinsoku/>
                    <w:wordWrap/>
                    <w:overflowPunct/>
                    <w:topLinePunct w:val="0"/>
                    <w:bidi w:val="0"/>
                    <w:snapToGrid w:val="0"/>
                    <w:spacing w:before="0" w:after="0" w:line="240" w:lineRule="auto"/>
                    <w:ind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eastAsia="宋体" w:cs="Times New Roman"/>
                      <w:color w:val="auto"/>
                      <w:kern w:val="2"/>
                      <w:sz w:val="21"/>
                      <w:szCs w:val="21"/>
                      <w:lang w:val="en-US" w:eastAsia="zh-CN"/>
                    </w:rPr>
                    <w:t>预留空地</w:t>
                  </w:r>
                </w:p>
              </w:tc>
              <w:tc>
                <w:tcPr>
                  <w:tcW w:w="3530" w:type="pct"/>
                  <w:tcBorders>
                    <w:top w:val="single" w:color="auto" w:sz="6" w:space="0"/>
                    <w:bottom w:val="single" w:color="000000" w:sz="4" w:space="0"/>
                    <w:right w:val="nil"/>
                  </w:tcBorders>
                  <w:noWrap w:val="0"/>
                  <w:vAlign w:val="center"/>
                </w:tcPr>
                <w:p w14:paraId="65676A10">
                  <w:pPr>
                    <w:pStyle w:val="174"/>
                    <w:keepNext w:val="0"/>
                    <w:keepLines w:val="0"/>
                    <w:pageBreakBefore w:val="0"/>
                    <w:kinsoku/>
                    <w:wordWrap/>
                    <w:overflowPunct/>
                    <w:topLinePunct w:val="0"/>
                    <w:bidi w:val="0"/>
                    <w:snapToGrid w:val="0"/>
                    <w:spacing w:before="0" w:after="0" w:line="240" w:lineRule="auto"/>
                    <w:ind w:right="0" w:firstLine="0" w:firstLineChars="0"/>
                    <w:jc w:val="center"/>
                    <w:textAlignment w:val="auto"/>
                    <w:rPr>
                      <w:rFonts w:hint="default" w:eastAsia="宋体" w:cs="Times New Roman"/>
                      <w:color w:val="auto"/>
                      <w:kern w:val="2"/>
                      <w:sz w:val="21"/>
                      <w:szCs w:val="21"/>
                      <w:lang w:val="en-US" w:eastAsia="zh-CN"/>
                    </w:rPr>
                  </w:pPr>
                  <w:r>
                    <w:rPr>
                      <w:rFonts w:hint="eastAsia" w:eastAsia="宋体" w:cs="Times New Roman"/>
                      <w:color w:val="auto"/>
                      <w:kern w:val="2"/>
                      <w:sz w:val="21"/>
                      <w:szCs w:val="21"/>
                      <w:lang w:val="en-US" w:eastAsia="zh-CN"/>
                    </w:rPr>
                    <w:t>2330m</w:t>
                  </w:r>
                  <w:r>
                    <w:rPr>
                      <w:rFonts w:hint="eastAsia" w:cs="Times New Roman"/>
                      <w:color w:val="auto"/>
                      <w:sz w:val="21"/>
                      <w:szCs w:val="21"/>
                      <w:vertAlign w:val="superscript"/>
                      <w:lang w:val="en-US" w:eastAsia="zh-CN"/>
                    </w:rPr>
                    <w:t>2</w:t>
                  </w:r>
                </w:p>
              </w:tc>
            </w:tr>
            <w:tr w14:paraId="2D388C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restart"/>
                  <w:tcBorders>
                    <w:top w:val="single" w:color="auto" w:sz="6" w:space="0"/>
                    <w:left w:val="nil"/>
                  </w:tcBorders>
                  <w:noWrap w:val="0"/>
                  <w:vAlign w:val="center"/>
                </w:tcPr>
                <w:p w14:paraId="53053FEA">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公共工程</w:t>
                  </w:r>
                </w:p>
              </w:tc>
              <w:tc>
                <w:tcPr>
                  <w:tcW w:w="535" w:type="pct"/>
                  <w:vMerge w:val="restart"/>
                  <w:tcBorders>
                    <w:top w:val="single" w:color="auto" w:sz="6" w:space="0"/>
                    <w:bottom w:val="single" w:color="auto" w:sz="6" w:space="0"/>
                  </w:tcBorders>
                  <w:noWrap w:val="0"/>
                  <w:vAlign w:val="center"/>
                </w:tcPr>
                <w:p w14:paraId="50CFDFBA">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给排水</w:t>
                  </w:r>
                </w:p>
              </w:tc>
              <w:tc>
                <w:tcPr>
                  <w:tcW w:w="509" w:type="pct"/>
                  <w:tcBorders>
                    <w:top w:val="single" w:color="auto" w:sz="6" w:space="0"/>
                    <w:bottom w:val="single" w:color="auto" w:sz="6" w:space="0"/>
                  </w:tcBorders>
                  <w:noWrap w:val="0"/>
                  <w:vAlign w:val="center"/>
                </w:tcPr>
                <w:p w14:paraId="315592A4">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给水</w:t>
                  </w:r>
                </w:p>
              </w:tc>
              <w:tc>
                <w:tcPr>
                  <w:tcW w:w="3530" w:type="pct"/>
                  <w:tcBorders>
                    <w:top w:val="single" w:color="auto" w:sz="6" w:space="0"/>
                    <w:bottom w:val="single" w:color="auto" w:sz="6" w:space="0"/>
                    <w:right w:val="nil"/>
                  </w:tcBorders>
                  <w:noWrap w:val="0"/>
                  <w:vAlign w:val="center"/>
                </w:tcPr>
                <w:p w14:paraId="2D4C6E6E">
                  <w:pPr>
                    <w:pStyle w:val="242"/>
                    <w:rPr>
                      <w:rFonts w:hint="default" w:ascii="Times New Roman" w:hAnsi="Times New Roman" w:eastAsia="宋体" w:cs="Times New Roman"/>
                      <w:color w:val="auto"/>
                      <w:kern w:val="2"/>
                      <w:sz w:val="21"/>
                      <w:szCs w:val="21"/>
                      <w:lang w:val="en-US" w:eastAsia="zh-CN"/>
                    </w:rPr>
                  </w:pPr>
                  <w:r>
                    <w:rPr>
                      <w:rFonts w:hint="eastAsia" w:cs="Times New Roman"/>
                      <w:color w:val="auto"/>
                      <w:lang w:val="en-US" w:eastAsia="zh-CN"/>
                    </w:rPr>
                    <w:t>来源于</w:t>
                  </w:r>
                  <w:r>
                    <w:rPr>
                      <w:rFonts w:hint="default" w:ascii="Times New Roman" w:hAnsi="Times New Roman" w:cs="Times New Roman"/>
                      <w:color w:val="auto"/>
                    </w:rPr>
                    <w:t>市政供水管网</w:t>
                  </w:r>
                </w:p>
              </w:tc>
            </w:tr>
            <w:tr w14:paraId="4B1239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424" w:type="pct"/>
                  <w:vMerge w:val="continue"/>
                  <w:tcBorders>
                    <w:left w:val="nil"/>
                  </w:tcBorders>
                  <w:noWrap w:val="0"/>
                  <w:vAlign w:val="center"/>
                </w:tcPr>
                <w:p w14:paraId="330F437A">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535" w:type="pct"/>
                  <w:vMerge w:val="continue"/>
                  <w:tcBorders>
                    <w:top w:val="single" w:color="auto" w:sz="6" w:space="0"/>
                    <w:bottom w:val="single" w:color="auto" w:sz="6" w:space="0"/>
                  </w:tcBorders>
                  <w:noWrap w:val="0"/>
                  <w:vAlign w:val="center"/>
                </w:tcPr>
                <w:p w14:paraId="064B1D4E">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509" w:type="pct"/>
                  <w:tcBorders>
                    <w:top w:val="single" w:color="auto" w:sz="6" w:space="0"/>
                    <w:bottom w:val="single" w:color="auto" w:sz="6" w:space="0"/>
                  </w:tcBorders>
                  <w:noWrap w:val="0"/>
                  <w:vAlign w:val="center"/>
                </w:tcPr>
                <w:p w14:paraId="5C2DB7EA">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排水</w:t>
                  </w:r>
                </w:p>
              </w:tc>
              <w:tc>
                <w:tcPr>
                  <w:tcW w:w="3530" w:type="pct"/>
                  <w:tcBorders>
                    <w:top w:val="single" w:color="auto" w:sz="6" w:space="0"/>
                    <w:bottom w:val="single" w:color="auto" w:sz="6" w:space="0"/>
                    <w:right w:val="nil"/>
                  </w:tcBorders>
                  <w:noWrap w:val="0"/>
                  <w:vAlign w:val="center"/>
                </w:tcPr>
                <w:p w14:paraId="3316B381">
                  <w:pPr>
                    <w:pStyle w:val="242"/>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rPr>
                    <w:t>生活污水经化粪池处理后用于周边山林地施肥；</w:t>
                  </w:r>
                  <w:r>
                    <w:rPr>
                      <w:rFonts w:hint="default" w:ascii="Times New Roman" w:hAnsi="Times New Roman" w:cs="Times New Roman"/>
                      <w:color w:val="auto"/>
                      <w:lang w:val="en-US" w:eastAsia="zh-CN"/>
                    </w:rPr>
                    <w:t>无生产废水产生排放</w:t>
                  </w:r>
                  <w:r>
                    <w:rPr>
                      <w:rFonts w:hint="default" w:ascii="Times New Roman" w:hAnsi="Times New Roman" w:cs="Times New Roman"/>
                      <w:color w:val="auto"/>
                    </w:rPr>
                    <w:t>。</w:t>
                  </w:r>
                </w:p>
              </w:tc>
            </w:tr>
            <w:tr w14:paraId="7529FA9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continue"/>
                  <w:tcBorders>
                    <w:left w:val="nil"/>
                  </w:tcBorders>
                  <w:noWrap w:val="0"/>
                  <w:vAlign w:val="center"/>
                </w:tcPr>
                <w:p w14:paraId="484B71B9">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1044" w:type="pct"/>
                  <w:gridSpan w:val="2"/>
                  <w:tcBorders>
                    <w:top w:val="single" w:color="auto" w:sz="6" w:space="0"/>
                    <w:bottom w:val="single" w:color="auto" w:sz="6" w:space="0"/>
                  </w:tcBorders>
                  <w:noWrap w:val="0"/>
                  <w:vAlign w:val="center"/>
                </w:tcPr>
                <w:p w14:paraId="4AB5AD8C">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供电</w:t>
                  </w:r>
                </w:p>
              </w:tc>
              <w:tc>
                <w:tcPr>
                  <w:tcW w:w="3530" w:type="pct"/>
                  <w:tcBorders>
                    <w:top w:val="single" w:color="auto" w:sz="6" w:space="0"/>
                    <w:bottom w:val="single" w:color="auto" w:sz="6" w:space="0"/>
                    <w:right w:val="nil"/>
                  </w:tcBorders>
                  <w:noWrap w:val="0"/>
                  <w:vAlign w:val="center"/>
                </w:tcPr>
                <w:p w14:paraId="6107FA3A">
                  <w:pPr>
                    <w:pStyle w:val="242"/>
                    <w:rPr>
                      <w:rFonts w:hint="default" w:ascii="Times New Roman" w:hAnsi="Times New Roman" w:eastAsia="宋体" w:cs="Times New Roman"/>
                      <w:color w:val="auto"/>
                      <w:sz w:val="21"/>
                      <w:szCs w:val="21"/>
                      <w:lang w:val="en-GB" w:eastAsia="zh-CN"/>
                    </w:rPr>
                  </w:pPr>
                  <w:r>
                    <w:rPr>
                      <w:rFonts w:hint="default" w:ascii="Times New Roman" w:hAnsi="Times New Roman" w:cs="Times New Roman"/>
                      <w:color w:val="auto"/>
                    </w:rPr>
                    <w:t>市政供电系统</w:t>
                  </w:r>
                </w:p>
              </w:tc>
            </w:tr>
            <w:tr w14:paraId="2FC01F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restart"/>
                  <w:tcBorders>
                    <w:top w:val="single" w:color="auto" w:sz="6" w:space="0"/>
                    <w:left w:val="nil"/>
                  </w:tcBorders>
                  <w:noWrap w:val="0"/>
                  <w:vAlign w:val="center"/>
                </w:tcPr>
                <w:p w14:paraId="5880FE1D">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w:t>
                  </w:r>
                </w:p>
                <w:p w14:paraId="1ACB0D74">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工程</w:t>
                  </w:r>
                </w:p>
              </w:tc>
              <w:tc>
                <w:tcPr>
                  <w:tcW w:w="1044" w:type="pct"/>
                  <w:gridSpan w:val="2"/>
                  <w:tcBorders>
                    <w:top w:val="single" w:color="auto" w:sz="6" w:space="0"/>
                    <w:bottom w:val="single" w:color="auto" w:sz="6" w:space="0"/>
                  </w:tcBorders>
                  <w:noWrap w:val="0"/>
                  <w:vAlign w:val="center"/>
                </w:tcPr>
                <w:p w14:paraId="4DEF0E6C">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废水治理</w:t>
                  </w:r>
                </w:p>
              </w:tc>
              <w:tc>
                <w:tcPr>
                  <w:tcW w:w="3530" w:type="pct"/>
                  <w:tcBorders>
                    <w:top w:val="single" w:color="auto" w:sz="6" w:space="0"/>
                    <w:bottom w:val="single" w:color="auto" w:sz="6" w:space="0"/>
                    <w:right w:val="nil"/>
                  </w:tcBorders>
                  <w:noWrap w:val="0"/>
                  <w:vAlign w:val="center"/>
                </w:tcPr>
                <w:p w14:paraId="2A12AE69">
                  <w:pPr>
                    <w:pStyle w:val="210"/>
                    <w:keepNext w:val="0"/>
                    <w:keepLines w:val="0"/>
                    <w:pageBreakBefore w:val="0"/>
                    <w:kinsoku/>
                    <w:wordWrap/>
                    <w:overflowPunct/>
                    <w:topLinePunct w:val="0"/>
                    <w:bidi w:val="0"/>
                    <w:snapToGrid w:val="0"/>
                    <w:spacing w:line="240" w:lineRule="auto"/>
                    <w:ind w:right="0" w:firstLine="0" w:firstLineChars="0"/>
                    <w:jc w:val="both"/>
                    <w:textAlignment w:val="auto"/>
                    <w:rPr>
                      <w:rFonts w:hint="default" w:ascii="Times New Roman" w:hAnsi="Times New Roman" w:eastAsia="宋体" w:cs="Times New Roman"/>
                      <w:color w:val="auto"/>
                      <w:sz w:val="21"/>
                      <w:szCs w:val="21"/>
                      <w:lang w:val="en-GB" w:eastAsia="zh-CN"/>
                    </w:rPr>
                  </w:pPr>
                  <w:r>
                    <w:rPr>
                      <w:rFonts w:hint="default" w:ascii="Times New Roman" w:hAnsi="Times New Roman" w:eastAsia="宋体" w:cs="Times New Roman"/>
                      <w:color w:val="auto"/>
                      <w:sz w:val="21"/>
                      <w:szCs w:val="21"/>
                      <w:lang w:val="en-GB" w:eastAsia="zh-CN"/>
                    </w:rPr>
                    <w:t>雨污分流。</w:t>
                  </w:r>
                </w:p>
                <w:p w14:paraId="60D22F8F">
                  <w:pPr>
                    <w:pStyle w:val="210"/>
                    <w:keepNext w:val="0"/>
                    <w:keepLines w:val="0"/>
                    <w:pageBreakBefore w:val="0"/>
                    <w:kinsoku/>
                    <w:wordWrap/>
                    <w:overflowPunct/>
                    <w:topLinePunct w:val="0"/>
                    <w:bidi w:val="0"/>
                    <w:snapToGrid w:val="0"/>
                    <w:spacing w:line="240" w:lineRule="auto"/>
                    <w:ind w:right="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lang w:val="en-US" w:eastAsia="zh-CN"/>
                    </w:rPr>
                    <w:t>无生产废水排放，</w:t>
                  </w:r>
                  <w:r>
                    <w:rPr>
                      <w:rFonts w:hint="default" w:ascii="Times New Roman" w:hAnsi="Times New Roman" w:cs="Times New Roman"/>
                      <w:color w:val="auto"/>
                    </w:rPr>
                    <w:t>生活污水经化粪池处理后用于周边山林地施肥</w:t>
                  </w:r>
                  <w:r>
                    <w:rPr>
                      <w:rFonts w:hint="default" w:ascii="Times New Roman" w:hAnsi="Times New Roman" w:eastAsia="宋体" w:cs="Times New Roman"/>
                      <w:color w:val="auto"/>
                      <w:sz w:val="21"/>
                      <w:szCs w:val="21"/>
                      <w:lang w:val="en-US" w:eastAsia="zh-CN"/>
                    </w:rPr>
                    <w:t>。</w:t>
                  </w:r>
                </w:p>
              </w:tc>
            </w:tr>
            <w:tr w14:paraId="62D40A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continue"/>
                  <w:tcBorders>
                    <w:left w:val="nil"/>
                  </w:tcBorders>
                  <w:noWrap w:val="0"/>
                  <w:vAlign w:val="center"/>
                </w:tcPr>
                <w:p w14:paraId="628C0146">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1044" w:type="pct"/>
                  <w:gridSpan w:val="2"/>
                  <w:tcBorders>
                    <w:top w:val="single" w:color="auto" w:sz="6" w:space="0"/>
                  </w:tcBorders>
                  <w:noWrap w:val="0"/>
                  <w:vAlign w:val="center"/>
                </w:tcPr>
                <w:p w14:paraId="451FFB94">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废气治理</w:t>
                  </w:r>
                </w:p>
              </w:tc>
              <w:tc>
                <w:tcPr>
                  <w:tcW w:w="3530" w:type="pct"/>
                  <w:tcBorders>
                    <w:top w:val="single" w:color="auto" w:sz="6" w:space="0"/>
                    <w:bottom w:val="single" w:color="auto" w:sz="4" w:space="0"/>
                    <w:right w:val="nil"/>
                  </w:tcBorders>
                  <w:noWrap w:val="0"/>
                  <w:vAlign w:val="center"/>
                </w:tcPr>
                <w:p w14:paraId="1E7E8308">
                  <w:pPr>
                    <w:pStyle w:val="170"/>
                    <w:jc w:val="both"/>
                    <w:rPr>
                      <w:rFonts w:hint="default" w:ascii="Times New Roman" w:hAnsi="Times New Roman" w:cs="Times New Roman"/>
                      <w:color w:val="auto"/>
                      <w:sz w:val="21"/>
                      <w:szCs w:val="21"/>
                    </w:rPr>
                  </w:pPr>
                  <w:r>
                    <w:rPr>
                      <w:rFonts w:hint="default" w:ascii="Times New Roman" w:hAnsi="Times New Roman" w:cs="Times New Roman"/>
                      <w:color w:val="auto"/>
                      <w:kern w:val="2"/>
                      <w:sz w:val="21"/>
                      <w:szCs w:val="21"/>
                      <w:lang w:val="en-US" w:eastAsia="zh-CN" w:bidi="ar-SA"/>
                    </w:rPr>
                    <w:t>①筛分、制粉工序</w:t>
                  </w:r>
                  <w:r>
                    <w:rPr>
                      <w:rFonts w:hint="default" w:ascii="Times New Roman" w:hAnsi="Times New Roman" w:cs="Times New Roman"/>
                      <w:color w:val="auto"/>
                      <w:sz w:val="21"/>
                      <w:szCs w:val="21"/>
                      <w:lang w:val="en-US" w:eastAsia="zh-CN"/>
                    </w:rPr>
                    <w:t>粉尘经</w:t>
                  </w:r>
                  <w:r>
                    <w:rPr>
                      <w:rFonts w:hint="default" w:ascii="Times New Roman" w:hAnsi="Times New Roman" w:cs="Times New Roman"/>
                      <w:color w:val="auto"/>
                      <w:sz w:val="21"/>
                      <w:szCs w:val="21"/>
                    </w:rPr>
                    <w:t>收集后引至袋式除尘器</w:t>
                  </w:r>
                  <w:r>
                    <w:rPr>
                      <w:rFonts w:hint="default" w:ascii="Times New Roman" w:hAnsi="Times New Roman" w:cs="Times New Roman"/>
                      <w:color w:val="auto"/>
                      <w:sz w:val="21"/>
                      <w:szCs w:val="21"/>
                      <w:lang w:val="en-US" w:eastAsia="zh-CN"/>
                    </w:rPr>
                    <w:t>处置后，通过</w:t>
                  </w:r>
                  <w:r>
                    <w:rPr>
                      <w:rFonts w:hint="default" w:ascii="Times New Roman" w:hAnsi="Times New Roman" w:cs="Times New Roman"/>
                      <w:color w:val="auto"/>
                      <w:sz w:val="21"/>
                      <w:szCs w:val="21"/>
                    </w:rPr>
                    <w:t>1根15m高排气筒（DA001）</w:t>
                  </w:r>
                  <w:r>
                    <w:rPr>
                      <w:rFonts w:hint="default" w:ascii="Times New Roman" w:hAnsi="Times New Roman" w:cs="Times New Roman"/>
                      <w:color w:val="auto"/>
                      <w:sz w:val="21"/>
                      <w:szCs w:val="21"/>
                      <w:lang w:val="en-US" w:eastAsia="zh-CN"/>
                    </w:rPr>
                    <w:t>高空</w:t>
                  </w:r>
                  <w:r>
                    <w:rPr>
                      <w:rFonts w:hint="default" w:ascii="Times New Roman" w:hAnsi="Times New Roman" w:cs="Times New Roman"/>
                      <w:color w:val="auto"/>
                      <w:sz w:val="21"/>
                      <w:szCs w:val="21"/>
                    </w:rPr>
                    <w:t>排放。</w:t>
                  </w:r>
                </w:p>
                <w:p w14:paraId="2915C2DA">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②天然气燃烧废气经低氮燃烧处置后通过15m高排气筒（DA002）排放。</w:t>
                  </w:r>
                </w:p>
                <w:p w14:paraId="0FDF55AC">
                  <w:pPr>
                    <w:pStyle w:val="17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③烘干废气经布袋除尘器处置后，通过</w:t>
                  </w:r>
                  <w:r>
                    <w:rPr>
                      <w:rFonts w:hint="default" w:ascii="Times New Roman" w:hAnsi="Times New Roman" w:cs="Times New Roman"/>
                      <w:color w:val="auto"/>
                      <w:sz w:val="21"/>
                      <w:szCs w:val="21"/>
                    </w:rPr>
                    <w:t>1根15m高排气筒（DA00</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高空</w:t>
                  </w:r>
                  <w:r>
                    <w:rPr>
                      <w:rFonts w:hint="default" w:ascii="Times New Roman" w:hAnsi="Times New Roman" w:cs="Times New Roman"/>
                      <w:color w:val="auto"/>
                      <w:sz w:val="21"/>
                      <w:szCs w:val="21"/>
                    </w:rPr>
                    <w:t>排放。</w:t>
                  </w:r>
                </w:p>
              </w:tc>
            </w:tr>
            <w:tr w14:paraId="7A727C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continue"/>
                  <w:tcBorders>
                    <w:left w:val="nil"/>
                  </w:tcBorders>
                  <w:noWrap w:val="0"/>
                  <w:vAlign w:val="center"/>
                </w:tcPr>
                <w:p w14:paraId="30365688">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1044" w:type="pct"/>
                  <w:gridSpan w:val="2"/>
                  <w:tcBorders>
                    <w:top w:val="single" w:color="auto" w:sz="6" w:space="0"/>
                    <w:bottom w:val="single" w:color="auto" w:sz="6" w:space="0"/>
                  </w:tcBorders>
                  <w:noWrap w:val="0"/>
                  <w:vAlign w:val="center"/>
                </w:tcPr>
                <w:p w14:paraId="5E4D7AD6">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噪声治理</w:t>
                  </w:r>
                </w:p>
              </w:tc>
              <w:tc>
                <w:tcPr>
                  <w:tcW w:w="3530" w:type="pct"/>
                  <w:tcBorders>
                    <w:top w:val="single" w:color="auto" w:sz="4" w:space="0"/>
                    <w:bottom w:val="single" w:color="auto" w:sz="6" w:space="0"/>
                    <w:right w:val="nil"/>
                  </w:tcBorders>
                  <w:noWrap w:val="0"/>
                  <w:vAlign w:val="center"/>
                </w:tcPr>
                <w:p w14:paraId="71F961C4">
                  <w:pPr>
                    <w:pStyle w:val="210"/>
                    <w:keepNext w:val="0"/>
                    <w:keepLines w:val="0"/>
                    <w:pageBreakBefore w:val="0"/>
                    <w:kinsoku/>
                    <w:wordWrap/>
                    <w:overflowPunct/>
                    <w:topLinePunct w:val="0"/>
                    <w:bidi w:val="0"/>
                    <w:snapToGrid w:val="0"/>
                    <w:spacing w:line="240" w:lineRule="auto"/>
                    <w:ind w:right="0" w:firstLine="0" w:firstLineChars="0"/>
                    <w:jc w:val="both"/>
                    <w:textAlignment w:val="auto"/>
                    <w:rPr>
                      <w:rFonts w:hint="default" w:ascii="Times New Roman" w:hAnsi="Times New Roman" w:eastAsia="宋体" w:cs="Times New Roman"/>
                      <w:color w:val="auto"/>
                      <w:sz w:val="21"/>
                      <w:szCs w:val="21"/>
                      <w:lang w:val="en-GB" w:eastAsia="zh-CN"/>
                    </w:rPr>
                  </w:pPr>
                  <w:r>
                    <w:rPr>
                      <w:rFonts w:hint="default" w:ascii="Times New Roman" w:hAnsi="Times New Roman" w:eastAsia="宋体" w:cs="Times New Roman"/>
                      <w:color w:val="auto"/>
                      <w:sz w:val="21"/>
                      <w:szCs w:val="21"/>
                      <w:lang w:val="en-GB" w:eastAsia="zh-CN"/>
                    </w:rPr>
                    <w:t>选用低噪声设备，风机进出口软连接，并设置减振基础、采取车间隔声等降噪措施</w:t>
                  </w:r>
                </w:p>
              </w:tc>
            </w:tr>
            <w:tr w14:paraId="265EC30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4" w:type="pct"/>
                  <w:vMerge w:val="continue"/>
                  <w:tcBorders>
                    <w:left w:val="nil"/>
                  </w:tcBorders>
                  <w:noWrap w:val="0"/>
                  <w:vAlign w:val="center"/>
                </w:tcPr>
                <w:p w14:paraId="28D1E2FA">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1044" w:type="pct"/>
                  <w:gridSpan w:val="2"/>
                  <w:tcBorders>
                    <w:top w:val="single" w:color="auto" w:sz="6" w:space="0"/>
                  </w:tcBorders>
                  <w:noWrap w:val="0"/>
                  <w:vAlign w:val="center"/>
                </w:tcPr>
                <w:p w14:paraId="2EF12B29">
                  <w:pPr>
                    <w:pStyle w:val="210"/>
                    <w:keepNext w:val="0"/>
                    <w:keepLines w:val="0"/>
                    <w:pageBreakBefore w:val="0"/>
                    <w:kinsoku/>
                    <w:wordWrap/>
                    <w:overflowPunct/>
                    <w:topLinePunct w:val="0"/>
                    <w:bidi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固体废物</w:t>
                  </w:r>
                </w:p>
              </w:tc>
              <w:tc>
                <w:tcPr>
                  <w:tcW w:w="3530" w:type="pct"/>
                  <w:tcBorders>
                    <w:top w:val="single" w:color="auto" w:sz="6" w:space="0"/>
                    <w:right w:val="nil"/>
                  </w:tcBorders>
                  <w:noWrap w:val="0"/>
                  <w:vAlign w:val="center"/>
                </w:tcPr>
                <w:p w14:paraId="7FFEA54C">
                  <w:pPr>
                    <w:pStyle w:val="210"/>
                    <w:keepNext w:val="0"/>
                    <w:keepLines w:val="0"/>
                    <w:pageBreakBefore w:val="0"/>
                    <w:kinsoku/>
                    <w:wordWrap/>
                    <w:overflowPunct/>
                    <w:topLinePunct w:val="0"/>
                    <w:bidi w:val="0"/>
                    <w:snapToGrid w:val="0"/>
                    <w:spacing w:line="240" w:lineRule="auto"/>
                    <w:ind w:right="0" w:firstLine="0" w:firstLineChars="0"/>
                    <w:jc w:val="both"/>
                    <w:textAlignment w:val="auto"/>
                    <w:rPr>
                      <w:rFonts w:hint="default" w:ascii="Times New Roman" w:hAnsi="Times New Roman" w:eastAsia="宋体" w:cs="Times New Roman"/>
                      <w:color w:val="auto"/>
                      <w:sz w:val="21"/>
                      <w:szCs w:val="21"/>
                      <w:lang w:val="en-GB" w:eastAsia="zh-CN"/>
                    </w:rPr>
                  </w:pPr>
                  <w:r>
                    <w:rPr>
                      <w:rFonts w:hint="default" w:ascii="Times New Roman" w:hAnsi="Times New Roman" w:eastAsia="宋体" w:cs="Times New Roman"/>
                      <w:color w:val="auto"/>
                      <w:sz w:val="21"/>
                      <w:szCs w:val="21"/>
                      <w:lang w:val="en-GB" w:eastAsia="zh-CN"/>
                    </w:rPr>
                    <w:t>厂区内设置生活垃圾桶，统一收集后，委托环卫部门每日清运处置；</w:t>
                  </w:r>
                  <w:r>
                    <w:rPr>
                      <w:rFonts w:hint="default" w:ascii="Times New Roman" w:hAnsi="Times New Roman" w:eastAsia="宋体" w:cs="Times New Roman"/>
                      <w:color w:val="auto"/>
                      <w:sz w:val="21"/>
                      <w:szCs w:val="21"/>
                      <w:lang w:val="en-US" w:eastAsia="zh-CN"/>
                    </w:rPr>
                    <w:t>一般工业固废，集中收集后综合回收利用。</w:t>
                  </w:r>
                </w:p>
              </w:tc>
            </w:tr>
          </w:tbl>
          <w:p w14:paraId="3E7E64E5">
            <w:pPr>
              <w:widowControl/>
              <w:spacing w:before="120" w:beforeLines="50" w:line="360" w:lineRule="auto"/>
              <w:jc w:val="left"/>
              <w:outlineLvl w:val="3"/>
              <w:rPr>
                <w:rFonts w:ascii="Times New Roman" w:hAnsi="Times New Roman"/>
                <w:b/>
                <w:bCs/>
                <w:color w:val="auto"/>
                <w:sz w:val="24"/>
                <w:szCs w:val="24"/>
              </w:rPr>
            </w:pPr>
            <w:r>
              <w:rPr>
                <w:rFonts w:ascii="Times New Roman" w:hAnsi="Times New Roman"/>
                <w:b/>
                <w:color w:val="auto"/>
                <w:kern w:val="0"/>
                <w:sz w:val="24"/>
                <w:szCs w:val="24"/>
                <w:lang w:bidi="en-US"/>
              </w:rPr>
              <w:t>2.1.4</w:t>
            </w:r>
            <w:r>
              <w:rPr>
                <w:rFonts w:ascii="Times New Roman" w:hAnsi="Times New Roman"/>
                <w:b/>
                <w:bCs/>
                <w:color w:val="auto"/>
                <w:sz w:val="24"/>
                <w:szCs w:val="24"/>
              </w:rPr>
              <w:t>产品方案</w:t>
            </w:r>
          </w:p>
          <w:p w14:paraId="45FB8D3E">
            <w:pPr>
              <w:widowControl/>
              <w:spacing w:line="360" w:lineRule="auto"/>
              <w:ind w:firstLine="480" w:firstLineChars="200"/>
              <w:jc w:val="left"/>
              <w:rPr>
                <w:rFonts w:ascii="Times New Roman" w:hAnsi="Times New Roman"/>
                <w:color w:val="auto"/>
                <w:kern w:val="0"/>
                <w:sz w:val="24"/>
                <w:szCs w:val="24"/>
                <w:lang w:bidi="en-US"/>
              </w:rPr>
            </w:pPr>
            <w:r>
              <w:rPr>
                <w:rFonts w:ascii="Times New Roman" w:hAnsi="Times New Roman"/>
                <w:color w:val="auto"/>
                <w:kern w:val="0"/>
                <w:sz w:val="24"/>
                <w:szCs w:val="24"/>
                <w:lang w:bidi="en-US"/>
              </w:rPr>
              <w:t>本项目产品详见</w:t>
            </w:r>
            <w:r>
              <w:rPr>
                <w:rFonts w:hint="eastAsia" w:ascii="Times New Roman" w:hAnsi="Times New Roman"/>
                <w:color w:val="auto"/>
                <w:kern w:val="0"/>
                <w:sz w:val="24"/>
                <w:szCs w:val="24"/>
                <w:lang w:val="en-US" w:eastAsia="zh-CN" w:bidi="en-US"/>
              </w:rPr>
              <w:t>下表</w:t>
            </w:r>
            <w:r>
              <w:rPr>
                <w:rFonts w:ascii="Times New Roman" w:hAnsi="Times New Roman"/>
                <w:color w:val="auto"/>
                <w:kern w:val="0"/>
                <w:sz w:val="24"/>
                <w:szCs w:val="24"/>
                <w:lang w:bidi="en-US"/>
              </w:rPr>
              <w:t>。</w:t>
            </w:r>
          </w:p>
          <w:p w14:paraId="7CAB73D6">
            <w:pPr>
              <w:widowControl/>
              <w:spacing w:line="360" w:lineRule="auto"/>
              <w:ind w:firstLine="480" w:firstLineChars="200"/>
              <w:jc w:val="left"/>
              <w:rPr>
                <w:rFonts w:ascii="Times New Roman" w:hAnsi="Times New Roman"/>
                <w:color w:val="auto"/>
                <w:kern w:val="0"/>
                <w:sz w:val="24"/>
                <w:szCs w:val="24"/>
                <w:lang w:bidi="en-US"/>
              </w:rPr>
            </w:pPr>
          </w:p>
          <w:p w14:paraId="7FFD1B1F">
            <w:pPr>
              <w:numPr>
                <w:ilvl w:val="0"/>
                <w:numId w:val="8"/>
              </w:numPr>
              <w:spacing w:before="120" w:beforeLines="50"/>
              <w:jc w:val="center"/>
              <w:rPr>
                <w:rFonts w:ascii="Times New Roman" w:hAnsi="Times New Roman"/>
                <w:b/>
                <w:color w:val="auto"/>
                <w:sz w:val="24"/>
                <w:szCs w:val="24"/>
              </w:rPr>
            </w:pPr>
            <w:bookmarkStart w:id="7" w:name="_Ref68032010"/>
            <w:r>
              <w:rPr>
                <w:rFonts w:ascii="Times New Roman" w:hAnsi="Times New Roman"/>
                <w:b/>
                <w:color w:val="auto"/>
                <w:sz w:val="24"/>
                <w:szCs w:val="24"/>
              </w:rPr>
              <w:t>产品方案一览表</w:t>
            </w:r>
            <w:bookmarkEnd w:id="7"/>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2815"/>
              <w:gridCol w:w="1752"/>
              <w:gridCol w:w="2440"/>
            </w:tblGrid>
            <w:tr w14:paraId="5165B0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pct"/>
                  <w:tcBorders>
                    <w:tl2br w:val="nil"/>
                    <w:tr2bl w:val="nil"/>
                  </w:tcBorders>
                  <w:noWrap w:val="0"/>
                  <w:vAlign w:val="center"/>
                </w:tcPr>
                <w:p w14:paraId="2D29401E">
                  <w:pPr>
                    <w:jc w:val="center"/>
                    <w:rPr>
                      <w:rFonts w:ascii="Times New Roman" w:hAnsi="Times New Roman"/>
                      <w:color w:val="auto"/>
                      <w:szCs w:val="21"/>
                    </w:rPr>
                  </w:pPr>
                  <w:r>
                    <w:rPr>
                      <w:rFonts w:ascii="Times New Roman" w:hAnsi="Times New Roman"/>
                      <w:color w:val="auto"/>
                      <w:szCs w:val="21"/>
                    </w:rPr>
                    <w:t>序号</w:t>
                  </w:r>
                </w:p>
              </w:tc>
              <w:tc>
                <w:tcPr>
                  <w:tcW w:w="1676" w:type="pct"/>
                  <w:tcBorders>
                    <w:right w:val="single" w:color="000000" w:sz="4" w:space="0"/>
                    <w:tl2br w:val="nil"/>
                    <w:tr2bl w:val="nil"/>
                  </w:tcBorders>
                  <w:noWrap w:val="0"/>
                  <w:vAlign w:val="center"/>
                </w:tcPr>
                <w:p w14:paraId="798249DE">
                  <w:pPr>
                    <w:jc w:val="center"/>
                    <w:rPr>
                      <w:rFonts w:ascii="Times New Roman" w:hAnsi="Times New Roman"/>
                      <w:color w:val="auto"/>
                      <w:szCs w:val="21"/>
                    </w:rPr>
                  </w:pPr>
                  <w:r>
                    <w:rPr>
                      <w:rFonts w:ascii="Times New Roman" w:hAnsi="Times New Roman"/>
                      <w:color w:val="auto"/>
                      <w:szCs w:val="21"/>
                    </w:rPr>
                    <w:t>产品名称</w:t>
                  </w:r>
                </w:p>
              </w:tc>
              <w:tc>
                <w:tcPr>
                  <w:tcW w:w="1043" w:type="pct"/>
                  <w:tcBorders>
                    <w:tl2br w:val="nil"/>
                    <w:tr2bl w:val="nil"/>
                  </w:tcBorders>
                  <w:noWrap w:val="0"/>
                  <w:vAlign w:val="center"/>
                </w:tcPr>
                <w:p w14:paraId="06A61834">
                  <w:pPr>
                    <w:jc w:val="center"/>
                    <w:rPr>
                      <w:rFonts w:hint="eastAsia" w:ascii="Times New Roman" w:hAnsi="Times New Roman" w:eastAsia="宋体"/>
                      <w:color w:val="auto"/>
                      <w:szCs w:val="21"/>
                      <w:lang w:eastAsia="zh-CN"/>
                    </w:rPr>
                  </w:pPr>
                  <w:r>
                    <w:rPr>
                      <w:rFonts w:hint="eastAsia"/>
                      <w:color w:val="auto"/>
                      <w:lang w:val="en-US" w:eastAsia="zh-CN"/>
                    </w:rPr>
                    <w:t>处置</w:t>
                  </w:r>
                  <w:r>
                    <w:rPr>
                      <w:rFonts w:ascii="Times New Roman" w:hAnsi="Times New Roman"/>
                      <w:color w:val="auto"/>
                    </w:rPr>
                    <w:t>量</w:t>
                  </w:r>
                  <w:r>
                    <w:rPr>
                      <w:rFonts w:hint="eastAsia"/>
                      <w:color w:val="auto"/>
                      <w:lang w:eastAsia="zh-CN"/>
                    </w:rPr>
                    <w:t>（</w:t>
                  </w:r>
                  <w:r>
                    <w:rPr>
                      <w:rFonts w:hint="eastAsia"/>
                      <w:color w:val="auto"/>
                      <w:lang w:val="en-US" w:eastAsia="zh-CN"/>
                    </w:rPr>
                    <w:t>t/a</w:t>
                  </w:r>
                  <w:r>
                    <w:rPr>
                      <w:rFonts w:hint="eastAsia"/>
                      <w:color w:val="auto"/>
                      <w:lang w:eastAsia="zh-CN"/>
                    </w:rPr>
                    <w:t>）</w:t>
                  </w:r>
                </w:p>
              </w:tc>
              <w:tc>
                <w:tcPr>
                  <w:tcW w:w="1453" w:type="pct"/>
                  <w:tcBorders>
                    <w:tl2br w:val="nil"/>
                    <w:tr2bl w:val="nil"/>
                  </w:tcBorders>
                  <w:noWrap w:val="0"/>
                  <w:vAlign w:val="center"/>
                </w:tcPr>
                <w:p w14:paraId="2F9F1A27">
                  <w:pPr>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备注</w:t>
                  </w:r>
                </w:p>
              </w:tc>
            </w:tr>
            <w:tr w14:paraId="587A73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27" w:type="pct"/>
                  <w:tcBorders>
                    <w:tl2br w:val="nil"/>
                    <w:tr2bl w:val="nil"/>
                  </w:tcBorders>
                  <w:noWrap w:val="0"/>
                  <w:vAlign w:val="center"/>
                </w:tcPr>
                <w:p w14:paraId="7F386248">
                  <w:pPr>
                    <w:jc w:val="center"/>
                    <w:rPr>
                      <w:rFonts w:ascii="Times New Roman" w:hAnsi="Times New Roman"/>
                      <w:color w:val="auto"/>
                      <w:szCs w:val="21"/>
                    </w:rPr>
                  </w:pPr>
                  <w:bookmarkStart w:id="8" w:name="OLE_LINK3" w:colFirst="1" w:colLast="2"/>
                  <w:r>
                    <w:rPr>
                      <w:rFonts w:ascii="Times New Roman" w:hAnsi="Times New Roman"/>
                      <w:color w:val="auto"/>
                      <w:szCs w:val="21"/>
                    </w:rPr>
                    <w:t>1</w:t>
                  </w:r>
                </w:p>
              </w:tc>
              <w:tc>
                <w:tcPr>
                  <w:tcW w:w="1676" w:type="pct"/>
                  <w:tcBorders>
                    <w:right w:val="single" w:color="000000" w:sz="4" w:space="0"/>
                    <w:tl2br w:val="nil"/>
                    <w:tr2bl w:val="nil"/>
                  </w:tcBorders>
                  <w:noWrap w:val="0"/>
                  <w:vAlign w:val="center"/>
                </w:tcPr>
                <w:p w14:paraId="74C3BAF1">
                  <w:pPr>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碳粉</w:t>
                  </w:r>
                </w:p>
              </w:tc>
              <w:tc>
                <w:tcPr>
                  <w:tcW w:w="1043" w:type="pct"/>
                  <w:tcBorders>
                    <w:tl2br w:val="nil"/>
                    <w:tr2bl w:val="nil"/>
                  </w:tcBorders>
                  <w:noWrap w:val="0"/>
                  <w:vAlign w:val="center"/>
                </w:tcPr>
                <w:p w14:paraId="451E5E5F">
                  <w:pPr>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1.5</w:t>
                  </w:r>
                  <w:r>
                    <w:rPr>
                      <w:rFonts w:hint="eastAsia"/>
                      <w:color w:val="auto"/>
                      <w:lang w:val="en-US" w:eastAsia="zh-CN"/>
                    </w:rPr>
                    <w:t>万</w:t>
                  </w:r>
                </w:p>
              </w:tc>
              <w:tc>
                <w:tcPr>
                  <w:tcW w:w="1453" w:type="pct"/>
                  <w:tcBorders>
                    <w:tl2br w:val="nil"/>
                    <w:tr2bl w:val="nil"/>
                  </w:tcBorders>
                  <w:noWrap w:val="0"/>
                  <w:vAlign w:val="center"/>
                </w:tcPr>
                <w:p w14:paraId="1AEC96F9">
                  <w:pPr>
                    <w:jc w:val="center"/>
                    <w:rPr>
                      <w:rFonts w:hint="default" w:ascii="Times New Roman" w:hAnsi="Times New Roman"/>
                      <w:color w:val="auto"/>
                      <w:sz w:val="21"/>
                      <w:szCs w:val="21"/>
                      <w:lang w:val="en-US" w:eastAsia="zh-CN"/>
                    </w:rPr>
                  </w:pPr>
                  <w:r>
                    <w:rPr>
                      <w:rFonts w:hint="eastAsia" w:cs="Times New Roman"/>
                      <w:color w:val="auto"/>
                      <w:lang w:val="en-US" w:eastAsia="zh-CN"/>
                    </w:rPr>
                    <w:t>粉末状，含水率约5%</w:t>
                  </w:r>
                </w:p>
              </w:tc>
            </w:tr>
            <w:bookmarkEnd w:id="8"/>
          </w:tbl>
          <w:p w14:paraId="1D3A4FF8">
            <w:pPr>
              <w:widowControl/>
              <w:spacing w:before="120" w:beforeLines="50" w:line="360" w:lineRule="auto"/>
              <w:jc w:val="left"/>
              <w:outlineLvl w:val="3"/>
              <w:rPr>
                <w:rFonts w:ascii="Times New Roman" w:hAnsi="Times New Roman"/>
                <w:b/>
                <w:color w:val="auto"/>
                <w:kern w:val="0"/>
                <w:sz w:val="24"/>
                <w:szCs w:val="24"/>
                <w:lang w:bidi="en-US"/>
              </w:rPr>
            </w:pPr>
            <w:r>
              <w:rPr>
                <w:rFonts w:ascii="Times New Roman" w:hAnsi="Times New Roman"/>
                <w:b/>
                <w:color w:val="auto"/>
                <w:kern w:val="0"/>
                <w:sz w:val="24"/>
                <w:szCs w:val="24"/>
                <w:lang w:bidi="en-US"/>
              </w:rPr>
              <w:t>2.1.</w:t>
            </w:r>
            <w:r>
              <w:rPr>
                <w:rFonts w:hint="eastAsia" w:ascii="Times New Roman" w:hAnsi="Times New Roman"/>
                <w:b/>
                <w:color w:val="auto"/>
                <w:kern w:val="0"/>
                <w:sz w:val="24"/>
                <w:szCs w:val="24"/>
                <w:lang w:val="en-US" w:eastAsia="zh-CN" w:bidi="en-US"/>
              </w:rPr>
              <w:t>5</w:t>
            </w:r>
            <w:r>
              <w:rPr>
                <w:rFonts w:ascii="Times New Roman" w:hAnsi="Times New Roman"/>
                <w:b/>
                <w:color w:val="auto"/>
                <w:kern w:val="0"/>
                <w:sz w:val="24"/>
                <w:szCs w:val="24"/>
                <w:lang w:bidi="en-US"/>
              </w:rPr>
              <w:t>原辅料及能源消耗</w:t>
            </w:r>
          </w:p>
          <w:p w14:paraId="18585321">
            <w:pPr>
              <w:widowControl/>
              <w:spacing w:line="360" w:lineRule="auto"/>
              <w:ind w:firstLine="480" w:firstLineChars="200"/>
              <w:jc w:val="left"/>
              <w:rPr>
                <w:rFonts w:ascii="Times New Roman" w:hAnsi="Times New Roman"/>
                <w:color w:val="auto"/>
                <w:kern w:val="0"/>
                <w:sz w:val="24"/>
                <w:szCs w:val="24"/>
                <w:lang w:bidi="en-US"/>
              </w:rPr>
            </w:pPr>
            <w:r>
              <w:rPr>
                <w:rFonts w:ascii="Times New Roman" w:hAnsi="Times New Roman"/>
                <w:color w:val="auto"/>
                <w:kern w:val="0"/>
                <w:sz w:val="24"/>
                <w:szCs w:val="24"/>
                <w:lang w:bidi="en-US"/>
              </w:rPr>
              <w:t>主要原辅材料及能源用量见</w:t>
            </w:r>
            <w:r>
              <w:rPr>
                <w:rFonts w:hint="eastAsia" w:ascii="Times New Roman" w:hAnsi="Times New Roman"/>
                <w:color w:val="auto"/>
                <w:kern w:val="0"/>
                <w:sz w:val="24"/>
                <w:szCs w:val="24"/>
                <w:lang w:val="en-US" w:eastAsia="zh-CN" w:bidi="en-US"/>
              </w:rPr>
              <w:t>下表</w:t>
            </w:r>
            <w:r>
              <w:rPr>
                <w:rFonts w:ascii="Times New Roman" w:hAnsi="Times New Roman"/>
                <w:color w:val="auto"/>
                <w:kern w:val="0"/>
                <w:sz w:val="24"/>
                <w:szCs w:val="24"/>
                <w:lang w:bidi="en-US"/>
              </w:rPr>
              <w:t>。</w:t>
            </w:r>
          </w:p>
          <w:p w14:paraId="158473D4">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rPr>
                <w:rFonts w:ascii="Times New Roman" w:hAnsi="Times New Roman"/>
                <w:b/>
                <w:color w:val="auto"/>
                <w:sz w:val="24"/>
                <w:szCs w:val="24"/>
              </w:rPr>
            </w:pPr>
            <w:r>
              <w:rPr>
                <w:rFonts w:ascii="Times New Roman" w:hAnsi="Times New Roman"/>
                <w:b/>
                <w:color w:val="auto"/>
                <w:sz w:val="24"/>
                <w:szCs w:val="24"/>
              </w:rPr>
              <w:t xml:space="preserve"> </w:t>
            </w:r>
            <w:bookmarkStart w:id="9" w:name="_Ref68034670"/>
            <w:r>
              <w:rPr>
                <w:rFonts w:ascii="Times New Roman" w:hAnsi="Times New Roman"/>
                <w:b/>
                <w:color w:val="auto"/>
                <w:sz w:val="24"/>
                <w:szCs w:val="24"/>
              </w:rPr>
              <w:t>原辅料</w:t>
            </w:r>
            <w:r>
              <w:rPr>
                <w:rFonts w:hint="eastAsia"/>
                <w:b/>
                <w:color w:val="auto"/>
                <w:sz w:val="24"/>
                <w:szCs w:val="24"/>
                <w:lang w:eastAsia="zh-CN"/>
              </w:rPr>
              <w:t>、</w:t>
            </w:r>
            <w:r>
              <w:rPr>
                <w:rFonts w:hint="eastAsia"/>
                <w:b/>
                <w:color w:val="auto"/>
                <w:sz w:val="24"/>
                <w:szCs w:val="24"/>
                <w:lang w:val="en-US" w:eastAsia="zh-CN"/>
              </w:rPr>
              <w:t>能源</w:t>
            </w:r>
            <w:r>
              <w:rPr>
                <w:rFonts w:ascii="Times New Roman" w:hAnsi="Times New Roman"/>
                <w:b/>
                <w:color w:val="auto"/>
                <w:sz w:val="24"/>
                <w:szCs w:val="24"/>
              </w:rPr>
              <w:t>消耗表</w:t>
            </w:r>
            <w:bookmarkEnd w:id="9"/>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14"/>
              <w:gridCol w:w="1478"/>
              <w:gridCol w:w="1710"/>
              <w:gridCol w:w="2574"/>
            </w:tblGrid>
            <w:tr w14:paraId="13682D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7" w:type="pct"/>
                  <w:tcBorders>
                    <w:tl2br w:val="nil"/>
                    <w:tr2bl w:val="nil"/>
                  </w:tcBorders>
                  <w:noWrap w:val="0"/>
                  <w:vAlign w:val="center"/>
                </w:tcPr>
                <w:p w14:paraId="6C5F79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序号</w:t>
                  </w:r>
                </w:p>
              </w:tc>
              <w:tc>
                <w:tcPr>
                  <w:tcW w:w="961" w:type="pct"/>
                  <w:tcBorders>
                    <w:tl2br w:val="nil"/>
                    <w:tr2bl w:val="nil"/>
                  </w:tcBorders>
                  <w:noWrap w:val="0"/>
                  <w:vAlign w:val="center"/>
                </w:tcPr>
                <w:p w14:paraId="0F0F8F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原辅材料</w:t>
                  </w:r>
                </w:p>
              </w:tc>
              <w:tc>
                <w:tcPr>
                  <w:tcW w:w="880" w:type="pct"/>
                  <w:tcBorders>
                    <w:right w:val="single" w:color="000000" w:sz="4" w:space="0"/>
                    <w:tl2br w:val="nil"/>
                    <w:tr2bl w:val="nil"/>
                  </w:tcBorders>
                  <w:noWrap w:val="0"/>
                  <w:vAlign w:val="center"/>
                </w:tcPr>
                <w:p w14:paraId="423134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最大贮存量</w:t>
                  </w:r>
                </w:p>
              </w:tc>
              <w:tc>
                <w:tcPr>
                  <w:tcW w:w="1018" w:type="pct"/>
                  <w:tcBorders>
                    <w:left w:val="single" w:color="000000" w:sz="4" w:space="0"/>
                    <w:tl2br w:val="nil"/>
                    <w:tr2bl w:val="nil"/>
                  </w:tcBorders>
                  <w:noWrap w:val="0"/>
                  <w:vAlign w:val="center"/>
                </w:tcPr>
                <w:p w14:paraId="56565B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年用量</w:t>
                  </w:r>
                  <w:r>
                    <w:rPr>
                      <w:rFonts w:hint="eastAsia" w:cs="Times New Roman"/>
                      <w:b/>
                      <w:bCs/>
                      <w:color w:val="auto"/>
                      <w:sz w:val="21"/>
                      <w:szCs w:val="21"/>
                      <w:vertAlign w:val="baseline"/>
                      <w:lang w:eastAsia="zh-CN"/>
                    </w:rPr>
                    <w:t>（</w:t>
                  </w:r>
                  <w:r>
                    <w:rPr>
                      <w:rFonts w:hint="eastAsia" w:cs="Times New Roman"/>
                      <w:b/>
                      <w:bCs/>
                      <w:color w:val="auto"/>
                      <w:sz w:val="21"/>
                      <w:szCs w:val="21"/>
                      <w:vertAlign w:val="baseline"/>
                      <w:lang w:val="en-US" w:eastAsia="zh-CN"/>
                    </w:rPr>
                    <w:t>t</w:t>
                  </w:r>
                  <w:r>
                    <w:rPr>
                      <w:rFonts w:hint="eastAsia" w:cs="Times New Roman"/>
                      <w:b/>
                      <w:bCs/>
                      <w:color w:val="auto"/>
                      <w:sz w:val="21"/>
                      <w:szCs w:val="21"/>
                      <w:vertAlign w:val="baseline"/>
                      <w:lang w:eastAsia="zh-CN"/>
                    </w:rPr>
                    <w:t>）</w:t>
                  </w:r>
                </w:p>
              </w:tc>
              <w:tc>
                <w:tcPr>
                  <w:tcW w:w="1532" w:type="pct"/>
                  <w:tcBorders>
                    <w:left w:val="single" w:color="000000" w:sz="4" w:space="0"/>
                    <w:tl2br w:val="nil"/>
                    <w:tr2bl w:val="nil"/>
                  </w:tcBorders>
                  <w:noWrap w:val="0"/>
                  <w:vAlign w:val="center"/>
                </w:tcPr>
                <w:p w14:paraId="2BFC83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val="en-US" w:eastAsia="zh-CN"/>
                    </w:rPr>
                    <w:t>备注</w:t>
                  </w:r>
                </w:p>
              </w:tc>
            </w:tr>
            <w:tr w14:paraId="3F2123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7" w:type="pct"/>
                  <w:tcBorders>
                    <w:tl2br w:val="nil"/>
                    <w:tr2bl w:val="nil"/>
                  </w:tcBorders>
                  <w:noWrap w:val="0"/>
                  <w:vAlign w:val="center"/>
                </w:tcPr>
                <w:p w14:paraId="00FD8DB2">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961" w:type="pct"/>
                  <w:tcBorders>
                    <w:tl2br w:val="nil"/>
                    <w:tr2bl w:val="nil"/>
                  </w:tcBorders>
                  <w:shd w:val="clear" w:color="auto" w:fill="auto"/>
                  <w:noWrap w:val="0"/>
                  <w:vAlign w:val="center"/>
                </w:tcPr>
                <w:p w14:paraId="54EDA69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生物质炭渣</w:t>
                  </w:r>
                </w:p>
              </w:tc>
              <w:tc>
                <w:tcPr>
                  <w:tcW w:w="880" w:type="pct"/>
                  <w:tcBorders>
                    <w:right w:val="single" w:color="000000" w:sz="4" w:space="0"/>
                    <w:tl2br w:val="nil"/>
                    <w:tr2bl w:val="nil"/>
                  </w:tcBorders>
                  <w:noWrap w:val="0"/>
                  <w:vAlign w:val="center"/>
                </w:tcPr>
                <w:p w14:paraId="35F40D7C">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1000t</w:t>
                  </w:r>
                </w:p>
              </w:tc>
              <w:tc>
                <w:tcPr>
                  <w:tcW w:w="1018" w:type="pct"/>
                  <w:tcBorders>
                    <w:left w:val="single" w:color="000000" w:sz="4" w:space="0"/>
                    <w:tl2br w:val="nil"/>
                    <w:tr2bl w:val="nil"/>
                  </w:tcBorders>
                  <w:noWrap w:val="0"/>
                  <w:vAlign w:val="center"/>
                </w:tcPr>
                <w:p w14:paraId="4E0B45F5">
                  <w:pPr>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35000</w:t>
                  </w:r>
                </w:p>
              </w:tc>
              <w:tc>
                <w:tcPr>
                  <w:tcW w:w="1532" w:type="pct"/>
                  <w:tcBorders>
                    <w:left w:val="single" w:color="000000" w:sz="4" w:space="0"/>
                    <w:tl2br w:val="nil"/>
                    <w:tr2bl w:val="nil"/>
                  </w:tcBorders>
                  <w:noWrap w:val="0"/>
                  <w:vAlign w:val="center"/>
                </w:tcPr>
                <w:p w14:paraId="048EFDDD">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外购原料</w:t>
                  </w:r>
                  <w:r>
                    <w:rPr>
                      <w:rFonts w:hint="eastAsia" w:cs="Times New Roman"/>
                      <w:color w:val="auto"/>
                      <w:kern w:val="2"/>
                      <w:sz w:val="21"/>
                      <w:szCs w:val="21"/>
                      <w:lang w:val="en-US" w:eastAsia="zh-CN" w:bidi="ar-SA"/>
                    </w:rPr>
                    <w:t>，袋装，含水率约55%</w:t>
                  </w:r>
                  <w:r>
                    <w:rPr>
                      <w:rFonts w:hint="eastAsia"/>
                      <w:color w:val="auto"/>
                      <w:lang w:eastAsia="zh-CN"/>
                    </w:rPr>
                    <w:t>，</w:t>
                  </w:r>
                  <w:r>
                    <w:rPr>
                      <w:rFonts w:hint="eastAsia"/>
                      <w:color w:val="auto"/>
                      <w:lang w:val="en-US" w:eastAsia="zh-CN"/>
                    </w:rPr>
                    <w:t>含铁杂质5%，石子5%</w:t>
                  </w:r>
                </w:p>
              </w:tc>
            </w:tr>
            <w:tr w14:paraId="689953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7" w:type="pct"/>
                  <w:tcBorders>
                    <w:tl2br w:val="nil"/>
                    <w:tr2bl w:val="nil"/>
                  </w:tcBorders>
                  <w:noWrap w:val="0"/>
                  <w:vAlign w:val="center"/>
                </w:tcPr>
                <w:p w14:paraId="45B0D107">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961" w:type="pct"/>
                  <w:tcBorders>
                    <w:tl2br w:val="nil"/>
                    <w:tr2bl w:val="nil"/>
                  </w:tcBorders>
                  <w:shd w:val="clear" w:color="auto" w:fill="auto"/>
                  <w:noWrap w:val="0"/>
                  <w:vAlign w:val="center"/>
                </w:tcPr>
                <w:p w14:paraId="03B8B1D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新鲜水</w:t>
                  </w:r>
                </w:p>
              </w:tc>
              <w:tc>
                <w:tcPr>
                  <w:tcW w:w="880" w:type="pct"/>
                  <w:tcBorders>
                    <w:right w:val="single" w:color="000000" w:sz="4" w:space="0"/>
                    <w:tl2br w:val="nil"/>
                    <w:tr2bl w:val="nil"/>
                  </w:tcBorders>
                  <w:noWrap w:val="0"/>
                  <w:vAlign w:val="center"/>
                </w:tcPr>
                <w:p w14:paraId="5F2572E4">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1018" w:type="pct"/>
                  <w:tcBorders>
                    <w:left w:val="single" w:color="000000" w:sz="4" w:space="0"/>
                    <w:tl2br w:val="nil"/>
                    <w:tr2bl w:val="nil"/>
                  </w:tcBorders>
                  <w:noWrap w:val="0"/>
                  <w:vAlign w:val="center"/>
                </w:tcPr>
                <w:p w14:paraId="1035BC4E">
                  <w:pPr>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450</w:t>
                  </w:r>
                </w:p>
              </w:tc>
              <w:tc>
                <w:tcPr>
                  <w:tcW w:w="1532" w:type="pct"/>
                  <w:tcBorders>
                    <w:left w:val="single" w:color="000000" w:sz="4" w:space="0"/>
                    <w:tl2br w:val="nil"/>
                    <w:tr2bl w:val="nil"/>
                  </w:tcBorders>
                  <w:noWrap w:val="0"/>
                  <w:vAlign w:val="center"/>
                </w:tcPr>
                <w:p w14:paraId="1CC8235A">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市政供给</w:t>
                  </w:r>
                </w:p>
              </w:tc>
            </w:tr>
            <w:tr w14:paraId="797283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7" w:type="pct"/>
                  <w:tcBorders>
                    <w:tl2br w:val="nil"/>
                    <w:tr2bl w:val="nil"/>
                  </w:tcBorders>
                  <w:noWrap w:val="0"/>
                  <w:vAlign w:val="center"/>
                </w:tcPr>
                <w:p w14:paraId="7E18FD34">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961" w:type="pct"/>
                  <w:tcBorders>
                    <w:tl2br w:val="nil"/>
                    <w:tr2bl w:val="nil"/>
                  </w:tcBorders>
                  <w:shd w:val="clear" w:color="auto" w:fill="auto"/>
                  <w:noWrap w:val="0"/>
                  <w:vAlign w:val="center"/>
                </w:tcPr>
                <w:p w14:paraId="11711B12">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电</w:t>
                  </w:r>
                </w:p>
              </w:tc>
              <w:tc>
                <w:tcPr>
                  <w:tcW w:w="880" w:type="pct"/>
                  <w:tcBorders>
                    <w:right w:val="single" w:color="000000" w:sz="4" w:space="0"/>
                    <w:tl2br w:val="nil"/>
                    <w:tr2bl w:val="nil"/>
                  </w:tcBorders>
                  <w:noWrap w:val="0"/>
                  <w:vAlign w:val="center"/>
                </w:tcPr>
                <w:p w14:paraId="5E00A76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1018" w:type="pct"/>
                  <w:tcBorders>
                    <w:left w:val="single" w:color="000000" w:sz="4" w:space="0"/>
                    <w:tl2br w:val="nil"/>
                    <w:tr2bl w:val="nil"/>
                  </w:tcBorders>
                  <w:noWrap w:val="0"/>
                  <w:vAlign w:val="center"/>
                </w:tcPr>
                <w:p w14:paraId="6EBCF51A">
                  <w:pPr>
                    <w:jc w:val="center"/>
                    <w:rPr>
                      <w:rFonts w:hint="eastAsia"/>
                      <w:color w:val="auto"/>
                      <w:lang w:val="en-US" w:eastAsia="zh-CN"/>
                    </w:rPr>
                  </w:pPr>
                  <w:r>
                    <w:rPr>
                      <w:rFonts w:hint="eastAsia"/>
                      <w:color w:val="auto"/>
                      <w:lang w:val="en-US" w:eastAsia="zh-CN"/>
                    </w:rPr>
                    <w:t>35</w:t>
                  </w:r>
                  <w:r>
                    <w:rPr>
                      <w:color w:val="auto"/>
                    </w:rPr>
                    <w:t>万kwh/a</w:t>
                  </w:r>
                </w:p>
              </w:tc>
              <w:tc>
                <w:tcPr>
                  <w:tcW w:w="1532" w:type="pct"/>
                  <w:tcBorders>
                    <w:left w:val="single" w:color="000000" w:sz="4" w:space="0"/>
                    <w:tl2br w:val="nil"/>
                    <w:tr2bl w:val="nil"/>
                  </w:tcBorders>
                  <w:noWrap w:val="0"/>
                  <w:vAlign w:val="center"/>
                </w:tcPr>
                <w:p w14:paraId="5D40B6F8">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市政供给</w:t>
                  </w:r>
                </w:p>
              </w:tc>
            </w:tr>
            <w:tr w14:paraId="0816D0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7" w:type="pct"/>
                  <w:tcBorders>
                    <w:tl2br w:val="nil"/>
                    <w:tr2bl w:val="nil"/>
                  </w:tcBorders>
                  <w:noWrap w:val="0"/>
                  <w:vAlign w:val="center"/>
                </w:tcPr>
                <w:p w14:paraId="5CF5DC25">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961" w:type="pct"/>
                  <w:tcBorders>
                    <w:tl2br w:val="nil"/>
                    <w:tr2bl w:val="nil"/>
                  </w:tcBorders>
                  <w:shd w:val="clear" w:color="auto" w:fill="auto"/>
                  <w:noWrap w:val="0"/>
                  <w:vAlign w:val="center"/>
                </w:tcPr>
                <w:p w14:paraId="47267B0A">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天然气</w:t>
                  </w:r>
                </w:p>
              </w:tc>
              <w:tc>
                <w:tcPr>
                  <w:tcW w:w="880" w:type="pct"/>
                  <w:tcBorders>
                    <w:right w:val="single" w:color="000000" w:sz="4" w:space="0"/>
                    <w:tl2br w:val="nil"/>
                    <w:tr2bl w:val="nil"/>
                  </w:tcBorders>
                  <w:noWrap w:val="0"/>
                  <w:vAlign w:val="center"/>
                </w:tcPr>
                <w:p w14:paraId="280AC211">
                  <w:pPr>
                    <w:jc w:val="center"/>
                    <w:rPr>
                      <w:rFonts w:hint="default"/>
                      <w:color w:val="auto"/>
                      <w:lang w:val="en-US" w:eastAsia="zh-CN"/>
                    </w:rPr>
                  </w:pPr>
                  <w:r>
                    <w:rPr>
                      <w:rFonts w:hint="eastAsia"/>
                      <w:color w:val="auto"/>
                      <w:lang w:val="en-US" w:eastAsia="zh-CN"/>
                    </w:rPr>
                    <w:t>8640立方米（约6t）</w:t>
                  </w:r>
                </w:p>
              </w:tc>
              <w:tc>
                <w:tcPr>
                  <w:tcW w:w="1018" w:type="pct"/>
                  <w:tcBorders>
                    <w:left w:val="single" w:color="000000" w:sz="4" w:space="0"/>
                    <w:tl2br w:val="nil"/>
                    <w:tr2bl w:val="nil"/>
                  </w:tcBorders>
                  <w:noWrap w:val="0"/>
                  <w:vAlign w:val="center"/>
                </w:tcPr>
                <w:p w14:paraId="0A9CAD7E">
                  <w:pPr>
                    <w:jc w:val="center"/>
                    <w:rPr>
                      <w:rFonts w:hint="eastAsia"/>
                      <w:color w:val="auto"/>
                      <w:lang w:val="en-US" w:eastAsia="zh-CN"/>
                    </w:rPr>
                  </w:pPr>
                  <w:r>
                    <w:rPr>
                      <w:rFonts w:hint="eastAsia"/>
                      <w:color w:val="auto"/>
                      <w:lang w:val="en-US" w:eastAsia="zh-CN"/>
                    </w:rPr>
                    <w:t>50万立方米</w:t>
                  </w:r>
                </w:p>
              </w:tc>
              <w:tc>
                <w:tcPr>
                  <w:tcW w:w="1532" w:type="pct"/>
                  <w:tcBorders>
                    <w:left w:val="single" w:color="000000" w:sz="4" w:space="0"/>
                    <w:tl2br w:val="nil"/>
                    <w:tr2bl w:val="nil"/>
                  </w:tcBorders>
                  <w:noWrap w:val="0"/>
                  <w:vAlign w:val="center"/>
                </w:tcPr>
                <w:p w14:paraId="670E7197">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外购，0.5m</w:t>
                  </w:r>
                  <w:r>
                    <w:rPr>
                      <w:color w:val="auto"/>
                      <w:vertAlign w:val="superscript"/>
                    </w:rPr>
                    <w:t>3</w:t>
                  </w:r>
                  <w:r>
                    <w:rPr>
                      <w:rFonts w:hint="eastAsia" w:cs="Times New Roman"/>
                      <w:color w:val="auto"/>
                      <w:kern w:val="2"/>
                      <w:sz w:val="21"/>
                      <w:szCs w:val="21"/>
                      <w:lang w:val="en-US" w:eastAsia="zh-CN" w:bidi="ar-SA"/>
                    </w:rPr>
                    <w:t>罐装</w:t>
                  </w:r>
                </w:p>
              </w:tc>
            </w:tr>
          </w:tbl>
          <w:p w14:paraId="132A8176">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rPr>
                <w:rFonts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天然气</w:t>
            </w:r>
            <w:r>
              <w:rPr>
                <w:rFonts w:ascii="Times New Roman" w:hAnsi="Times New Roman"/>
                <w:b/>
                <w:color w:val="auto"/>
                <w:sz w:val="24"/>
                <w:szCs w:val="24"/>
                <w:lang w:val="en-US" w:eastAsia="zh-CN"/>
              </w:rPr>
              <w:t>组分一览表</w:t>
            </w:r>
          </w:p>
          <w:tbl>
            <w:tblPr>
              <w:tblStyle w:val="29"/>
              <w:tblW w:w="836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1460"/>
              <w:gridCol w:w="4030"/>
            </w:tblGrid>
            <w:tr w14:paraId="56F2F2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27DB8EFE">
                  <w:pPr>
                    <w:pStyle w:val="210"/>
                    <w:spacing w:line="240" w:lineRule="auto"/>
                    <w:ind w:firstLine="0" w:firstLineChars="0"/>
                    <w:rPr>
                      <w:color w:val="auto"/>
                    </w:rPr>
                  </w:pPr>
                  <w:r>
                    <w:rPr>
                      <w:color w:val="auto"/>
                    </w:rPr>
                    <w:t>检测项目</w:t>
                  </w:r>
                </w:p>
              </w:tc>
              <w:tc>
                <w:tcPr>
                  <w:tcW w:w="1460" w:type="dxa"/>
                  <w:noWrap/>
                  <w:vAlign w:val="center"/>
                </w:tcPr>
                <w:p w14:paraId="536D950F">
                  <w:pPr>
                    <w:pStyle w:val="210"/>
                    <w:spacing w:line="240" w:lineRule="auto"/>
                    <w:ind w:firstLine="0" w:firstLineChars="0"/>
                    <w:rPr>
                      <w:color w:val="auto"/>
                    </w:rPr>
                  </w:pPr>
                  <w:r>
                    <w:rPr>
                      <w:color w:val="auto"/>
                    </w:rPr>
                    <w:t>单位</w:t>
                  </w:r>
                </w:p>
              </w:tc>
              <w:tc>
                <w:tcPr>
                  <w:tcW w:w="4030" w:type="dxa"/>
                  <w:noWrap/>
                  <w:vAlign w:val="center"/>
                </w:tcPr>
                <w:p w14:paraId="1AC59BBC">
                  <w:pPr>
                    <w:pStyle w:val="210"/>
                    <w:spacing w:line="240" w:lineRule="auto"/>
                    <w:ind w:firstLine="0" w:firstLineChars="0"/>
                    <w:rPr>
                      <w:color w:val="auto"/>
                    </w:rPr>
                  </w:pPr>
                  <w:r>
                    <w:rPr>
                      <w:color w:val="auto"/>
                    </w:rPr>
                    <w:t>数值</w:t>
                  </w:r>
                </w:p>
              </w:tc>
            </w:tr>
            <w:tr w14:paraId="079854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12E1EB02">
                  <w:pPr>
                    <w:pStyle w:val="210"/>
                    <w:spacing w:line="240" w:lineRule="auto"/>
                    <w:ind w:firstLine="0" w:firstLineChars="0"/>
                    <w:rPr>
                      <w:color w:val="auto"/>
                    </w:rPr>
                  </w:pPr>
                  <w:r>
                    <w:rPr>
                      <w:color w:val="auto"/>
                    </w:rPr>
                    <w:t>甲烷</w:t>
                  </w:r>
                </w:p>
              </w:tc>
              <w:tc>
                <w:tcPr>
                  <w:tcW w:w="1460" w:type="dxa"/>
                  <w:noWrap/>
                  <w:vAlign w:val="center"/>
                </w:tcPr>
                <w:p w14:paraId="6EC27E05">
                  <w:pPr>
                    <w:pStyle w:val="210"/>
                    <w:spacing w:line="240" w:lineRule="auto"/>
                    <w:ind w:firstLine="0" w:firstLineChars="0"/>
                    <w:rPr>
                      <w:color w:val="auto"/>
                    </w:rPr>
                  </w:pPr>
                  <w:r>
                    <w:rPr>
                      <w:color w:val="auto"/>
                    </w:rPr>
                    <w:t>%Mol</w:t>
                  </w:r>
                </w:p>
              </w:tc>
              <w:tc>
                <w:tcPr>
                  <w:tcW w:w="4030" w:type="dxa"/>
                  <w:noWrap/>
                  <w:vAlign w:val="center"/>
                </w:tcPr>
                <w:p w14:paraId="673CBACD">
                  <w:pPr>
                    <w:pStyle w:val="210"/>
                    <w:spacing w:line="240" w:lineRule="auto"/>
                    <w:ind w:firstLine="0" w:firstLineChars="0"/>
                    <w:rPr>
                      <w:color w:val="auto"/>
                    </w:rPr>
                  </w:pPr>
                  <w:r>
                    <w:rPr>
                      <w:rFonts w:hint="eastAsia"/>
                      <w:color w:val="auto"/>
                    </w:rPr>
                    <w:t>95.78</w:t>
                  </w:r>
                </w:p>
              </w:tc>
            </w:tr>
            <w:tr w14:paraId="52C351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140D6F9F">
                  <w:pPr>
                    <w:pStyle w:val="210"/>
                    <w:spacing w:line="240" w:lineRule="auto"/>
                    <w:ind w:firstLine="0" w:firstLineChars="0"/>
                    <w:rPr>
                      <w:color w:val="auto"/>
                    </w:rPr>
                  </w:pPr>
                  <w:r>
                    <w:rPr>
                      <w:color w:val="auto"/>
                    </w:rPr>
                    <w:t>乙烷</w:t>
                  </w:r>
                </w:p>
              </w:tc>
              <w:tc>
                <w:tcPr>
                  <w:tcW w:w="1460" w:type="dxa"/>
                  <w:noWrap/>
                  <w:vAlign w:val="center"/>
                </w:tcPr>
                <w:p w14:paraId="279C233D">
                  <w:pPr>
                    <w:pStyle w:val="210"/>
                    <w:spacing w:line="240" w:lineRule="auto"/>
                    <w:ind w:firstLine="0" w:firstLineChars="0"/>
                    <w:rPr>
                      <w:color w:val="auto"/>
                    </w:rPr>
                  </w:pPr>
                  <w:r>
                    <w:rPr>
                      <w:color w:val="auto"/>
                    </w:rPr>
                    <w:t>%Mol</w:t>
                  </w:r>
                </w:p>
              </w:tc>
              <w:tc>
                <w:tcPr>
                  <w:tcW w:w="4030" w:type="dxa"/>
                  <w:noWrap/>
                  <w:vAlign w:val="center"/>
                </w:tcPr>
                <w:p w14:paraId="66584952">
                  <w:pPr>
                    <w:pStyle w:val="210"/>
                    <w:spacing w:line="240" w:lineRule="auto"/>
                    <w:ind w:firstLine="0" w:firstLineChars="0"/>
                    <w:rPr>
                      <w:color w:val="auto"/>
                    </w:rPr>
                  </w:pPr>
                  <w:r>
                    <w:rPr>
                      <w:rFonts w:hint="eastAsia"/>
                      <w:color w:val="auto"/>
                    </w:rPr>
                    <w:t>3.98</w:t>
                  </w:r>
                </w:p>
              </w:tc>
            </w:tr>
            <w:tr w14:paraId="040A60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1590BCA2">
                  <w:pPr>
                    <w:pStyle w:val="210"/>
                    <w:spacing w:line="240" w:lineRule="auto"/>
                    <w:ind w:firstLine="0" w:firstLineChars="0"/>
                    <w:rPr>
                      <w:color w:val="auto"/>
                    </w:rPr>
                  </w:pPr>
                  <w:r>
                    <w:rPr>
                      <w:color w:val="auto"/>
                    </w:rPr>
                    <w:t>丙烷</w:t>
                  </w:r>
                </w:p>
              </w:tc>
              <w:tc>
                <w:tcPr>
                  <w:tcW w:w="1460" w:type="dxa"/>
                  <w:noWrap/>
                  <w:vAlign w:val="center"/>
                </w:tcPr>
                <w:p w14:paraId="6BC858A9">
                  <w:pPr>
                    <w:pStyle w:val="210"/>
                    <w:spacing w:line="240" w:lineRule="auto"/>
                    <w:ind w:firstLine="0" w:firstLineChars="0"/>
                    <w:rPr>
                      <w:color w:val="auto"/>
                    </w:rPr>
                  </w:pPr>
                  <w:r>
                    <w:rPr>
                      <w:color w:val="auto"/>
                    </w:rPr>
                    <w:t>%Mol</w:t>
                  </w:r>
                </w:p>
              </w:tc>
              <w:tc>
                <w:tcPr>
                  <w:tcW w:w="4030" w:type="dxa"/>
                  <w:noWrap/>
                  <w:vAlign w:val="center"/>
                </w:tcPr>
                <w:p w14:paraId="5A668644">
                  <w:pPr>
                    <w:pStyle w:val="210"/>
                    <w:spacing w:line="240" w:lineRule="auto"/>
                    <w:ind w:firstLine="0" w:firstLineChars="0"/>
                    <w:rPr>
                      <w:color w:val="auto"/>
                    </w:rPr>
                  </w:pPr>
                  <w:r>
                    <w:rPr>
                      <w:rFonts w:hint="eastAsia"/>
                      <w:color w:val="auto"/>
                    </w:rPr>
                    <w:t>0.16</w:t>
                  </w:r>
                </w:p>
              </w:tc>
            </w:tr>
            <w:tr w14:paraId="215AF4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05EEED5B">
                  <w:pPr>
                    <w:pStyle w:val="210"/>
                    <w:spacing w:line="240" w:lineRule="auto"/>
                    <w:ind w:firstLine="0" w:firstLineChars="0"/>
                    <w:rPr>
                      <w:color w:val="auto"/>
                    </w:rPr>
                  </w:pPr>
                  <w:r>
                    <w:rPr>
                      <w:color w:val="auto"/>
                    </w:rPr>
                    <w:t>异丁烷</w:t>
                  </w:r>
                </w:p>
              </w:tc>
              <w:tc>
                <w:tcPr>
                  <w:tcW w:w="1460" w:type="dxa"/>
                  <w:noWrap/>
                  <w:vAlign w:val="center"/>
                </w:tcPr>
                <w:p w14:paraId="56AB7000">
                  <w:pPr>
                    <w:pStyle w:val="210"/>
                    <w:spacing w:line="240" w:lineRule="auto"/>
                    <w:ind w:firstLine="0" w:firstLineChars="0"/>
                    <w:rPr>
                      <w:color w:val="auto"/>
                    </w:rPr>
                  </w:pPr>
                  <w:r>
                    <w:rPr>
                      <w:color w:val="auto"/>
                    </w:rPr>
                    <w:t>%Mol</w:t>
                  </w:r>
                </w:p>
              </w:tc>
              <w:tc>
                <w:tcPr>
                  <w:tcW w:w="4030" w:type="dxa"/>
                  <w:noWrap/>
                  <w:vAlign w:val="center"/>
                </w:tcPr>
                <w:p w14:paraId="274B1148">
                  <w:pPr>
                    <w:pStyle w:val="210"/>
                    <w:spacing w:line="240" w:lineRule="auto"/>
                    <w:ind w:firstLine="0" w:firstLineChars="0"/>
                    <w:rPr>
                      <w:color w:val="auto"/>
                    </w:rPr>
                  </w:pPr>
                  <w:r>
                    <w:rPr>
                      <w:rFonts w:hint="eastAsia"/>
                      <w:color w:val="auto"/>
                    </w:rPr>
                    <w:t>0.02</w:t>
                  </w:r>
                </w:p>
              </w:tc>
            </w:tr>
            <w:tr w14:paraId="750482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3679EDBA">
                  <w:pPr>
                    <w:pStyle w:val="210"/>
                    <w:spacing w:line="240" w:lineRule="auto"/>
                    <w:ind w:firstLine="0" w:firstLineChars="0"/>
                    <w:rPr>
                      <w:color w:val="auto"/>
                    </w:rPr>
                  </w:pPr>
                  <w:r>
                    <w:rPr>
                      <w:color w:val="auto"/>
                    </w:rPr>
                    <w:t>正丁烷</w:t>
                  </w:r>
                </w:p>
              </w:tc>
              <w:tc>
                <w:tcPr>
                  <w:tcW w:w="1460" w:type="dxa"/>
                  <w:noWrap/>
                  <w:vAlign w:val="center"/>
                </w:tcPr>
                <w:p w14:paraId="2D3F1D28">
                  <w:pPr>
                    <w:pStyle w:val="210"/>
                    <w:spacing w:line="240" w:lineRule="auto"/>
                    <w:ind w:firstLine="0" w:firstLineChars="0"/>
                    <w:rPr>
                      <w:color w:val="auto"/>
                    </w:rPr>
                  </w:pPr>
                  <w:r>
                    <w:rPr>
                      <w:color w:val="auto"/>
                    </w:rPr>
                    <w:t>%Mol</w:t>
                  </w:r>
                </w:p>
              </w:tc>
              <w:tc>
                <w:tcPr>
                  <w:tcW w:w="4030" w:type="dxa"/>
                  <w:noWrap/>
                  <w:vAlign w:val="center"/>
                </w:tcPr>
                <w:p w14:paraId="353D2396">
                  <w:pPr>
                    <w:pStyle w:val="210"/>
                    <w:spacing w:line="240" w:lineRule="auto"/>
                    <w:ind w:firstLine="0" w:firstLineChars="0"/>
                    <w:rPr>
                      <w:color w:val="auto"/>
                    </w:rPr>
                  </w:pPr>
                  <w:r>
                    <w:rPr>
                      <w:rFonts w:hint="eastAsia"/>
                      <w:color w:val="auto"/>
                    </w:rPr>
                    <w:t>0.01</w:t>
                  </w:r>
                </w:p>
              </w:tc>
            </w:tr>
            <w:tr w14:paraId="089E20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70BB2658">
                  <w:pPr>
                    <w:pStyle w:val="210"/>
                    <w:spacing w:line="240" w:lineRule="auto"/>
                    <w:ind w:firstLine="0" w:firstLineChars="0"/>
                    <w:rPr>
                      <w:color w:val="auto"/>
                    </w:rPr>
                  </w:pPr>
                  <w:r>
                    <w:rPr>
                      <w:color w:val="auto"/>
                    </w:rPr>
                    <w:t>异戊烷</w:t>
                  </w:r>
                </w:p>
              </w:tc>
              <w:tc>
                <w:tcPr>
                  <w:tcW w:w="1460" w:type="dxa"/>
                  <w:noWrap/>
                  <w:vAlign w:val="center"/>
                </w:tcPr>
                <w:p w14:paraId="6D24FE8F">
                  <w:pPr>
                    <w:pStyle w:val="210"/>
                    <w:spacing w:line="240" w:lineRule="auto"/>
                    <w:ind w:firstLine="0" w:firstLineChars="0"/>
                    <w:rPr>
                      <w:color w:val="auto"/>
                    </w:rPr>
                  </w:pPr>
                  <w:r>
                    <w:rPr>
                      <w:color w:val="auto"/>
                    </w:rPr>
                    <w:t>%Mol</w:t>
                  </w:r>
                </w:p>
              </w:tc>
              <w:tc>
                <w:tcPr>
                  <w:tcW w:w="4030" w:type="dxa"/>
                  <w:noWrap/>
                  <w:vAlign w:val="center"/>
                </w:tcPr>
                <w:p w14:paraId="2B5743DD">
                  <w:pPr>
                    <w:pStyle w:val="210"/>
                    <w:spacing w:line="240" w:lineRule="auto"/>
                    <w:ind w:firstLine="0" w:firstLineChars="0"/>
                    <w:rPr>
                      <w:color w:val="auto"/>
                    </w:rPr>
                  </w:pPr>
                  <w:r>
                    <w:rPr>
                      <w:rFonts w:hint="eastAsia"/>
                      <w:color w:val="auto"/>
                    </w:rPr>
                    <w:t>0.00</w:t>
                  </w:r>
                </w:p>
              </w:tc>
            </w:tr>
            <w:tr w14:paraId="2C395E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45D4D5C2">
                  <w:pPr>
                    <w:pStyle w:val="210"/>
                    <w:spacing w:line="240" w:lineRule="auto"/>
                    <w:ind w:firstLine="0" w:firstLineChars="0"/>
                    <w:rPr>
                      <w:color w:val="auto"/>
                    </w:rPr>
                  </w:pPr>
                  <w:r>
                    <w:rPr>
                      <w:color w:val="auto"/>
                    </w:rPr>
                    <w:t>正戊烷</w:t>
                  </w:r>
                </w:p>
              </w:tc>
              <w:tc>
                <w:tcPr>
                  <w:tcW w:w="1460" w:type="dxa"/>
                  <w:noWrap/>
                  <w:vAlign w:val="center"/>
                </w:tcPr>
                <w:p w14:paraId="23FB5C82">
                  <w:pPr>
                    <w:pStyle w:val="210"/>
                    <w:spacing w:line="240" w:lineRule="auto"/>
                    <w:ind w:firstLine="0" w:firstLineChars="0"/>
                    <w:rPr>
                      <w:color w:val="auto"/>
                    </w:rPr>
                  </w:pPr>
                  <w:r>
                    <w:rPr>
                      <w:color w:val="auto"/>
                    </w:rPr>
                    <w:t>%Mol</w:t>
                  </w:r>
                </w:p>
              </w:tc>
              <w:tc>
                <w:tcPr>
                  <w:tcW w:w="4030" w:type="dxa"/>
                  <w:noWrap/>
                  <w:vAlign w:val="center"/>
                </w:tcPr>
                <w:p w14:paraId="271A5A01">
                  <w:pPr>
                    <w:pStyle w:val="210"/>
                    <w:spacing w:line="240" w:lineRule="auto"/>
                    <w:ind w:firstLine="0" w:firstLineChars="0"/>
                    <w:rPr>
                      <w:color w:val="auto"/>
                    </w:rPr>
                  </w:pPr>
                  <w:r>
                    <w:rPr>
                      <w:rFonts w:hint="eastAsia"/>
                      <w:color w:val="auto"/>
                    </w:rPr>
                    <w:t>0.00</w:t>
                  </w:r>
                </w:p>
              </w:tc>
            </w:tr>
            <w:tr w14:paraId="1316E2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39BA5528">
                  <w:pPr>
                    <w:pStyle w:val="210"/>
                    <w:spacing w:line="240" w:lineRule="auto"/>
                    <w:ind w:firstLine="0" w:firstLineChars="0"/>
                    <w:rPr>
                      <w:color w:val="auto"/>
                    </w:rPr>
                  </w:pPr>
                  <w:r>
                    <w:rPr>
                      <w:color w:val="auto"/>
                    </w:rPr>
                    <w:t>碳6+</w:t>
                  </w:r>
                </w:p>
              </w:tc>
              <w:tc>
                <w:tcPr>
                  <w:tcW w:w="1460" w:type="dxa"/>
                  <w:noWrap/>
                  <w:vAlign w:val="center"/>
                </w:tcPr>
                <w:p w14:paraId="4033C340">
                  <w:pPr>
                    <w:pStyle w:val="210"/>
                    <w:spacing w:line="240" w:lineRule="auto"/>
                    <w:ind w:firstLine="0" w:firstLineChars="0"/>
                    <w:rPr>
                      <w:color w:val="auto"/>
                    </w:rPr>
                  </w:pPr>
                  <w:r>
                    <w:rPr>
                      <w:color w:val="auto"/>
                    </w:rPr>
                    <w:t>%Mol</w:t>
                  </w:r>
                </w:p>
              </w:tc>
              <w:tc>
                <w:tcPr>
                  <w:tcW w:w="4030" w:type="dxa"/>
                  <w:noWrap/>
                  <w:vAlign w:val="center"/>
                </w:tcPr>
                <w:p w14:paraId="7E52E9E0">
                  <w:pPr>
                    <w:pStyle w:val="210"/>
                    <w:spacing w:line="240" w:lineRule="auto"/>
                    <w:ind w:firstLine="0" w:firstLineChars="0"/>
                    <w:rPr>
                      <w:color w:val="auto"/>
                    </w:rPr>
                  </w:pPr>
                  <w:r>
                    <w:rPr>
                      <w:rFonts w:hint="eastAsia"/>
                      <w:color w:val="auto"/>
                    </w:rPr>
                    <w:t>0.00</w:t>
                  </w:r>
                </w:p>
              </w:tc>
            </w:tr>
            <w:tr w14:paraId="2FD879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40857C78">
                  <w:pPr>
                    <w:pStyle w:val="210"/>
                    <w:spacing w:line="240" w:lineRule="auto"/>
                    <w:ind w:firstLine="0" w:firstLineChars="0"/>
                    <w:rPr>
                      <w:color w:val="auto"/>
                    </w:rPr>
                  </w:pPr>
                  <w:r>
                    <w:rPr>
                      <w:color w:val="auto"/>
                    </w:rPr>
                    <w:t>氮</w:t>
                  </w:r>
                </w:p>
              </w:tc>
              <w:tc>
                <w:tcPr>
                  <w:tcW w:w="1460" w:type="dxa"/>
                  <w:noWrap/>
                  <w:vAlign w:val="center"/>
                </w:tcPr>
                <w:p w14:paraId="588C63E4">
                  <w:pPr>
                    <w:pStyle w:val="210"/>
                    <w:spacing w:line="240" w:lineRule="auto"/>
                    <w:ind w:firstLine="0" w:firstLineChars="0"/>
                    <w:rPr>
                      <w:color w:val="auto"/>
                    </w:rPr>
                  </w:pPr>
                  <w:r>
                    <w:rPr>
                      <w:color w:val="auto"/>
                    </w:rPr>
                    <w:t>%Mol</w:t>
                  </w:r>
                </w:p>
              </w:tc>
              <w:tc>
                <w:tcPr>
                  <w:tcW w:w="4030" w:type="dxa"/>
                  <w:noWrap/>
                  <w:vAlign w:val="center"/>
                </w:tcPr>
                <w:p w14:paraId="0EEBC75C">
                  <w:pPr>
                    <w:pStyle w:val="210"/>
                    <w:spacing w:line="240" w:lineRule="auto"/>
                    <w:ind w:firstLine="0" w:firstLineChars="0"/>
                    <w:rPr>
                      <w:color w:val="auto"/>
                    </w:rPr>
                  </w:pPr>
                  <w:r>
                    <w:rPr>
                      <w:rFonts w:hint="eastAsia"/>
                      <w:color w:val="auto"/>
                    </w:rPr>
                    <w:t>0.05</w:t>
                  </w:r>
                </w:p>
              </w:tc>
            </w:tr>
            <w:tr w14:paraId="748D62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215CE36D">
                  <w:pPr>
                    <w:pStyle w:val="210"/>
                    <w:spacing w:line="240" w:lineRule="auto"/>
                    <w:ind w:firstLine="0" w:firstLineChars="0"/>
                    <w:rPr>
                      <w:color w:val="auto"/>
                    </w:rPr>
                  </w:pPr>
                  <w:r>
                    <w:rPr>
                      <w:color w:val="auto"/>
                    </w:rPr>
                    <w:t>氧</w:t>
                  </w:r>
                </w:p>
              </w:tc>
              <w:tc>
                <w:tcPr>
                  <w:tcW w:w="1460" w:type="dxa"/>
                  <w:noWrap/>
                  <w:vAlign w:val="center"/>
                </w:tcPr>
                <w:p w14:paraId="5F659945">
                  <w:pPr>
                    <w:pStyle w:val="210"/>
                    <w:spacing w:line="240" w:lineRule="auto"/>
                    <w:ind w:firstLine="0" w:firstLineChars="0"/>
                    <w:rPr>
                      <w:color w:val="auto"/>
                    </w:rPr>
                  </w:pPr>
                  <w:r>
                    <w:rPr>
                      <w:color w:val="auto"/>
                    </w:rPr>
                    <w:t>%Mol</w:t>
                  </w:r>
                </w:p>
              </w:tc>
              <w:tc>
                <w:tcPr>
                  <w:tcW w:w="4030" w:type="dxa"/>
                  <w:noWrap/>
                  <w:vAlign w:val="center"/>
                </w:tcPr>
                <w:p w14:paraId="17E5AC65">
                  <w:pPr>
                    <w:pStyle w:val="210"/>
                    <w:spacing w:line="240" w:lineRule="auto"/>
                    <w:ind w:firstLine="0" w:firstLineChars="0"/>
                    <w:rPr>
                      <w:color w:val="auto"/>
                    </w:rPr>
                  </w:pPr>
                  <w:r>
                    <w:rPr>
                      <w:rFonts w:hint="eastAsia"/>
                      <w:color w:val="auto"/>
                    </w:rPr>
                    <w:t>0.00</w:t>
                  </w:r>
                </w:p>
              </w:tc>
            </w:tr>
            <w:tr w14:paraId="2EB986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28D66F21">
                  <w:pPr>
                    <w:pStyle w:val="210"/>
                    <w:spacing w:line="240" w:lineRule="auto"/>
                    <w:ind w:firstLine="0" w:firstLineChars="0"/>
                    <w:rPr>
                      <w:color w:val="auto"/>
                    </w:rPr>
                  </w:pPr>
                  <w:r>
                    <w:rPr>
                      <w:color w:val="auto"/>
                    </w:rPr>
                    <w:t>二氧化碳</w:t>
                  </w:r>
                </w:p>
              </w:tc>
              <w:tc>
                <w:tcPr>
                  <w:tcW w:w="1460" w:type="dxa"/>
                  <w:noWrap w:val="0"/>
                  <w:vAlign w:val="center"/>
                </w:tcPr>
                <w:p w14:paraId="70FF2BE9">
                  <w:pPr>
                    <w:pStyle w:val="210"/>
                    <w:spacing w:line="240" w:lineRule="auto"/>
                    <w:ind w:firstLine="0" w:firstLineChars="0"/>
                    <w:rPr>
                      <w:color w:val="auto"/>
                    </w:rPr>
                  </w:pPr>
                  <w:r>
                    <w:rPr>
                      <w:color w:val="auto"/>
                    </w:rPr>
                    <w:t>%Mol</w:t>
                  </w:r>
                </w:p>
              </w:tc>
              <w:tc>
                <w:tcPr>
                  <w:tcW w:w="4030" w:type="dxa"/>
                  <w:noWrap/>
                  <w:vAlign w:val="center"/>
                </w:tcPr>
                <w:p w14:paraId="2DB9FD9A">
                  <w:pPr>
                    <w:pStyle w:val="210"/>
                    <w:spacing w:line="240" w:lineRule="auto"/>
                    <w:ind w:firstLine="0" w:firstLineChars="0"/>
                    <w:rPr>
                      <w:color w:val="auto"/>
                    </w:rPr>
                  </w:pPr>
                  <w:r>
                    <w:rPr>
                      <w:rFonts w:hint="eastAsia"/>
                      <w:color w:val="auto"/>
                    </w:rPr>
                    <w:t>0.00</w:t>
                  </w:r>
                </w:p>
              </w:tc>
            </w:tr>
            <w:tr w14:paraId="042B98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7960C3AA">
                  <w:pPr>
                    <w:pStyle w:val="210"/>
                    <w:spacing w:line="240" w:lineRule="auto"/>
                    <w:ind w:firstLine="0" w:firstLineChars="0"/>
                    <w:rPr>
                      <w:color w:val="auto"/>
                    </w:rPr>
                  </w:pPr>
                  <w:r>
                    <w:rPr>
                      <w:color w:val="auto"/>
                    </w:rPr>
                    <w:t>气化比</w:t>
                  </w:r>
                </w:p>
              </w:tc>
              <w:tc>
                <w:tcPr>
                  <w:tcW w:w="1460" w:type="dxa"/>
                  <w:noWrap/>
                  <w:vAlign w:val="center"/>
                </w:tcPr>
                <w:p w14:paraId="56B7C891">
                  <w:pPr>
                    <w:pStyle w:val="210"/>
                    <w:spacing w:line="240" w:lineRule="auto"/>
                    <w:ind w:firstLine="0" w:firstLineChars="0"/>
                    <w:rPr>
                      <w:color w:val="auto"/>
                    </w:rPr>
                  </w:pPr>
                  <w:r>
                    <w:rPr>
                      <w:color w:val="auto"/>
                    </w:rPr>
                    <w:t>m</w:t>
                  </w:r>
                  <w:r>
                    <w:rPr>
                      <w:color w:val="auto"/>
                      <w:vertAlign w:val="superscript"/>
                    </w:rPr>
                    <w:t>3</w:t>
                  </w:r>
                  <w:r>
                    <w:rPr>
                      <w:color w:val="auto"/>
                    </w:rPr>
                    <w:t>/T</w:t>
                  </w:r>
                </w:p>
              </w:tc>
              <w:tc>
                <w:tcPr>
                  <w:tcW w:w="4030" w:type="dxa"/>
                  <w:noWrap/>
                  <w:vAlign w:val="center"/>
                </w:tcPr>
                <w:p w14:paraId="1802B438">
                  <w:pPr>
                    <w:pStyle w:val="210"/>
                    <w:spacing w:line="240" w:lineRule="auto"/>
                    <w:ind w:firstLine="0" w:firstLineChars="0"/>
                    <w:rPr>
                      <w:color w:val="auto"/>
                    </w:rPr>
                  </w:pPr>
                  <w:r>
                    <w:rPr>
                      <w:rFonts w:hint="eastAsia"/>
                      <w:color w:val="auto"/>
                    </w:rPr>
                    <w:t>1441</w:t>
                  </w:r>
                </w:p>
              </w:tc>
            </w:tr>
            <w:tr w14:paraId="5FAEBB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72" w:type="dxa"/>
                  <w:noWrap/>
                  <w:vAlign w:val="center"/>
                </w:tcPr>
                <w:p w14:paraId="636D977C">
                  <w:pPr>
                    <w:pStyle w:val="210"/>
                    <w:spacing w:line="240" w:lineRule="auto"/>
                    <w:ind w:firstLine="0" w:firstLineChars="0"/>
                    <w:rPr>
                      <w:color w:val="auto"/>
                    </w:rPr>
                  </w:pPr>
                  <w:r>
                    <w:rPr>
                      <w:color w:val="auto"/>
                    </w:rPr>
                    <w:t>单位体积热值</w:t>
                  </w:r>
                </w:p>
              </w:tc>
              <w:tc>
                <w:tcPr>
                  <w:tcW w:w="1460" w:type="dxa"/>
                  <w:noWrap/>
                  <w:vAlign w:val="center"/>
                </w:tcPr>
                <w:p w14:paraId="214C9A9A">
                  <w:pPr>
                    <w:pStyle w:val="210"/>
                    <w:spacing w:line="240" w:lineRule="auto"/>
                    <w:ind w:firstLine="0" w:firstLineChars="0"/>
                    <w:rPr>
                      <w:color w:val="auto"/>
                    </w:rPr>
                  </w:pPr>
                  <w:r>
                    <w:rPr>
                      <w:color w:val="auto"/>
                    </w:rPr>
                    <w:t>MJ/m</w:t>
                  </w:r>
                  <w:r>
                    <w:rPr>
                      <w:color w:val="auto"/>
                      <w:vertAlign w:val="superscript"/>
                    </w:rPr>
                    <w:t>3</w:t>
                  </w:r>
                </w:p>
              </w:tc>
              <w:tc>
                <w:tcPr>
                  <w:tcW w:w="4030" w:type="dxa"/>
                  <w:noWrap/>
                  <w:vAlign w:val="center"/>
                </w:tcPr>
                <w:p w14:paraId="2D7AC5C0">
                  <w:pPr>
                    <w:pStyle w:val="210"/>
                    <w:spacing w:line="240" w:lineRule="auto"/>
                    <w:ind w:firstLine="0" w:firstLineChars="0"/>
                    <w:rPr>
                      <w:color w:val="auto"/>
                    </w:rPr>
                  </w:pPr>
                  <w:r>
                    <w:rPr>
                      <w:rFonts w:hint="eastAsia"/>
                      <w:color w:val="auto"/>
                    </w:rPr>
                    <w:t>38.33</w:t>
                  </w:r>
                </w:p>
              </w:tc>
            </w:tr>
          </w:tbl>
          <w:p w14:paraId="50832D7D">
            <w:pPr>
              <w:widowControl/>
              <w:spacing w:before="120" w:beforeLines="50" w:line="360" w:lineRule="auto"/>
              <w:jc w:val="left"/>
              <w:outlineLvl w:val="3"/>
              <w:rPr>
                <w:rFonts w:ascii="Times New Roman" w:hAnsi="Times New Roman"/>
                <w:b/>
                <w:color w:val="auto"/>
                <w:kern w:val="0"/>
                <w:sz w:val="24"/>
                <w:szCs w:val="24"/>
                <w:lang w:bidi="en-US"/>
              </w:rPr>
            </w:pPr>
            <w:r>
              <w:rPr>
                <w:rFonts w:ascii="Times New Roman" w:hAnsi="Times New Roman"/>
                <w:b/>
                <w:color w:val="auto"/>
                <w:kern w:val="0"/>
                <w:sz w:val="24"/>
                <w:szCs w:val="24"/>
                <w:lang w:bidi="en-US"/>
              </w:rPr>
              <w:t>2.1.</w:t>
            </w:r>
            <w:r>
              <w:rPr>
                <w:rFonts w:hint="eastAsia" w:ascii="Times New Roman" w:hAnsi="Times New Roman"/>
                <w:b/>
                <w:color w:val="auto"/>
                <w:kern w:val="0"/>
                <w:sz w:val="24"/>
                <w:szCs w:val="24"/>
                <w:lang w:val="en-US" w:eastAsia="zh-CN" w:bidi="en-US"/>
              </w:rPr>
              <w:t>6</w:t>
            </w:r>
            <w:r>
              <w:rPr>
                <w:rFonts w:ascii="Times New Roman" w:hAnsi="Times New Roman"/>
                <w:b/>
                <w:color w:val="auto"/>
                <w:kern w:val="0"/>
                <w:sz w:val="24"/>
                <w:szCs w:val="24"/>
                <w:lang w:bidi="en-US"/>
              </w:rPr>
              <w:t>主要生产设备</w:t>
            </w:r>
          </w:p>
          <w:p w14:paraId="558A4818">
            <w:pPr>
              <w:widowControl/>
              <w:spacing w:line="360" w:lineRule="auto"/>
              <w:ind w:firstLine="480" w:firstLineChars="200"/>
              <w:rPr>
                <w:rFonts w:ascii="Times New Roman" w:hAnsi="Times New Roman"/>
                <w:color w:val="auto"/>
                <w:kern w:val="0"/>
                <w:sz w:val="24"/>
                <w:szCs w:val="24"/>
                <w:lang w:bidi="en-US"/>
              </w:rPr>
            </w:pPr>
            <w:r>
              <w:rPr>
                <w:rFonts w:ascii="Times New Roman" w:hAnsi="Times New Roman"/>
                <w:color w:val="auto"/>
                <w:kern w:val="0"/>
                <w:sz w:val="24"/>
                <w:szCs w:val="24"/>
                <w:lang w:bidi="en-US"/>
              </w:rPr>
              <w:t>项目主要生产设备如</w:t>
            </w:r>
            <w:r>
              <w:rPr>
                <w:rFonts w:hint="eastAsia" w:ascii="Times New Roman" w:hAnsi="Times New Roman"/>
                <w:color w:val="auto"/>
                <w:kern w:val="0"/>
                <w:sz w:val="24"/>
                <w:szCs w:val="24"/>
                <w:lang w:val="en-US" w:eastAsia="zh-CN" w:bidi="en-US"/>
              </w:rPr>
              <w:t>下表</w:t>
            </w:r>
            <w:r>
              <w:rPr>
                <w:rFonts w:ascii="Times New Roman" w:hAnsi="Times New Roman"/>
                <w:color w:val="auto"/>
                <w:kern w:val="0"/>
                <w:sz w:val="24"/>
                <w:szCs w:val="24"/>
                <w:lang w:bidi="en-US"/>
              </w:rPr>
              <w:t>。</w:t>
            </w:r>
          </w:p>
          <w:p w14:paraId="196912B9">
            <w:pPr>
              <w:numPr>
                <w:ilvl w:val="0"/>
                <w:numId w:val="8"/>
              </w:numPr>
              <w:spacing w:before="120" w:beforeLines="50"/>
              <w:jc w:val="center"/>
              <w:rPr>
                <w:rFonts w:ascii="Times New Roman" w:hAnsi="Times New Roman"/>
                <w:b/>
                <w:color w:val="auto"/>
                <w:sz w:val="24"/>
                <w:szCs w:val="24"/>
              </w:rPr>
            </w:pPr>
            <w:bookmarkStart w:id="10" w:name="_Ref68035492"/>
            <w:r>
              <w:rPr>
                <w:rFonts w:ascii="Times New Roman" w:hAnsi="Times New Roman"/>
                <w:b/>
                <w:color w:val="auto"/>
                <w:sz w:val="24"/>
                <w:szCs w:val="24"/>
              </w:rPr>
              <w:t>主要生产设备一览表</w:t>
            </w:r>
            <w:bookmarkEnd w:id="10"/>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802"/>
              <w:gridCol w:w="1886"/>
              <w:gridCol w:w="2190"/>
            </w:tblGrid>
            <w:tr w14:paraId="3890C7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noWrap w:val="0"/>
                  <w:vAlign w:val="center"/>
                </w:tcPr>
                <w:p w14:paraId="23031E8C">
                  <w:pPr>
                    <w:widowControl/>
                    <w:jc w:val="center"/>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vertAlign w:val="baseline"/>
                      <w:lang w:val="en-US" w:eastAsia="zh-CN"/>
                    </w:rPr>
                    <w:t>序号</w:t>
                  </w:r>
                </w:p>
              </w:tc>
              <w:tc>
                <w:tcPr>
                  <w:tcW w:w="1668" w:type="pct"/>
                  <w:tcBorders>
                    <w:tl2br w:val="nil"/>
                    <w:tr2bl w:val="nil"/>
                  </w:tcBorders>
                  <w:noWrap w:val="0"/>
                  <w:vAlign w:val="center"/>
                </w:tcPr>
                <w:p w14:paraId="7538C898">
                  <w:pPr>
                    <w:widowControl/>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设备名称</w:t>
                  </w:r>
                </w:p>
              </w:tc>
              <w:tc>
                <w:tcPr>
                  <w:tcW w:w="1123" w:type="pct"/>
                  <w:tcBorders>
                    <w:tl2br w:val="nil"/>
                    <w:tr2bl w:val="nil"/>
                  </w:tcBorders>
                  <w:noWrap w:val="0"/>
                  <w:vAlign w:val="center"/>
                </w:tcPr>
                <w:p w14:paraId="6108019C">
                  <w:pPr>
                    <w:widowControl/>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设备型号</w:t>
                  </w:r>
                </w:p>
              </w:tc>
              <w:tc>
                <w:tcPr>
                  <w:tcW w:w="1304" w:type="pct"/>
                  <w:tcBorders>
                    <w:tl2br w:val="nil"/>
                    <w:tr2bl w:val="nil"/>
                  </w:tcBorders>
                  <w:noWrap w:val="0"/>
                  <w:vAlign w:val="center"/>
                </w:tcPr>
                <w:p w14:paraId="2DB3CFCB">
                  <w:pPr>
                    <w:widowControl/>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数量</w:t>
                  </w:r>
                  <w:r>
                    <w:rPr>
                      <w:rFonts w:hint="eastAsia" w:cs="Times New Roman"/>
                      <w:b/>
                      <w:bCs/>
                      <w:color w:val="auto"/>
                      <w:sz w:val="21"/>
                      <w:szCs w:val="21"/>
                      <w:lang w:val="en-US" w:eastAsia="zh-CN"/>
                    </w:rPr>
                    <w:t>（台/套/辆）</w:t>
                  </w:r>
                </w:p>
              </w:tc>
            </w:tr>
            <w:tr w14:paraId="6900DD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noWrap w:val="0"/>
                  <w:vAlign w:val="center"/>
                </w:tcPr>
                <w:p w14:paraId="2F157A32">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668" w:type="pct"/>
                  <w:tcBorders>
                    <w:tl2br w:val="nil"/>
                    <w:tr2bl w:val="nil"/>
                  </w:tcBorders>
                  <w:shd w:val="clear" w:color="auto" w:fill="auto"/>
                  <w:noWrap w:val="0"/>
                  <w:vAlign w:val="center"/>
                </w:tcPr>
                <w:p w14:paraId="64677FE1">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烘干机</w:t>
                  </w:r>
                </w:p>
              </w:tc>
              <w:tc>
                <w:tcPr>
                  <w:tcW w:w="1123" w:type="pct"/>
                  <w:tcBorders>
                    <w:tl2br w:val="nil"/>
                    <w:tr2bl w:val="nil"/>
                  </w:tcBorders>
                  <w:shd w:val="clear" w:color="auto" w:fill="auto"/>
                  <w:noWrap w:val="0"/>
                  <w:vAlign w:val="center"/>
                </w:tcPr>
                <w:p w14:paraId="532CA268">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18-180型</w:t>
                  </w:r>
                </w:p>
              </w:tc>
              <w:tc>
                <w:tcPr>
                  <w:tcW w:w="1304" w:type="pct"/>
                  <w:tcBorders>
                    <w:tl2br w:val="nil"/>
                    <w:tr2bl w:val="nil"/>
                  </w:tcBorders>
                  <w:shd w:val="clear" w:color="auto" w:fill="auto"/>
                  <w:noWrap w:val="0"/>
                  <w:vAlign w:val="center"/>
                </w:tcPr>
                <w:p w14:paraId="22240C92">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r>
            <w:tr w14:paraId="21F693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noWrap w:val="0"/>
                  <w:vAlign w:val="center"/>
                </w:tcPr>
                <w:p w14:paraId="2ABF760E">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1668" w:type="pct"/>
                  <w:tcBorders>
                    <w:tl2br w:val="nil"/>
                    <w:tr2bl w:val="nil"/>
                  </w:tcBorders>
                  <w:shd w:val="clear" w:color="auto" w:fill="auto"/>
                  <w:noWrap w:val="0"/>
                  <w:vAlign w:val="center"/>
                </w:tcPr>
                <w:p w14:paraId="2D0AD0E5">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磁选机</w:t>
                  </w:r>
                </w:p>
              </w:tc>
              <w:tc>
                <w:tcPr>
                  <w:tcW w:w="1123" w:type="pct"/>
                  <w:tcBorders>
                    <w:tl2br w:val="nil"/>
                    <w:tr2bl w:val="nil"/>
                  </w:tcBorders>
                  <w:shd w:val="clear" w:color="auto" w:fill="auto"/>
                  <w:noWrap w:val="0"/>
                  <w:vAlign w:val="center"/>
                </w:tcPr>
                <w:p w14:paraId="05D0C1C1">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304" w:type="pct"/>
                  <w:tcBorders>
                    <w:tl2br w:val="nil"/>
                    <w:tr2bl w:val="nil"/>
                  </w:tcBorders>
                  <w:shd w:val="clear" w:color="auto" w:fill="auto"/>
                  <w:noWrap w:val="0"/>
                  <w:vAlign w:val="center"/>
                </w:tcPr>
                <w:p w14:paraId="138C10B1">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r>
            <w:tr w14:paraId="20724E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noWrap w:val="0"/>
                  <w:vAlign w:val="center"/>
                </w:tcPr>
                <w:p w14:paraId="27FFBB8B">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1668" w:type="pct"/>
                  <w:tcBorders>
                    <w:tl2br w:val="nil"/>
                    <w:tr2bl w:val="nil"/>
                  </w:tcBorders>
                  <w:shd w:val="clear" w:color="auto" w:fill="auto"/>
                  <w:noWrap w:val="0"/>
                  <w:vAlign w:val="center"/>
                </w:tcPr>
                <w:p w14:paraId="0D59DC21">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筛分机</w:t>
                  </w:r>
                </w:p>
              </w:tc>
              <w:tc>
                <w:tcPr>
                  <w:tcW w:w="1123" w:type="pct"/>
                  <w:tcBorders>
                    <w:tl2br w:val="nil"/>
                    <w:tr2bl w:val="nil"/>
                  </w:tcBorders>
                  <w:shd w:val="clear" w:color="auto" w:fill="auto"/>
                  <w:noWrap w:val="0"/>
                  <w:vAlign w:val="center"/>
                </w:tcPr>
                <w:p w14:paraId="14FDCDB9">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120型</w:t>
                  </w:r>
                </w:p>
              </w:tc>
              <w:tc>
                <w:tcPr>
                  <w:tcW w:w="1304" w:type="pct"/>
                  <w:tcBorders>
                    <w:tl2br w:val="nil"/>
                    <w:tr2bl w:val="nil"/>
                  </w:tcBorders>
                  <w:shd w:val="clear" w:color="auto" w:fill="auto"/>
                  <w:noWrap w:val="0"/>
                  <w:vAlign w:val="center"/>
                </w:tcPr>
                <w:p w14:paraId="642284CD">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r>
            <w:tr w14:paraId="403B17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noWrap w:val="0"/>
                  <w:vAlign w:val="center"/>
                </w:tcPr>
                <w:p w14:paraId="3A9C835A">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1668" w:type="pct"/>
                  <w:tcBorders>
                    <w:tl2br w:val="nil"/>
                    <w:tr2bl w:val="nil"/>
                  </w:tcBorders>
                  <w:shd w:val="clear" w:color="auto" w:fill="auto"/>
                  <w:noWrap w:val="0"/>
                  <w:vAlign w:val="center"/>
                </w:tcPr>
                <w:p w14:paraId="6482850B">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破碎机</w:t>
                  </w:r>
                </w:p>
              </w:tc>
              <w:tc>
                <w:tcPr>
                  <w:tcW w:w="1123" w:type="pct"/>
                  <w:tcBorders>
                    <w:tl2br w:val="nil"/>
                    <w:tr2bl w:val="nil"/>
                  </w:tcBorders>
                  <w:shd w:val="clear" w:color="auto" w:fill="auto"/>
                  <w:noWrap w:val="0"/>
                  <w:vAlign w:val="center"/>
                </w:tcPr>
                <w:p w14:paraId="3011A893">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100型</w:t>
                  </w:r>
                </w:p>
              </w:tc>
              <w:tc>
                <w:tcPr>
                  <w:tcW w:w="1304" w:type="pct"/>
                  <w:tcBorders>
                    <w:tl2br w:val="nil"/>
                    <w:tr2bl w:val="nil"/>
                  </w:tcBorders>
                  <w:shd w:val="clear" w:color="auto" w:fill="auto"/>
                  <w:noWrap w:val="0"/>
                  <w:vAlign w:val="center"/>
                </w:tcPr>
                <w:p w14:paraId="7FB22C76">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r>
            <w:tr w14:paraId="4748AE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shd w:val="clear" w:color="auto" w:fill="auto"/>
                  <w:noWrap w:val="0"/>
                  <w:vAlign w:val="center"/>
                </w:tcPr>
                <w:p w14:paraId="5C668CD4">
                  <w:pPr>
                    <w:widowControl/>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w:t>
                  </w:r>
                </w:p>
              </w:tc>
              <w:tc>
                <w:tcPr>
                  <w:tcW w:w="1668" w:type="pct"/>
                  <w:tcBorders>
                    <w:tl2br w:val="nil"/>
                    <w:tr2bl w:val="nil"/>
                  </w:tcBorders>
                  <w:shd w:val="clear" w:color="auto" w:fill="auto"/>
                  <w:noWrap w:val="0"/>
                  <w:vAlign w:val="center"/>
                </w:tcPr>
                <w:p w14:paraId="49F69AB9">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重力分选机</w:t>
                  </w:r>
                </w:p>
              </w:tc>
              <w:tc>
                <w:tcPr>
                  <w:tcW w:w="1123" w:type="pct"/>
                  <w:tcBorders>
                    <w:tl2br w:val="nil"/>
                    <w:tr2bl w:val="nil"/>
                  </w:tcBorders>
                  <w:shd w:val="clear" w:color="auto" w:fill="auto"/>
                  <w:noWrap w:val="0"/>
                  <w:vAlign w:val="center"/>
                </w:tcPr>
                <w:p w14:paraId="4619859D">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100型</w:t>
                  </w:r>
                </w:p>
              </w:tc>
              <w:tc>
                <w:tcPr>
                  <w:tcW w:w="1304" w:type="pct"/>
                  <w:tcBorders>
                    <w:tl2br w:val="nil"/>
                    <w:tr2bl w:val="nil"/>
                  </w:tcBorders>
                  <w:shd w:val="clear" w:color="auto" w:fill="auto"/>
                  <w:noWrap w:val="0"/>
                  <w:vAlign w:val="center"/>
                </w:tcPr>
                <w:p w14:paraId="5B2CBF69">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r>
            <w:tr w14:paraId="7CF5B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shd w:val="clear" w:color="auto" w:fill="auto"/>
                  <w:noWrap w:val="0"/>
                  <w:vAlign w:val="center"/>
                </w:tcPr>
                <w:p w14:paraId="187CD163">
                  <w:pPr>
                    <w:widowControl/>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w:t>
                  </w:r>
                </w:p>
              </w:tc>
              <w:tc>
                <w:tcPr>
                  <w:tcW w:w="1668" w:type="pct"/>
                  <w:tcBorders>
                    <w:tl2br w:val="nil"/>
                    <w:tr2bl w:val="nil"/>
                  </w:tcBorders>
                  <w:shd w:val="clear" w:color="auto" w:fill="auto"/>
                  <w:noWrap w:val="0"/>
                  <w:vAlign w:val="center"/>
                </w:tcPr>
                <w:p w14:paraId="4DF41516">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机械磨粉机</w:t>
                  </w:r>
                </w:p>
              </w:tc>
              <w:tc>
                <w:tcPr>
                  <w:tcW w:w="1123" w:type="pct"/>
                  <w:tcBorders>
                    <w:tl2br w:val="nil"/>
                    <w:tr2bl w:val="nil"/>
                  </w:tcBorders>
                  <w:shd w:val="clear" w:color="auto" w:fill="auto"/>
                  <w:noWrap w:val="0"/>
                  <w:vAlign w:val="center"/>
                </w:tcPr>
                <w:p w14:paraId="1364C7CA">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3710</w:t>
                  </w:r>
                  <w:r>
                    <w:rPr>
                      <w:rFonts w:hint="eastAsia" w:ascii="Times New Roman" w:hAnsi="Times New Roman" w:eastAsia="宋体" w:cs="Times New Roman"/>
                      <w:color w:val="auto"/>
                      <w:sz w:val="21"/>
                      <w:szCs w:val="21"/>
                      <w:lang w:val="en-US" w:eastAsia="zh-CN"/>
                    </w:rPr>
                    <w:t>型</w:t>
                  </w:r>
                </w:p>
              </w:tc>
              <w:tc>
                <w:tcPr>
                  <w:tcW w:w="1304" w:type="pct"/>
                  <w:tcBorders>
                    <w:tl2br w:val="nil"/>
                    <w:tr2bl w:val="nil"/>
                  </w:tcBorders>
                  <w:shd w:val="clear" w:color="auto" w:fill="auto"/>
                  <w:noWrap w:val="0"/>
                  <w:vAlign w:val="center"/>
                </w:tcPr>
                <w:p w14:paraId="3DB7A862">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r>
            <w:tr w14:paraId="0D96B6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shd w:val="clear" w:color="auto" w:fill="auto"/>
                  <w:noWrap w:val="0"/>
                  <w:vAlign w:val="center"/>
                </w:tcPr>
                <w:p w14:paraId="05A3A634">
                  <w:pPr>
                    <w:widowControl/>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7</w:t>
                  </w:r>
                </w:p>
              </w:tc>
              <w:tc>
                <w:tcPr>
                  <w:tcW w:w="1668" w:type="pct"/>
                  <w:tcBorders>
                    <w:tl2br w:val="nil"/>
                    <w:tr2bl w:val="nil"/>
                  </w:tcBorders>
                  <w:shd w:val="clear" w:color="auto" w:fill="auto"/>
                  <w:noWrap w:val="0"/>
                  <w:vAlign w:val="center"/>
                </w:tcPr>
                <w:p w14:paraId="1848C6FE">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包装机</w:t>
                  </w:r>
                </w:p>
              </w:tc>
              <w:tc>
                <w:tcPr>
                  <w:tcW w:w="1123" w:type="pct"/>
                  <w:tcBorders>
                    <w:tl2br w:val="nil"/>
                    <w:tr2bl w:val="nil"/>
                  </w:tcBorders>
                  <w:shd w:val="clear" w:color="auto" w:fill="auto"/>
                  <w:noWrap w:val="0"/>
                  <w:vAlign w:val="center"/>
                </w:tcPr>
                <w:p w14:paraId="41C6296A">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304" w:type="pct"/>
                  <w:tcBorders>
                    <w:tl2br w:val="nil"/>
                    <w:tr2bl w:val="nil"/>
                  </w:tcBorders>
                  <w:shd w:val="clear" w:color="auto" w:fill="auto"/>
                  <w:noWrap w:val="0"/>
                  <w:vAlign w:val="center"/>
                </w:tcPr>
                <w:p w14:paraId="5F35488F">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r>
            <w:tr w14:paraId="0FB2E6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shd w:val="clear" w:color="auto" w:fill="auto"/>
                  <w:noWrap w:val="0"/>
                  <w:vAlign w:val="center"/>
                </w:tcPr>
                <w:p w14:paraId="49E5766D">
                  <w:pPr>
                    <w:widowControl/>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8</w:t>
                  </w:r>
                </w:p>
              </w:tc>
              <w:tc>
                <w:tcPr>
                  <w:tcW w:w="1668" w:type="pct"/>
                  <w:tcBorders>
                    <w:tl2br w:val="nil"/>
                    <w:tr2bl w:val="nil"/>
                  </w:tcBorders>
                  <w:shd w:val="clear" w:color="auto" w:fill="auto"/>
                  <w:noWrap w:val="0"/>
                  <w:vAlign w:val="center"/>
                </w:tcPr>
                <w:p w14:paraId="14EFCCC3">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码垛机</w:t>
                  </w:r>
                </w:p>
              </w:tc>
              <w:tc>
                <w:tcPr>
                  <w:tcW w:w="1123" w:type="pct"/>
                  <w:tcBorders>
                    <w:tl2br w:val="nil"/>
                    <w:tr2bl w:val="nil"/>
                  </w:tcBorders>
                  <w:shd w:val="clear" w:color="auto" w:fill="auto"/>
                  <w:noWrap w:val="0"/>
                  <w:vAlign w:val="center"/>
                </w:tcPr>
                <w:p w14:paraId="1185E7A0">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304" w:type="pct"/>
                  <w:tcBorders>
                    <w:tl2br w:val="nil"/>
                    <w:tr2bl w:val="nil"/>
                  </w:tcBorders>
                  <w:shd w:val="clear" w:color="auto" w:fill="auto"/>
                  <w:noWrap w:val="0"/>
                  <w:vAlign w:val="center"/>
                </w:tcPr>
                <w:p w14:paraId="59A13906">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r>
            <w:tr w14:paraId="42425F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shd w:val="clear" w:color="auto" w:fill="auto"/>
                  <w:noWrap w:val="0"/>
                  <w:vAlign w:val="center"/>
                </w:tcPr>
                <w:p w14:paraId="06E3046C">
                  <w:pPr>
                    <w:widowControl/>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9</w:t>
                  </w:r>
                </w:p>
              </w:tc>
              <w:tc>
                <w:tcPr>
                  <w:tcW w:w="1668" w:type="pct"/>
                  <w:tcBorders>
                    <w:tl2br w:val="nil"/>
                    <w:tr2bl w:val="nil"/>
                  </w:tcBorders>
                  <w:shd w:val="clear" w:color="auto" w:fill="auto"/>
                  <w:noWrap w:val="0"/>
                  <w:vAlign w:val="center"/>
                </w:tcPr>
                <w:p w14:paraId="2E7F1EA4">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气力传送设备</w:t>
                  </w:r>
                </w:p>
              </w:tc>
              <w:tc>
                <w:tcPr>
                  <w:tcW w:w="1123" w:type="pct"/>
                  <w:tcBorders>
                    <w:tl2br w:val="nil"/>
                    <w:tr2bl w:val="nil"/>
                  </w:tcBorders>
                  <w:shd w:val="clear" w:color="auto" w:fill="auto"/>
                  <w:noWrap w:val="0"/>
                  <w:vAlign w:val="center"/>
                </w:tcPr>
                <w:p w14:paraId="0E6AF135">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304" w:type="pct"/>
                  <w:tcBorders>
                    <w:tl2br w:val="nil"/>
                    <w:tr2bl w:val="nil"/>
                  </w:tcBorders>
                  <w:shd w:val="clear" w:color="auto" w:fill="auto"/>
                  <w:noWrap w:val="0"/>
                  <w:vAlign w:val="center"/>
                </w:tcPr>
                <w:p w14:paraId="44FFA1BA">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8</w:t>
                  </w:r>
                </w:p>
              </w:tc>
            </w:tr>
            <w:tr w14:paraId="3A3392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shd w:val="clear" w:color="auto" w:fill="auto"/>
                  <w:noWrap w:val="0"/>
                  <w:vAlign w:val="center"/>
                </w:tcPr>
                <w:p w14:paraId="651ED794">
                  <w:pPr>
                    <w:widowControl/>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w:t>
                  </w:r>
                </w:p>
              </w:tc>
              <w:tc>
                <w:tcPr>
                  <w:tcW w:w="1668" w:type="pct"/>
                  <w:tcBorders>
                    <w:tl2br w:val="nil"/>
                    <w:tr2bl w:val="nil"/>
                  </w:tcBorders>
                  <w:shd w:val="clear" w:color="auto" w:fill="auto"/>
                  <w:noWrap w:val="0"/>
                  <w:vAlign w:val="center"/>
                </w:tcPr>
                <w:p w14:paraId="2E7C483C">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皮带传送设备</w:t>
                  </w:r>
                </w:p>
              </w:tc>
              <w:tc>
                <w:tcPr>
                  <w:tcW w:w="1123" w:type="pct"/>
                  <w:tcBorders>
                    <w:tl2br w:val="nil"/>
                    <w:tr2bl w:val="nil"/>
                  </w:tcBorders>
                  <w:shd w:val="clear" w:color="auto" w:fill="auto"/>
                  <w:noWrap w:val="0"/>
                  <w:vAlign w:val="center"/>
                </w:tcPr>
                <w:p w14:paraId="0E34AFCE">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304" w:type="pct"/>
                  <w:tcBorders>
                    <w:tl2br w:val="nil"/>
                    <w:tr2bl w:val="nil"/>
                  </w:tcBorders>
                  <w:shd w:val="clear" w:color="auto" w:fill="auto"/>
                  <w:noWrap w:val="0"/>
                  <w:vAlign w:val="center"/>
                </w:tcPr>
                <w:p w14:paraId="3E922EC9">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w:t>
                  </w:r>
                </w:p>
              </w:tc>
            </w:tr>
            <w:tr w14:paraId="271CF9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4" w:type="pct"/>
                  <w:tcBorders>
                    <w:tl2br w:val="nil"/>
                    <w:tr2bl w:val="nil"/>
                  </w:tcBorders>
                  <w:shd w:val="clear" w:color="auto" w:fill="auto"/>
                  <w:noWrap w:val="0"/>
                  <w:vAlign w:val="center"/>
                </w:tcPr>
                <w:p w14:paraId="6588DDD6">
                  <w:pPr>
                    <w:widowControl/>
                    <w:jc w:val="center"/>
                    <w:rPr>
                      <w:rFonts w:hint="default" w:cs="Times New Roman"/>
                      <w:color w:val="auto"/>
                      <w:sz w:val="21"/>
                      <w:szCs w:val="21"/>
                      <w:lang w:val="en-US" w:eastAsia="zh-CN"/>
                    </w:rPr>
                  </w:pPr>
                  <w:r>
                    <w:rPr>
                      <w:rFonts w:hint="eastAsia" w:cs="Times New Roman"/>
                      <w:color w:val="auto"/>
                      <w:sz w:val="21"/>
                      <w:szCs w:val="21"/>
                      <w:lang w:val="en-US" w:eastAsia="zh-CN"/>
                    </w:rPr>
                    <w:t>11</w:t>
                  </w:r>
                </w:p>
              </w:tc>
              <w:tc>
                <w:tcPr>
                  <w:tcW w:w="1668" w:type="pct"/>
                  <w:tcBorders>
                    <w:tl2br w:val="nil"/>
                    <w:tr2bl w:val="nil"/>
                  </w:tcBorders>
                  <w:shd w:val="clear" w:color="auto" w:fill="auto"/>
                  <w:noWrap w:val="0"/>
                  <w:vAlign w:val="center"/>
                </w:tcPr>
                <w:p w14:paraId="406C0235">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热风炉</w:t>
                  </w:r>
                </w:p>
              </w:tc>
              <w:tc>
                <w:tcPr>
                  <w:tcW w:w="1123" w:type="pct"/>
                  <w:tcBorders>
                    <w:tl2br w:val="nil"/>
                    <w:tr2bl w:val="nil"/>
                  </w:tcBorders>
                  <w:shd w:val="clear" w:color="auto" w:fill="auto"/>
                  <w:noWrap w:val="0"/>
                  <w:vAlign w:val="center"/>
                </w:tcPr>
                <w:p w14:paraId="58ED24F4">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JH-QEF-2.8</w:t>
                  </w:r>
                </w:p>
              </w:tc>
              <w:tc>
                <w:tcPr>
                  <w:tcW w:w="1304" w:type="pct"/>
                  <w:tcBorders>
                    <w:tl2br w:val="nil"/>
                    <w:tr2bl w:val="nil"/>
                  </w:tcBorders>
                  <w:shd w:val="clear" w:color="auto" w:fill="auto"/>
                  <w:noWrap w:val="0"/>
                  <w:vAlign w:val="center"/>
                </w:tcPr>
                <w:p w14:paraId="5135BF36">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bl>
          <w:p w14:paraId="5D5D4423">
            <w:pPr>
              <w:widowControl/>
              <w:spacing w:line="360" w:lineRule="auto"/>
              <w:rPr>
                <w:rFonts w:ascii="Times New Roman" w:hAnsi="Times New Roman"/>
                <w:b/>
                <w:color w:val="auto"/>
                <w:kern w:val="0"/>
                <w:sz w:val="24"/>
                <w:szCs w:val="24"/>
                <w:lang w:bidi="en-US"/>
              </w:rPr>
            </w:pPr>
            <w:r>
              <w:rPr>
                <w:rFonts w:ascii="Times New Roman" w:hAnsi="Times New Roman"/>
                <w:b/>
                <w:color w:val="auto"/>
                <w:kern w:val="0"/>
                <w:sz w:val="24"/>
                <w:szCs w:val="24"/>
                <w:lang w:bidi="en-US"/>
              </w:rPr>
              <w:t>2.1.</w:t>
            </w:r>
            <w:r>
              <w:rPr>
                <w:rFonts w:hint="eastAsia" w:ascii="Times New Roman" w:hAnsi="Times New Roman"/>
                <w:b/>
                <w:color w:val="auto"/>
                <w:kern w:val="0"/>
                <w:sz w:val="24"/>
                <w:szCs w:val="24"/>
                <w:lang w:val="en-US" w:eastAsia="zh-CN" w:bidi="en-US"/>
              </w:rPr>
              <w:t>7</w:t>
            </w:r>
            <w:r>
              <w:rPr>
                <w:rFonts w:ascii="Times New Roman" w:hAnsi="Times New Roman"/>
                <w:b/>
                <w:color w:val="auto"/>
                <w:kern w:val="0"/>
                <w:sz w:val="24"/>
                <w:szCs w:val="24"/>
                <w:lang w:bidi="en-US"/>
              </w:rPr>
              <w:t>水平衡分析</w:t>
            </w:r>
          </w:p>
          <w:p w14:paraId="0765A69A">
            <w:pPr>
              <w:adjustRightInd w:val="0"/>
              <w:snapToGrid w:val="0"/>
              <w:spacing w:line="360" w:lineRule="auto"/>
              <w:ind w:firstLine="480" w:firstLineChars="20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项目</w:t>
            </w:r>
            <w:r>
              <w:rPr>
                <w:rFonts w:hint="default" w:ascii="Times New Roman" w:hAnsi="Times New Roman" w:cs="Times New Roman"/>
                <w:bCs/>
                <w:color w:val="auto"/>
                <w:sz w:val="24"/>
                <w:szCs w:val="24"/>
                <w:lang w:val="en-US" w:eastAsia="zh-CN"/>
              </w:rPr>
              <w:t>无生产用水使用，新增用水</w:t>
            </w:r>
            <w:r>
              <w:rPr>
                <w:rFonts w:hint="default" w:ascii="Times New Roman" w:hAnsi="Times New Roman" w:cs="Times New Roman"/>
                <w:bCs/>
                <w:color w:val="auto"/>
                <w:sz w:val="24"/>
                <w:szCs w:val="24"/>
              </w:rPr>
              <w:t>主要为</w:t>
            </w:r>
            <w:r>
              <w:rPr>
                <w:rFonts w:hint="default" w:ascii="Times New Roman" w:hAnsi="Times New Roman" w:cs="Times New Roman"/>
                <w:bCs/>
                <w:color w:val="auto"/>
                <w:sz w:val="24"/>
                <w:szCs w:val="24"/>
                <w:lang w:val="en-US" w:eastAsia="zh-CN"/>
              </w:rPr>
              <w:t>员工生活污水</w:t>
            </w:r>
            <w:r>
              <w:rPr>
                <w:rFonts w:hint="default" w:ascii="Times New Roman" w:hAnsi="Times New Roman" w:cs="Times New Roman"/>
                <w:bCs/>
                <w:color w:val="auto"/>
                <w:sz w:val="24"/>
                <w:szCs w:val="24"/>
              </w:rPr>
              <w:t>。</w:t>
            </w:r>
          </w:p>
          <w:p w14:paraId="53689574">
            <w:pPr>
              <w:tabs>
                <w:tab w:val="left" w:pos="4388"/>
              </w:tabs>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项目职工定员</w:t>
            </w:r>
            <w:r>
              <w:rPr>
                <w:rFonts w:hint="default" w:ascii="Times New Roman" w:hAnsi="Times New Roman" w:cs="Times New Roman"/>
                <w:color w:val="auto"/>
                <w:sz w:val="24"/>
                <w:lang w:val="en-US" w:eastAsia="zh-CN"/>
              </w:rPr>
              <w:t>30</w:t>
            </w:r>
            <w:r>
              <w:rPr>
                <w:rFonts w:hint="default" w:ascii="Times New Roman" w:hAnsi="Times New Roman" w:cs="Times New Roman"/>
                <w:color w:val="auto"/>
                <w:sz w:val="24"/>
              </w:rPr>
              <w:t>人，均不住厂，根据《福建省行业用水定额》，项目不住厂职工以用水量50L/d·人计，年工作日按全年营业</w:t>
            </w:r>
            <w:r>
              <w:rPr>
                <w:rFonts w:hint="default" w:ascii="Times New Roman" w:hAnsi="Times New Roman" w:cs="Times New Roman"/>
                <w:color w:val="auto"/>
                <w:sz w:val="24"/>
                <w:lang w:val="en-US" w:eastAsia="zh-CN"/>
              </w:rPr>
              <w:t>300</w:t>
            </w:r>
            <w:r>
              <w:rPr>
                <w:rFonts w:hint="default" w:ascii="Times New Roman" w:hAnsi="Times New Roman" w:cs="Times New Roman"/>
                <w:color w:val="auto"/>
                <w:sz w:val="24"/>
              </w:rPr>
              <w:t>天计，则生活用水量</w:t>
            </w:r>
            <w:r>
              <w:rPr>
                <w:rFonts w:hint="default" w:ascii="Times New Roman" w:hAnsi="Times New Roman" w:cs="Times New Roman"/>
                <w:color w:val="auto"/>
                <w:sz w:val="24"/>
                <w:lang w:val="en-US" w:eastAsia="zh-CN"/>
              </w:rPr>
              <w:t>450t</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1.5t/d</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。生活污水排水系数按80%计，则污水</w:t>
            </w:r>
            <w:r>
              <w:rPr>
                <w:rFonts w:hint="default" w:ascii="Times New Roman" w:hAnsi="Times New Roman" w:cs="Times New Roman"/>
                <w:color w:val="auto"/>
                <w:sz w:val="24"/>
                <w:lang w:val="en-US" w:eastAsia="zh-CN"/>
              </w:rPr>
              <w:t>产生</w:t>
            </w:r>
            <w:r>
              <w:rPr>
                <w:rFonts w:hint="default" w:ascii="Times New Roman" w:hAnsi="Times New Roman" w:cs="Times New Roman"/>
                <w:color w:val="auto"/>
                <w:sz w:val="24"/>
              </w:rPr>
              <w:t>量</w:t>
            </w:r>
            <w:r>
              <w:rPr>
                <w:rFonts w:hint="default" w:ascii="Times New Roman" w:hAnsi="Times New Roman" w:cs="Times New Roman"/>
                <w:color w:val="auto"/>
                <w:sz w:val="24"/>
                <w:lang w:val="en-US" w:eastAsia="zh-CN"/>
              </w:rPr>
              <w:t>360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1.2t/d</w:t>
            </w:r>
            <w:r>
              <w:rPr>
                <w:rFonts w:hint="default" w:ascii="Times New Roman" w:hAnsi="Times New Roman" w:cs="Times New Roman"/>
                <w:color w:val="auto"/>
                <w:sz w:val="24"/>
                <w:lang w:eastAsia="zh-CN"/>
              </w:rPr>
              <w:t>）</w:t>
            </w:r>
            <w:r>
              <w:rPr>
                <w:rFonts w:hint="default" w:ascii="Times New Roman" w:hAnsi="Times New Roman" w:cs="Times New Roman"/>
                <w:color w:val="auto"/>
                <w:sz w:val="24"/>
                <w:szCs w:val="24"/>
              </w:rPr>
              <w:t>。经化粪池处理后用于周边山林地施肥。</w:t>
            </w:r>
          </w:p>
          <w:p w14:paraId="6A4220A6">
            <w:pPr>
              <w:tabs>
                <w:tab w:val="left" w:pos="4388"/>
              </w:tabs>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综上，项目年新鲜用水量为</w:t>
            </w:r>
            <w:r>
              <w:rPr>
                <w:rFonts w:hint="default" w:ascii="Times New Roman" w:hAnsi="Times New Roman" w:cs="Times New Roman"/>
                <w:color w:val="auto"/>
                <w:sz w:val="24"/>
                <w:szCs w:val="24"/>
                <w:lang w:val="en-US" w:eastAsia="zh-CN"/>
              </w:rPr>
              <w:t>450</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无废水外排</w:t>
            </w:r>
            <w:r>
              <w:rPr>
                <w:rFonts w:hint="default" w:ascii="Times New Roman" w:hAnsi="Times New Roman" w:cs="Times New Roman"/>
                <w:color w:val="auto"/>
                <w:sz w:val="24"/>
                <w:szCs w:val="24"/>
              </w:rPr>
              <w:t>。项目给排水平衡图见图2-1。</w:t>
            </w:r>
          </w:p>
          <w:p w14:paraId="3C394930">
            <w:pPr>
              <w:jc w:val="center"/>
              <w:rPr>
                <w:rFonts w:hint="eastAsia" w:ascii="Times New Roman" w:hAnsi="Times New Roman" w:eastAsia="宋体"/>
                <w:color w:val="auto"/>
                <w:sz w:val="24"/>
                <w:lang w:eastAsia="zh-CN"/>
              </w:rPr>
            </w:pPr>
            <w:r>
              <w:rPr>
                <w:rFonts w:hint="eastAsia" w:ascii="Times New Roman" w:hAnsi="Times New Roman" w:eastAsia="宋体"/>
                <w:color w:val="auto"/>
                <w:sz w:val="24"/>
                <w:lang w:eastAsia="zh-CN"/>
              </w:rPr>
              <w:drawing>
                <wp:inline distT="0" distB="0" distL="114300" distR="114300">
                  <wp:extent cx="5107940" cy="768985"/>
                  <wp:effectExtent l="0" t="0" r="0" b="0"/>
                  <wp:docPr id="134" name="ECB019B1-382A-4266-B25C-5B523AA43C14-1" descr="C:/Users/Administrator/AppData/Local/Temp/wps.IbVni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ECB019B1-382A-4266-B25C-5B523AA43C14-1" descr="C:/Users/Administrator/AppData/Local/Temp/wps.IbVniiwps"/>
                          <pic:cNvPicPr>
                            <a:picLocks noChangeAspect="1"/>
                          </pic:cNvPicPr>
                        </pic:nvPicPr>
                        <pic:blipFill>
                          <a:blip r:embed="rId10"/>
                          <a:stretch>
                            <a:fillRect/>
                          </a:stretch>
                        </pic:blipFill>
                        <pic:spPr>
                          <a:xfrm>
                            <a:off x="0" y="0"/>
                            <a:ext cx="5107940" cy="768985"/>
                          </a:xfrm>
                          <a:prstGeom prst="rect">
                            <a:avLst/>
                          </a:prstGeom>
                        </pic:spPr>
                      </pic:pic>
                    </a:graphicData>
                  </a:graphic>
                </wp:inline>
              </w:drawing>
            </w:r>
          </w:p>
          <w:p w14:paraId="2B76F0CB">
            <w:pPr>
              <w:jc w:val="center"/>
              <w:rPr>
                <w:rFonts w:hint="eastAsia" w:ascii="Times New Roman" w:hAnsi="Times New Roman"/>
                <w:b/>
                <w:color w:val="auto"/>
                <w:sz w:val="24"/>
                <w:szCs w:val="24"/>
                <w:lang w:val="en-US" w:eastAsia="zh-CN"/>
              </w:rPr>
            </w:pPr>
            <w:r>
              <w:rPr>
                <w:rFonts w:ascii="Times New Roman" w:hAnsi="Times New Roman"/>
                <w:b/>
                <w:color w:val="auto"/>
                <w:sz w:val="24"/>
                <w:szCs w:val="24"/>
                <w:lang w:val="zh-CN"/>
              </w:rPr>
              <w:t>图2-1 给排水平衡图  单位：m³/</w:t>
            </w:r>
            <w:r>
              <w:rPr>
                <w:rFonts w:hint="eastAsia" w:ascii="Times New Roman" w:hAnsi="Times New Roman"/>
                <w:b/>
                <w:color w:val="auto"/>
                <w:sz w:val="24"/>
                <w:szCs w:val="24"/>
                <w:lang w:val="en-US" w:eastAsia="zh-CN"/>
              </w:rPr>
              <w:t>d</w:t>
            </w:r>
          </w:p>
          <w:p w14:paraId="2FC1241A">
            <w:pPr>
              <w:jc w:val="center"/>
              <w:rPr>
                <w:rFonts w:hint="eastAsia" w:ascii="Times New Roman" w:hAnsi="Times New Roman"/>
                <w:b/>
                <w:color w:val="auto"/>
                <w:sz w:val="24"/>
                <w:szCs w:val="24"/>
                <w:lang w:val="en-US" w:eastAsia="zh-CN"/>
              </w:rPr>
            </w:pPr>
          </w:p>
          <w:p w14:paraId="0D307BE6">
            <w:pPr>
              <w:widowControl/>
              <w:spacing w:line="360" w:lineRule="auto"/>
              <w:rPr>
                <w:rFonts w:ascii="Times New Roman" w:hAnsi="Times New Roman"/>
                <w:b/>
                <w:color w:val="auto"/>
                <w:kern w:val="0"/>
                <w:sz w:val="24"/>
                <w:szCs w:val="24"/>
                <w:lang w:bidi="en-US"/>
              </w:rPr>
            </w:pPr>
            <w:r>
              <w:rPr>
                <w:rFonts w:ascii="Times New Roman" w:hAnsi="Times New Roman"/>
                <w:b/>
                <w:color w:val="auto"/>
                <w:kern w:val="0"/>
                <w:sz w:val="24"/>
                <w:szCs w:val="24"/>
                <w:lang w:bidi="en-US"/>
              </w:rPr>
              <w:t>2.1.</w:t>
            </w:r>
            <w:r>
              <w:rPr>
                <w:rFonts w:hint="eastAsia" w:ascii="Times New Roman" w:hAnsi="Times New Roman"/>
                <w:b/>
                <w:color w:val="auto"/>
                <w:kern w:val="0"/>
                <w:sz w:val="24"/>
                <w:szCs w:val="24"/>
                <w:lang w:val="en-US" w:eastAsia="zh-CN" w:bidi="en-US"/>
              </w:rPr>
              <w:t>8物料</w:t>
            </w:r>
            <w:r>
              <w:rPr>
                <w:rFonts w:ascii="Times New Roman" w:hAnsi="Times New Roman"/>
                <w:b/>
                <w:color w:val="auto"/>
                <w:kern w:val="0"/>
                <w:sz w:val="24"/>
                <w:szCs w:val="24"/>
                <w:lang w:bidi="en-US"/>
              </w:rPr>
              <w:t>平衡分析</w:t>
            </w:r>
          </w:p>
          <w:p w14:paraId="0075AE64">
            <w:pPr>
              <w:pStyle w:val="243"/>
              <w:rPr>
                <w:rFonts w:hint="eastAsia" w:eastAsia="宋体"/>
                <w:color w:val="auto"/>
                <w:lang w:eastAsia="zh-CN"/>
              </w:rPr>
            </w:pPr>
            <w:r>
              <w:rPr>
                <w:rFonts w:hint="eastAsia"/>
                <w:color w:val="auto"/>
              </w:rPr>
              <w:t>项目物料平衡见</w:t>
            </w:r>
            <w:r>
              <w:rPr>
                <w:rFonts w:hint="eastAsia"/>
                <w:color w:val="auto"/>
                <w:lang w:val="en-US" w:eastAsia="zh-CN"/>
              </w:rPr>
              <w:t>下表。</w:t>
            </w:r>
          </w:p>
          <w:p w14:paraId="30BA3753">
            <w:pPr>
              <w:numPr>
                <w:ilvl w:val="0"/>
                <w:numId w:val="8"/>
              </w:numPr>
              <w:spacing w:before="120" w:beforeLines="50"/>
              <w:jc w:val="center"/>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项目物料平衡表</w:t>
            </w:r>
          </w:p>
          <w:tbl>
            <w:tblPr>
              <w:tblStyle w:val="29"/>
              <w:tblW w:w="4998"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2620"/>
              <w:gridCol w:w="1433"/>
              <w:gridCol w:w="2536"/>
              <w:gridCol w:w="1807"/>
            </w:tblGrid>
            <w:tr w14:paraId="5B63F1A0">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2413" w:type="pct"/>
                  <w:gridSpan w:val="2"/>
                  <w:tcBorders>
                    <w:tl2br w:val="nil"/>
                    <w:tr2bl w:val="nil"/>
                  </w:tcBorders>
                  <w:noWrap w:val="0"/>
                  <w:vAlign w:val="center"/>
                </w:tcPr>
                <w:p w14:paraId="6E56623D">
                  <w:pPr>
                    <w:pStyle w:val="245"/>
                    <w:rPr>
                      <w:color w:val="auto"/>
                    </w:rPr>
                  </w:pPr>
                  <w:r>
                    <w:rPr>
                      <w:rFonts w:hint="eastAsia"/>
                      <w:color w:val="auto"/>
                    </w:rPr>
                    <w:t>输入物料</w:t>
                  </w:r>
                </w:p>
              </w:tc>
              <w:tc>
                <w:tcPr>
                  <w:tcW w:w="2586" w:type="pct"/>
                  <w:gridSpan w:val="2"/>
                  <w:tcBorders>
                    <w:tl2br w:val="nil"/>
                    <w:tr2bl w:val="nil"/>
                  </w:tcBorders>
                  <w:noWrap w:val="0"/>
                  <w:vAlign w:val="center"/>
                </w:tcPr>
                <w:p w14:paraId="7190CE16">
                  <w:pPr>
                    <w:pStyle w:val="245"/>
                    <w:rPr>
                      <w:color w:val="auto"/>
                    </w:rPr>
                  </w:pPr>
                  <w:r>
                    <w:rPr>
                      <w:rFonts w:hint="eastAsia"/>
                      <w:color w:val="auto"/>
                    </w:rPr>
                    <w:t>输出物料</w:t>
                  </w:r>
                </w:p>
              </w:tc>
            </w:tr>
            <w:tr w14:paraId="1A06F962">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60" w:type="pct"/>
                  <w:tcBorders>
                    <w:tl2br w:val="nil"/>
                    <w:tr2bl w:val="nil"/>
                  </w:tcBorders>
                  <w:noWrap w:val="0"/>
                  <w:vAlign w:val="center"/>
                </w:tcPr>
                <w:p w14:paraId="63B32B93">
                  <w:pPr>
                    <w:pStyle w:val="245"/>
                    <w:rPr>
                      <w:color w:val="auto"/>
                    </w:rPr>
                  </w:pPr>
                  <w:r>
                    <w:rPr>
                      <w:rFonts w:hint="eastAsia"/>
                      <w:color w:val="auto"/>
                    </w:rPr>
                    <w:t>物料名称</w:t>
                  </w:r>
                </w:p>
              </w:tc>
              <w:tc>
                <w:tcPr>
                  <w:tcW w:w="853" w:type="pct"/>
                  <w:tcBorders>
                    <w:tl2br w:val="nil"/>
                    <w:tr2bl w:val="nil"/>
                  </w:tcBorders>
                  <w:noWrap w:val="0"/>
                  <w:vAlign w:val="center"/>
                </w:tcPr>
                <w:p w14:paraId="2D053EB9">
                  <w:pPr>
                    <w:pStyle w:val="245"/>
                    <w:rPr>
                      <w:color w:val="auto"/>
                    </w:rPr>
                  </w:pPr>
                  <w:r>
                    <w:rPr>
                      <w:rFonts w:hint="eastAsia"/>
                      <w:color w:val="auto"/>
                    </w:rPr>
                    <w:t>数量</w:t>
                  </w:r>
                  <w:r>
                    <w:rPr>
                      <w:color w:val="auto"/>
                    </w:rPr>
                    <w:t>t/a</w:t>
                  </w:r>
                </w:p>
              </w:tc>
              <w:tc>
                <w:tcPr>
                  <w:tcW w:w="1510" w:type="pct"/>
                  <w:tcBorders>
                    <w:tl2br w:val="nil"/>
                    <w:tr2bl w:val="nil"/>
                  </w:tcBorders>
                  <w:noWrap w:val="0"/>
                  <w:vAlign w:val="center"/>
                </w:tcPr>
                <w:p w14:paraId="5CA27DC3">
                  <w:pPr>
                    <w:pStyle w:val="245"/>
                    <w:rPr>
                      <w:color w:val="auto"/>
                    </w:rPr>
                  </w:pPr>
                  <w:r>
                    <w:rPr>
                      <w:rFonts w:hint="eastAsia"/>
                      <w:color w:val="auto"/>
                    </w:rPr>
                    <w:t>物料名称</w:t>
                  </w:r>
                </w:p>
              </w:tc>
              <w:tc>
                <w:tcPr>
                  <w:tcW w:w="1076" w:type="pct"/>
                  <w:tcBorders>
                    <w:tl2br w:val="nil"/>
                    <w:tr2bl w:val="nil"/>
                  </w:tcBorders>
                  <w:noWrap w:val="0"/>
                  <w:vAlign w:val="center"/>
                </w:tcPr>
                <w:p w14:paraId="4142F872">
                  <w:pPr>
                    <w:pStyle w:val="245"/>
                    <w:rPr>
                      <w:color w:val="auto"/>
                    </w:rPr>
                  </w:pPr>
                  <w:r>
                    <w:rPr>
                      <w:rFonts w:hint="eastAsia"/>
                      <w:color w:val="auto"/>
                    </w:rPr>
                    <w:t>数量</w:t>
                  </w:r>
                  <w:r>
                    <w:rPr>
                      <w:color w:val="auto"/>
                    </w:rPr>
                    <w:t>t/a</w:t>
                  </w:r>
                </w:p>
              </w:tc>
            </w:tr>
            <w:tr w14:paraId="7F52B82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60" w:type="pct"/>
                  <w:tcBorders>
                    <w:tl2br w:val="nil"/>
                    <w:tr2bl w:val="nil"/>
                  </w:tcBorders>
                  <w:noWrap w:val="0"/>
                  <w:vAlign w:val="center"/>
                </w:tcPr>
                <w:p w14:paraId="21884CB4">
                  <w:pPr>
                    <w:pStyle w:val="245"/>
                    <w:rPr>
                      <w:rFonts w:hint="default" w:eastAsia="宋体"/>
                      <w:color w:val="auto"/>
                      <w:lang w:val="en-US" w:eastAsia="zh-CN"/>
                    </w:rPr>
                  </w:pPr>
                  <w:r>
                    <w:rPr>
                      <w:rFonts w:hint="eastAsia"/>
                      <w:color w:val="auto"/>
                      <w:lang w:val="en-US" w:eastAsia="zh-CN"/>
                    </w:rPr>
                    <w:t>生物质炭渣（含水率55%）</w:t>
                  </w:r>
                </w:p>
              </w:tc>
              <w:tc>
                <w:tcPr>
                  <w:tcW w:w="853" w:type="pct"/>
                  <w:tcBorders>
                    <w:tl2br w:val="nil"/>
                    <w:tr2bl w:val="nil"/>
                  </w:tcBorders>
                  <w:shd w:val="clear" w:color="auto" w:fill="auto"/>
                  <w:noWrap w:val="0"/>
                  <w:vAlign w:val="center"/>
                </w:tcPr>
                <w:p w14:paraId="09DE6A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35000</w:t>
                  </w:r>
                </w:p>
              </w:tc>
              <w:tc>
                <w:tcPr>
                  <w:tcW w:w="1510" w:type="pct"/>
                  <w:tcBorders>
                    <w:tl2br w:val="nil"/>
                    <w:tr2bl w:val="nil"/>
                  </w:tcBorders>
                  <w:noWrap w:val="0"/>
                  <w:vAlign w:val="center"/>
                </w:tcPr>
                <w:p w14:paraId="16D69A93">
                  <w:pPr>
                    <w:keepNext w:val="0"/>
                    <w:keepLines w:val="0"/>
                    <w:widowControl/>
                    <w:suppressLineNumbers w:val="0"/>
                    <w:jc w:val="center"/>
                    <w:textAlignment w:val="center"/>
                    <w:rPr>
                      <w:color w:val="auto"/>
                    </w:rPr>
                  </w:pPr>
                  <w:r>
                    <w:rPr>
                      <w:rFonts w:hint="eastAsia" w:ascii="宋体" w:hAnsi="宋体" w:cs="宋体"/>
                      <w:i w:val="0"/>
                      <w:iCs w:val="0"/>
                      <w:color w:val="auto"/>
                      <w:kern w:val="0"/>
                      <w:sz w:val="21"/>
                      <w:szCs w:val="21"/>
                      <w:u w:val="none"/>
                      <w:lang w:val="en-US" w:eastAsia="zh-CN" w:bidi="ar"/>
                    </w:rPr>
                    <w:t>碳粉</w:t>
                  </w:r>
                </w:p>
              </w:tc>
              <w:tc>
                <w:tcPr>
                  <w:tcW w:w="1076" w:type="pct"/>
                  <w:tcBorders>
                    <w:tl2br w:val="nil"/>
                    <w:tr2bl w:val="nil"/>
                  </w:tcBorders>
                  <w:shd w:val="clear" w:color="auto" w:fill="auto"/>
                  <w:noWrap w:val="0"/>
                  <w:vAlign w:val="center"/>
                </w:tcPr>
                <w:p w14:paraId="1DE3277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15000</w:t>
                  </w:r>
                </w:p>
              </w:tc>
            </w:tr>
            <w:tr w14:paraId="12FDFE1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60" w:type="pct"/>
                  <w:tcBorders>
                    <w:tl2br w:val="nil"/>
                    <w:tr2bl w:val="nil"/>
                  </w:tcBorders>
                  <w:shd w:val="clear" w:color="auto" w:fill="auto"/>
                  <w:noWrap w:val="0"/>
                  <w:vAlign w:val="center"/>
                </w:tcPr>
                <w:p w14:paraId="5E8FB167">
                  <w:pPr>
                    <w:pStyle w:val="245"/>
                    <w:rPr>
                      <w:rFonts w:hint="eastAsia" w:ascii="Times New Roman" w:hAnsi="Times New Roman" w:eastAsia="宋体" w:cs="宋体"/>
                      <w:color w:val="auto"/>
                      <w:spacing w:val="4"/>
                      <w:sz w:val="21"/>
                      <w:szCs w:val="24"/>
                      <w:lang w:val="en-US" w:eastAsia="zh-CN" w:bidi="ar-SA"/>
                    </w:rPr>
                  </w:pPr>
                  <w:r>
                    <w:rPr>
                      <w:rFonts w:hint="eastAsia" w:ascii="宋体" w:hAnsi="宋体" w:eastAsia="宋体" w:cs="宋体"/>
                      <w:i w:val="0"/>
                      <w:iCs w:val="0"/>
                      <w:color w:val="auto"/>
                      <w:kern w:val="0"/>
                      <w:sz w:val="21"/>
                      <w:szCs w:val="21"/>
                      <w:u w:val="none"/>
                      <w:lang w:val="en-US" w:eastAsia="zh-CN" w:bidi="ar"/>
                    </w:rPr>
                    <w:t>除尘设施收集粉尘</w:t>
                  </w:r>
                </w:p>
              </w:tc>
              <w:tc>
                <w:tcPr>
                  <w:tcW w:w="853" w:type="pct"/>
                  <w:tcBorders>
                    <w:tl2br w:val="nil"/>
                    <w:tr2bl w:val="nil"/>
                  </w:tcBorders>
                  <w:shd w:val="clear" w:color="auto" w:fill="auto"/>
                  <w:noWrap w:val="0"/>
                  <w:vAlign w:val="center"/>
                </w:tcPr>
                <w:p w14:paraId="5B37D436">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i w:val="0"/>
                      <w:iCs w:val="0"/>
                      <w:color w:val="auto"/>
                      <w:kern w:val="0"/>
                      <w:sz w:val="21"/>
                      <w:szCs w:val="21"/>
                      <w:u w:val="none"/>
                      <w:lang w:val="en-US" w:eastAsia="zh-CN" w:bidi="ar"/>
                    </w:rPr>
                    <w:t>82.588</w:t>
                  </w:r>
                </w:p>
              </w:tc>
              <w:tc>
                <w:tcPr>
                  <w:tcW w:w="1510" w:type="pct"/>
                  <w:tcBorders>
                    <w:tl2br w:val="nil"/>
                    <w:tr2bl w:val="nil"/>
                  </w:tcBorders>
                  <w:noWrap w:val="0"/>
                  <w:vAlign w:val="center"/>
                </w:tcPr>
                <w:p w14:paraId="15C9A394">
                  <w:pPr>
                    <w:keepNext w:val="0"/>
                    <w:keepLines w:val="0"/>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auto"/>
                      <w:kern w:val="0"/>
                      <w:sz w:val="21"/>
                      <w:szCs w:val="21"/>
                      <w:u w:val="none"/>
                      <w:lang w:val="en-US" w:eastAsia="zh-CN" w:bidi="ar"/>
                    </w:rPr>
                    <w:t>除尘设施收集粉尘</w:t>
                  </w:r>
                </w:p>
              </w:tc>
              <w:tc>
                <w:tcPr>
                  <w:tcW w:w="1076" w:type="pct"/>
                  <w:tcBorders>
                    <w:tl2br w:val="nil"/>
                    <w:tr2bl w:val="nil"/>
                  </w:tcBorders>
                  <w:noWrap w:val="0"/>
                  <w:vAlign w:val="center"/>
                </w:tcPr>
                <w:p w14:paraId="1B6054D4">
                  <w:pPr>
                    <w:keepNext w:val="0"/>
                    <w:keepLines w:val="0"/>
                    <w:widowControl/>
                    <w:suppressLineNumbers w:val="0"/>
                    <w:jc w:val="center"/>
                    <w:textAlignment w:val="center"/>
                    <w:rPr>
                      <w:rFonts w:hint="eastAsia" w:eastAsia="宋体"/>
                      <w:color w:val="auto"/>
                      <w:lang w:eastAsia="zh-CN"/>
                    </w:rPr>
                  </w:pPr>
                  <w:r>
                    <w:rPr>
                      <w:rFonts w:hint="eastAsia" w:cs="Times New Roman"/>
                      <w:i w:val="0"/>
                      <w:iCs w:val="0"/>
                      <w:color w:val="auto"/>
                      <w:kern w:val="0"/>
                      <w:sz w:val="21"/>
                      <w:szCs w:val="21"/>
                      <w:u w:val="none"/>
                      <w:lang w:val="en-US" w:eastAsia="zh-CN" w:bidi="ar"/>
                    </w:rPr>
                    <w:t>82.588</w:t>
                  </w:r>
                </w:p>
              </w:tc>
            </w:tr>
            <w:tr w14:paraId="6D4A9CC2">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60" w:type="pct"/>
                  <w:tcBorders>
                    <w:tl2br w:val="nil"/>
                    <w:tr2bl w:val="nil"/>
                  </w:tcBorders>
                  <w:noWrap w:val="0"/>
                  <w:vAlign w:val="center"/>
                </w:tcPr>
                <w:p w14:paraId="6B6FB660">
                  <w:pPr>
                    <w:pStyle w:val="245"/>
                    <w:rPr>
                      <w:color w:val="auto"/>
                    </w:rPr>
                  </w:pPr>
                  <w:r>
                    <w:rPr>
                      <w:rFonts w:hint="eastAsia"/>
                      <w:color w:val="auto"/>
                      <w:lang w:val="en-US" w:eastAsia="zh-CN"/>
                    </w:rPr>
                    <w:t>/</w:t>
                  </w:r>
                </w:p>
              </w:tc>
              <w:tc>
                <w:tcPr>
                  <w:tcW w:w="853" w:type="pct"/>
                  <w:tcBorders>
                    <w:tl2br w:val="nil"/>
                    <w:tr2bl w:val="nil"/>
                  </w:tcBorders>
                  <w:noWrap w:val="0"/>
                  <w:vAlign w:val="center"/>
                </w:tcPr>
                <w:p w14:paraId="2D59D9B0">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w:t>
                  </w:r>
                </w:p>
              </w:tc>
              <w:tc>
                <w:tcPr>
                  <w:tcW w:w="1510" w:type="pct"/>
                  <w:tcBorders>
                    <w:tl2br w:val="nil"/>
                    <w:tr2bl w:val="nil"/>
                  </w:tcBorders>
                  <w:shd w:val="clear" w:color="auto" w:fill="auto"/>
                  <w:noWrap w:val="0"/>
                  <w:vAlign w:val="center"/>
                </w:tcPr>
                <w:p w14:paraId="24F255EF">
                  <w:pPr>
                    <w:keepNext w:val="0"/>
                    <w:keepLines w:val="0"/>
                    <w:widowControl/>
                    <w:suppressLineNumbers w:val="0"/>
                    <w:jc w:val="center"/>
                    <w:textAlignment w:val="center"/>
                    <w:rPr>
                      <w:rFonts w:hint="default" w:ascii="Times New Roman" w:hAnsi="Times New Roman" w:eastAsia="宋体" w:cs="宋体"/>
                      <w:color w:val="auto"/>
                      <w:spacing w:val="4"/>
                      <w:sz w:val="21"/>
                      <w:szCs w:val="24"/>
                      <w:lang w:val="en-US" w:eastAsia="zh-CN" w:bidi="ar-SA"/>
                    </w:rPr>
                  </w:pPr>
                  <w:r>
                    <w:rPr>
                      <w:rFonts w:hint="eastAsia" w:ascii="宋体" w:hAnsi="宋体" w:eastAsia="宋体" w:cs="宋体"/>
                      <w:i w:val="0"/>
                      <w:iCs w:val="0"/>
                      <w:color w:val="auto"/>
                      <w:kern w:val="0"/>
                      <w:sz w:val="21"/>
                      <w:szCs w:val="21"/>
                      <w:u w:val="none"/>
                      <w:lang w:val="en-US" w:eastAsia="zh-CN" w:bidi="ar"/>
                    </w:rPr>
                    <w:t>铁件</w:t>
                  </w:r>
                </w:p>
              </w:tc>
              <w:tc>
                <w:tcPr>
                  <w:tcW w:w="1076" w:type="pct"/>
                  <w:tcBorders>
                    <w:tl2br w:val="nil"/>
                    <w:tr2bl w:val="nil"/>
                  </w:tcBorders>
                  <w:shd w:val="clear" w:color="auto" w:fill="auto"/>
                  <w:noWrap w:val="0"/>
                  <w:vAlign w:val="center"/>
                </w:tcPr>
                <w:p w14:paraId="3281CBE8">
                  <w:pPr>
                    <w:keepNext w:val="0"/>
                    <w:keepLines w:val="0"/>
                    <w:widowControl/>
                    <w:suppressLineNumbers w:val="0"/>
                    <w:jc w:val="center"/>
                    <w:textAlignment w:val="center"/>
                    <w:rPr>
                      <w:rFonts w:hint="eastAsia" w:ascii="Times New Roman" w:hAnsi="Times New Roman" w:eastAsia="宋体" w:cs="宋体"/>
                      <w:color w:val="auto"/>
                      <w:spacing w:val="4"/>
                      <w:sz w:val="21"/>
                      <w:szCs w:val="24"/>
                      <w:lang w:val="en-US" w:eastAsia="zh-CN" w:bidi="ar-SA"/>
                    </w:rPr>
                  </w:pPr>
                  <w:r>
                    <w:rPr>
                      <w:rFonts w:hint="eastAsia"/>
                      <w:color w:val="auto"/>
                      <w:lang w:eastAsia="zh-CN"/>
                    </w:rPr>
                    <w:t>1750</w:t>
                  </w:r>
                </w:p>
              </w:tc>
            </w:tr>
            <w:tr w14:paraId="3E00840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60" w:type="pct"/>
                  <w:tcBorders>
                    <w:tl2br w:val="nil"/>
                    <w:tr2bl w:val="nil"/>
                  </w:tcBorders>
                  <w:noWrap w:val="0"/>
                  <w:vAlign w:val="center"/>
                </w:tcPr>
                <w:p w14:paraId="451C5FDA">
                  <w:pPr>
                    <w:pStyle w:val="245"/>
                    <w:rPr>
                      <w:color w:val="auto"/>
                    </w:rPr>
                  </w:pPr>
                  <w:r>
                    <w:rPr>
                      <w:rFonts w:hint="eastAsia"/>
                      <w:color w:val="auto"/>
                      <w:lang w:val="en-US" w:eastAsia="zh-CN"/>
                    </w:rPr>
                    <w:t>/</w:t>
                  </w:r>
                </w:p>
              </w:tc>
              <w:tc>
                <w:tcPr>
                  <w:tcW w:w="853" w:type="pct"/>
                  <w:tcBorders>
                    <w:tl2br w:val="nil"/>
                    <w:tr2bl w:val="nil"/>
                  </w:tcBorders>
                  <w:noWrap w:val="0"/>
                  <w:vAlign w:val="center"/>
                </w:tcPr>
                <w:p w14:paraId="75847FF6">
                  <w:pPr>
                    <w:keepNext w:val="0"/>
                    <w:keepLines w:val="0"/>
                    <w:widowControl/>
                    <w:suppressLineNumbers w:val="0"/>
                    <w:jc w:val="center"/>
                    <w:textAlignment w:val="center"/>
                    <w:rPr>
                      <w:rFonts w:hint="eastAsia"/>
                      <w:color w:val="auto"/>
                    </w:rPr>
                  </w:pPr>
                  <w:r>
                    <w:rPr>
                      <w:rFonts w:hint="default" w:ascii="Times New Roman" w:hAnsi="Times New Roman" w:eastAsia="宋体" w:cs="Times New Roman"/>
                      <w:i w:val="0"/>
                      <w:iCs w:val="0"/>
                      <w:color w:val="auto"/>
                      <w:kern w:val="0"/>
                      <w:sz w:val="21"/>
                      <w:szCs w:val="21"/>
                      <w:u w:val="none"/>
                      <w:lang w:val="en-US" w:eastAsia="zh-CN" w:bidi="ar"/>
                    </w:rPr>
                    <w:t>/</w:t>
                  </w:r>
                </w:p>
              </w:tc>
              <w:tc>
                <w:tcPr>
                  <w:tcW w:w="1510" w:type="pct"/>
                  <w:tcBorders>
                    <w:tl2br w:val="nil"/>
                    <w:tr2bl w:val="nil"/>
                  </w:tcBorders>
                  <w:shd w:val="clear" w:color="auto" w:fill="auto"/>
                  <w:noWrap w:val="0"/>
                  <w:vAlign w:val="center"/>
                </w:tcPr>
                <w:p w14:paraId="157A5A87">
                  <w:pPr>
                    <w:keepNext w:val="0"/>
                    <w:keepLines w:val="0"/>
                    <w:widowControl/>
                    <w:suppressLineNumbers w:val="0"/>
                    <w:jc w:val="center"/>
                    <w:textAlignment w:val="center"/>
                    <w:rPr>
                      <w:rFonts w:hint="default" w:ascii="Times New Roman" w:hAnsi="Times New Roman" w:eastAsia="宋体" w:cs="宋体"/>
                      <w:color w:val="auto"/>
                      <w:spacing w:val="4"/>
                      <w:sz w:val="21"/>
                      <w:szCs w:val="24"/>
                      <w:lang w:val="en-US" w:eastAsia="zh-CN" w:bidi="ar-SA"/>
                    </w:rPr>
                  </w:pPr>
                  <w:r>
                    <w:rPr>
                      <w:rFonts w:hint="eastAsia" w:ascii="宋体" w:hAnsi="宋体" w:eastAsia="宋体" w:cs="宋体"/>
                      <w:i w:val="0"/>
                      <w:iCs w:val="0"/>
                      <w:color w:val="auto"/>
                      <w:kern w:val="0"/>
                      <w:sz w:val="21"/>
                      <w:szCs w:val="21"/>
                      <w:u w:val="none"/>
                      <w:lang w:val="en-US" w:eastAsia="zh-CN" w:bidi="ar"/>
                    </w:rPr>
                    <w:t>小石块等</w:t>
                  </w:r>
                </w:p>
              </w:tc>
              <w:tc>
                <w:tcPr>
                  <w:tcW w:w="1076" w:type="pct"/>
                  <w:tcBorders>
                    <w:tl2br w:val="nil"/>
                    <w:tr2bl w:val="nil"/>
                  </w:tcBorders>
                  <w:shd w:val="clear" w:color="auto" w:fill="auto"/>
                  <w:noWrap w:val="0"/>
                  <w:vAlign w:val="center"/>
                </w:tcPr>
                <w:p w14:paraId="6ED3E723">
                  <w:pPr>
                    <w:keepNext w:val="0"/>
                    <w:keepLines w:val="0"/>
                    <w:widowControl/>
                    <w:suppressLineNumbers w:val="0"/>
                    <w:jc w:val="center"/>
                    <w:textAlignment w:val="center"/>
                    <w:rPr>
                      <w:rFonts w:hint="eastAsia" w:ascii="Times New Roman" w:hAnsi="Times New Roman" w:eastAsia="宋体" w:cs="宋体"/>
                      <w:color w:val="auto"/>
                      <w:spacing w:val="4"/>
                      <w:sz w:val="21"/>
                      <w:szCs w:val="24"/>
                      <w:lang w:val="en-US" w:eastAsia="zh-CN" w:bidi="ar-SA"/>
                    </w:rPr>
                  </w:pPr>
                  <w:r>
                    <w:rPr>
                      <w:rFonts w:hint="eastAsia"/>
                      <w:color w:val="auto"/>
                      <w:lang w:eastAsia="zh-CN"/>
                    </w:rPr>
                    <w:t>1750</w:t>
                  </w:r>
                </w:p>
              </w:tc>
            </w:tr>
            <w:tr w14:paraId="55F5FA0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60" w:type="pct"/>
                  <w:tcBorders>
                    <w:tl2br w:val="nil"/>
                    <w:tr2bl w:val="nil"/>
                  </w:tcBorders>
                  <w:noWrap w:val="0"/>
                  <w:vAlign w:val="center"/>
                </w:tcPr>
                <w:p w14:paraId="36BDD3C4">
                  <w:pPr>
                    <w:pStyle w:val="245"/>
                    <w:rPr>
                      <w:rFonts w:hint="eastAsia"/>
                      <w:color w:val="auto"/>
                      <w:lang w:val="en-US" w:eastAsia="zh-CN"/>
                    </w:rPr>
                  </w:pPr>
                  <w:r>
                    <w:rPr>
                      <w:rFonts w:hint="eastAsia"/>
                      <w:color w:val="auto"/>
                      <w:lang w:val="en-US" w:eastAsia="zh-CN"/>
                    </w:rPr>
                    <w:t>/</w:t>
                  </w:r>
                </w:p>
              </w:tc>
              <w:tc>
                <w:tcPr>
                  <w:tcW w:w="853" w:type="pct"/>
                  <w:tcBorders>
                    <w:tl2br w:val="nil"/>
                    <w:tr2bl w:val="nil"/>
                  </w:tcBorders>
                  <w:noWrap w:val="0"/>
                  <w:vAlign w:val="center"/>
                </w:tcPr>
                <w:p w14:paraId="44E20DB6">
                  <w:pPr>
                    <w:keepNext w:val="0"/>
                    <w:keepLines w:val="0"/>
                    <w:widowControl/>
                    <w:suppressLineNumbers w:val="0"/>
                    <w:jc w:val="center"/>
                    <w:textAlignment w:val="center"/>
                    <w:rPr>
                      <w:rFonts w:hint="eastAsia"/>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510" w:type="pct"/>
                  <w:tcBorders>
                    <w:tl2br w:val="nil"/>
                    <w:tr2bl w:val="nil"/>
                  </w:tcBorders>
                  <w:shd w:val="clear" w:color="auto" w:fill="auto"/>
                  <w:noWrap w:val="0"/>
                  <w:vAlign w:val="center"/>
                </w:tcPr>
                <w:p w14:paraId="166E82D9">
                  <w:pPr>
                    <w:keepNext w:val="0"/>
                    <w:keepLines w:val="0"/>
                    <w:widowControl/>
                    <w:suppressLineNumbers w:val="0"/>
                    <w:jc w:val="center"/>
                    <w:textAlignment w:val="center"/>
                    <w:rPr>
                      <w:rFonts w:hint="default" w:cs="宋体"/>
                      <w:color w:val="auto"/>
                      <w:spacing w:val="4"/>
                      <w:sz w:val="21"/>
                      <w:szCs w:val="24"/>
                      <w:lang w:val="en-US" w:eastAsia="zh-CN" w:bidi="ar-SA"/>
                    </w:rPr>
                  </w:pPr>
                  <w:r>
                    <w:rPr>
                      <w:rFonts w:hint="eastAsia" w:ascii="宋体" w:hAnsi="宋体" w:eastAsia="宋体" w:cs="宋体"/>
                      <w:i w:val="0"/>
                      <w:iCs w:val="0"/>
                      <w:color w:val="auto"/>
                      <w:kern w:val="0"/>
                      <w:sz w:val="21"/>
                      <w:szCs w:val="21"/>
                      <w:u w:val="none"/>
                      <w:lang w:val="en-US" w:eastAsia="zh-CN" w:bidi="ar"/>
                    </w:rPr>
                    <w:t>外排粉尘</w:t>
                  </w:r>
                </w:p>
              </w:tc>
              <w:tc>
                <w:tcPr>
                  <w:tcW w:w="1076" w:type="pct"/>
                  <w:tcBorders>
                    <w:tl2br w:val="nil"/>
                    <w:tr2bl w:val="nil"/>
                  </w:tcBorders>
                  <w:shd w:val="clear" w:color="auto" w:fill="auto"/>
                  <w:noWrap w:val="0"/>
                  <w:vAlign w:val="center"/>
                </w:tcPr>
                <w:p w14:paraId="0A5C51EA">
                  <w:pPr>
                    <w:keepNext w:val="0"/>
                    <w:keepLines w:val="0"/>
                    <w:widowControl/>
                    <w:suppressLineNumbers w:val="0"/>
                    <w:jc w:val="center"/>
                    <w:textAlignment w:val="center"/>
                    <w:rPr>
                      <w:rFonts w:hint="eastAsia" w:cs="宋体"/>
                      <w:color w:val="auto"/>
                      <w:spacing w:val="4"/>
                      <w:sz w:val="21"/>
                      <w:szCs w:val="24"/>
                      <w:lang w:val="en-US" w:eastAsia="zh-CN" w:bidi="ar-SA"/>
                    </w:rPr>
                  </w:pPr>
                  <w:r>
                    <w:rPr>
                      <w:rFonts w:hint="eastAsia" w:cs="Times New Roman"/>
                      <w:i w:val="0"/>
                      <w:iCs w:val="0"/>
                      <w:color w:val="auto"/>
                      <w:kern w:val="0"/>
                      <w:sz w:val="21"/>
                      <w:szCs w:val="21"/>
                      <w:u w:val="none"/>
                      <w:lang w:val="en-US" w:eastAsia="zh-CN" w:bidi="ar"/>
                    </w:rPr>
                    <w:t>8.492</w:t>
                  </w:r>
                </w:p>
              </w:tc>
            </w:tr>
            <w:tr w14:paraId="3BE4B93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60" w:type="pct"/>
                  <w:tcBorders>
                    <w:tl2br w:val="nil"/>
                    <w:tr2bl w:val="nil"/>
                  </w:tcBorders>
                  <w:noWrap w:val="0"/>
                  <w:vAlign w:val="center"/>
                </w:tcPr>
                <w:p w14:paraId="5438FE90">
                  <w:pPr>
                    <w:pStyle w:val="245"/>
                    <w:rPr>
                      <w:rFonts w:hint="eastAsia"/>
                      <w:color w:val="auto"/>
                      <w:lang w:val="en-US" w:eastAsia="zh-CN"/>
                    </w:rPr>
                  </w:pPr>
                  <w:r>
                    <w:rPr>
                      <w:rFonts w:hint="eastAsia"/>
                      <w:color w:val="auto"/>
                      <w:lang w:val="en-US" w:eastAsia="zh-CN"/>
                    </w:rPr>
                    <w:t>/</w:t>
                  </w:r>
                </w:p>
              </w:tc>
              <w:tc>
                <w:tcPr>
                  <w:tcW w:w="853" w:type="pct"/>
                  <w:tcBorders>
                    <w:tl2br w:val="nil"/>
                    <w:tr2bl w:val="nil"/>
                  </w:tcBorders>
                  <w:noWrap w:val="0"/>
                  <w:vAlign w:val="center"/>
                </w:tcPr>
                <w:p w14:paraId="55ABE18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510" w:type="pct"/>
                  <w:tcBorders>
                    <w:tl2br w:val="nil"/>
                    <w:tr2bl w:val="nil"/>
                  </w:tcBorders>
                  <w:shd w:val="clear" w:color="auto" w:fill="auto"/>
                  <w:noWrap w:val="0"/>
                  <w:vAlign w:val="center"/>
                </w:tcPr>
                <w:p w14:paraId="5907327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水蒸气（烘干损耗）</w:t>
                  </w:r>
                </w:p>
              </w:tc>
              <w:tc>
                <w:tcPr>
                  <w:tcW w:w="1076" w:type="pct"/>
                  <w:tcBorders>
                    <w:tl2br w:val="nil"/>
                    <w:tr2bl w:val="nil"/>
                  </w:tcBorders>
                  <w:shd w:val="clear" w:color="auto" w:fill="auto"/>
                  <w:noWrap w:val="0"/>
                  <w:vAlign w:val="center"/>
                </w:tcPr>
                <w:p w14:paraId="09DB4948">
                  <w:pPr>
                    <w:keepNext w:val="0"/>
                    <w:keepLines w:val="0"/>
                    <w:widowControl/>
                    <w:suppressLineNumbers w:val="0"/>
                    <w:jc w:val="center"/>
                    <w:textAlignment w:val="center"/>
                    <w:rPr>
                      <w:rFonts w:hint="default" w:cs="宋体"/>
                      <w:color w:val="auto"/>
                      <w:spacing w:val="4"/>
                      <w:sz w:val="21"/>
                      <w:szCs w:val="24"/>
                      <w:lang w:val="en-US" w:eastAsia="zh-CN" w:bidi="ar-SA"/>
                    </w:rPr>
                  </w:pPr>
                  <w:r>
                    <w:rPr>
                      <w:rFonts w:hint="eastAsia" w:cs="Times New Roman"/>
                      <w:i w:val="0"/>
                      <w:iCs w:val="0"/>
                      <w:color w:val="auto"/>
                      <w:kern w:val="0"/>
                      <w:sz w:val="21"/>
                      <w:szCs w:val="21"/>
                      <w:u w:val="none"/>
                      <w:lang w:val="en-US" w:eastAsia="zh-CN" w:bidi="ar"/>
                    </w:rPr>
                    <w:t>16500</w:t>
                  </w:r>
                </w:p>
              </w:tc>
            </w:tr>
            <w:tr w14:paraId="70C1DC62">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60" w:type="pct"/>
                  <w:tcBorders>
                    <w:tl2br w:val="nil"/>
                    <w:tr2bl w:val="nil"/>
                  </w:tcBorders>
                  <w:noWrap w:val="0"/>
                  <w:vAlign w:val="center"/>
                </w:tcPr>
                <w:p w14:paraId="1EE898BF">
                  <w:pPr>
                    <w:pStyle w:val="245"/>
                    <w:rPr>
                      <w:color w:val="auto"/>
                    </w:rPr>
                  </w:pPr>
                  <w:r>
                    <w:rPr>
                      <w:rFonts w:hint="eastAsia"/>
                      <w:color w:val="auto"/>
                    </w:rPr>
                    <w:t>合计</w:t>
                  </w:r>
                </w:p>
              </w:tc>
              <w:tc>
                <w:tcPr>
                  <w:tcW w:w="853" w:type="pct"/>
                  <w:tcBorders>
                    <w:tl2br w:val="nil"/>
                    <w:tr2bl w:val="nil"/>
                  </w:tcBorders>
                  <w:shd w:val="clear" w:color="auto" w:fill="auto"/>
                  <w:noWrap w:val="0"/>
                  <w:vAlign w:val="center"/>
                </w:tcPr>
                <w:p w14:paraId="2DB67A7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35082.588</w:t>
                  </w:r>
                </w:p>
              </w:tc>
              <w:tc>
                <w:tcPr>
                  <w:tcW w:w="1510" w:type="pct"/>
                  <w:tcBorders>
                    <w:tl2br w:val="nil"/>
                    <w:tr2bl w:val="nil"/>
                  </w:tcBorders>
                  <w:noWrap w:val="0"/>
                  <w:vAlign w:val="center"/>
                </w:tcPr>
                <w:p w14:paraId="203ADFEA">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合计</w:t>
                  </w:r>
                </w:p>
              </w:tc>
              <w:tc>
                <w:tcPr>
                  <w:tcW w:w="1076" w:type="pct"/>
                  <w:tcBorders>
                    <w:tl2br w:val="nil"/>
                    <w:tr2bl w:val="nil"/>
                  </w:tcBorders>
                  <w:shd w:val="clear" w:color="auto" w:fill="auto"/>
                  <w:noWrap w:val="0"/>
                  <w:vAlign w:val="center"/>
                </w:tcPr>
                <w:p w14:paraId="5FCDDD4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35082.588</w:t>
                  </w:r>
                </w:p>
              </w:tc>
            </w:tr>
          </w:tbl>
          <w:p w14:paraId="21D500B9">
            <w:pPr>
              <w:adjustRightInd w:val="0"/>
              <w:snapToGrid w:val="0"/>
              <w:spacing w:line="360" w:lineRule="auto"/>
              <w:jc w:val="left"/>
              <w:rPr>
                <w:rFonts w:ascii="Times New Roman" w:hAnsi="Times New Roman"/>
                <w:b/>
                <w:bCs/>
                <w:color w:val="auto"/>
                <w:sz w:val="24"/>
                <w:szCs w:val="24"/>
              </w:rPr>
            </w:pPr>
          </w:p>
          <w:p w14:paraId="047FA431">
            <w:pPr>
              <w:adjustRightInd w:val="0"/>
              <w:snapToGrid w:val="0"/>
              <w:spacing w:line="360" w:lineRule="auto"/>
              <w:jc w:val="left"/>
              <w:rPr>
                <w:rFonts w:ascii="Times New Roman" w:hAnsi="Times New Roman"/>
                <w:b/>
                <w:bCs/>
                <w:color w:val="auto"/>
                <w:sz w:val="24"/>
                <w:szCs w:val="24"/>
              </w:rPr>
            </w:pPr>
            <w:r>
              <w:rPr>
                <w:rFonts w:ascii="Times New Roman" w:hAnsi="Times New Roman"/>
                <w:b/>
                <w:bCs/>
                <w:color w:val="auto"/>
                <w:sz w:val="24"/>
                <w:szCs w:val="24"/>
              </w:rPr>
              <w:t>2.1.</w:t>
            </w:r>
            <w:r>
              <w:rPr>
                <w:rFonts w:hint="eastAsia"/>
                <w:b/>
                <w:bCs/>
                <w:color w:val="auto"/>
                <w:sz w:val="24"/>
                <w:szCs w:val="24"/>
                <w:lang w:val="en-US" w:eastAsia="zh-CN"/>
              </w:rPr>
              <w:t>9</w:t>
            </w:r>
            <w:r>
              <w:rPr>
                <w:rFonts w:ascii="Times New Roman" w:hAnsi="Times New Roman"/>
                <w:b/>
                <w:bCs/>
                <w:color w:val="auto"/>
                <w:sz w:val="24"/>
                <w:szCs w:val="24"/>
              </w:rPr>
              <w:t>总平面布置及合理性分析</w:t>
            </w:r>
          </w:p>
          <w:p w14:paraId="49ED7A83">
            <w:pPr>
              <w:adjustRightInd w:val="0"/>
              <w:snapToGrid w:val="0"/>
              <w:spacing w:line="360" w:lineRule="auto"/>
              <w:ind w:firstLine="480" w:firstLineChars="200"/>
              <w:jc w:val="left"/>
              <w:rPr>
                <w:rFonts w:ascii="Times New Roman" w:hAnsi="Times New Roman"/>
                <w:bCs/>
                <w:color w:val="auto"/>
                <w:szCs w:val="21"/>
              </w:rPr>
            </w:pPr>
            <w:r>
              <w:rPr>
                <w:rFonts w:ascii="Times New Roman" w:hAnsi="Times New Roman"/>
                <w:bCs/>
                <w:color w:val="auto"/>
                <w:sz w:val="24"/>
                <w:szCs w:val="24"/>
              </w:rPr>
              <w:t>项目布局按照生产工艺、消防需求、安全生产等原则设定，整体布局紧凑，各车间按生产工艺流程安排，功能区布局明确，便于工艺流程的进行和成品的堆放，使物流通畅，厂房内留出必要的间距和通道，符合防火、卫生、安全要求，总平面布置合理。项目车间总平面布置见附图3。</w:t>
            </w:r>
          </w:p>
        </w:tc>
      </w:tr>
      <w:tr w14:paraId="6D9FA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7B42B404">
            <w:pPr>
              <w:pStyle w:val="19"/>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工艺流程和产排污环节</w:t>
            </w:r>
          </w:p>
        </w:tc>
        <w:tc>
          <w:tcPr>
            <w:tcW w:w="8344" w:type="dxa"/>
            <w:noWrap w:val="0"/>
            <w:vAlign w:val="top"/>
          </w:tcPr>
          <w:p w14:paraId="6E1859CA">
            <w:pPr>
              <w:adjustRightInd w:val="0"/>
              <w:snapToGrid w:val="0"/>
              <w:spacing w:line="360" w:lineRule="auto"/>
              <w:jc w:val="left"/>
              <w:rPr>
                <w:rFonts w:hint="default" w:ascii="Times New Roman" w:hAnsi="Times New Roman" w:eastAsia="宋体"/>
                <w:b/>
                <w:bCs/>
                <w:color w:val="auto"/>
                <w:sz w:val="24"/>
                <w:szCs w:val="24"/>
                <w:lang w:val="en-US" w:eastAsia="zh-CN"/>
              </w:rPr>
            </w:pPr>
            <w:r>
              <w:rPr>
                <w:color w:val="auto"/>
                <w:sz w:val="28"/>
              </w:rPr>
              <mc:AlternateContent>
                <mc:Choice Requires="wps">
                  <w:drawing>
                    <wp:anchor distT="0" distB="0" distL="114300" distR="114300" simplePos="0" relativeHeight="251668480" behindDoc="0" locked="0" layoutInCell="1" allowOverlap="1">
                      <wp:simplePos x="0" y="0"/>
                      <wp:positionH relativeFrom="column">
                        <wp:posOffset>2936240</wp:posOffset>
                      </wp:positionH>
                      <wp:positionV relativeFrom="paragraph">
                        <wp:posOffset>220345</wp:posOffset>
                      </wp:positionV>
                      <wp:extent cx="551815" cy="285750"/>
                      <wp:effectExtent l="0" t="0" r="635" b="0"/>
                      <wp:wrapNone/>
                      <wp:docPr id="74" name="文本框 74"/>
                      <wp:cNvGraphicFramePr/>
                      <a:graphic xmlns:a="http://schemas.openxmlformats.org/drawingml/2006/main">
                        <a:graphicData uri="http://schemas.microsoft.com/office/word/2010/wordprocessingShape">
                          <wps:wsp>
                            <wps:cNvSpPr txBox="1"/>
                            <wps:spPr>
                              <a:xfrm>
                                <a:off x="0" y="0"/>
                                <a:ext cx="55181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8DA8A1D">
                                  <w:pPr>
                                    <w:rPr>
                                      <w:rFonts w:hint="eastAsia" w:eastAsia="宋体"/>
                                      <w:lang w:val="en-US" w:eastAsia="zh-CN"/>
                                    </w:rPr>
                                  </w:pPr>
                                  <w:r>
                                    <w:rPr>
                                      <w:rFonts w:hint="eastAsia"/>
                                      <w:lang w:val="en-US"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2pt;margin-top:17.35pt;height:22.5pt;width:43.45pt;z-index:251668480;mso-width-relative:page;mso-height-relative:page;" fillcolor="#FFFFFF [3201]" filled="t" stroked="f" coordsize="21600,21600" o:gfxdata="UEsDBAoAAAAAAIdO4kAAAAAAAAAAAAAAAAAEAAAAZHJzL1BLAwQUAAAACACHTuJAmW8aDdYAAAAJ&#10;AQAADwAAAGRycy9kb3ducmV2LnhtbE2Py07DMBBF90j8gzVI7KiT1jQ0zaQLJLZI9LV2YxNHtceR&#10;7T6/HrOC5ege3XumWV2dZWcd4uAJoZwUwDR1Xg3UI2w3Hy9vwGKSpKT1pBFuOsKqfXxoZK38hb70&#10;eZ16lkso1hLBpDTWnMfOaCfjxI+acvbtg5Mpn6HnKshLLneWT4tizp0cKC8YOep3o7vj+uQQ9r27&#10;73flGIxyVtDn/bbZ+gHx+akslsCSvqY/GH71szq02engT6QiswhiPhUZRZiJClgGXsViBuyAUC0q&#10;4G3D/3/Q/gBQSwMEFAAAAAgAh07iQD0jgXtRAgAAkAQAAA4AAABkcnMvZTJvRG9jLnhtbK1UzW4T&#10;MRC+I/EOlu90k5C0JcqmCq2CkCpaqSDOjtebteQ/bCe75QHgDXriwp3n6nPw2Zu0oXDogRyc8cx4&#10;Zr5vZnZ21mlFtsIHaU1Jh0cDSoThtpJmXdJPH5evTikJkZmKKWtESW9FoGfzly9mrZuKkW2sqoQn&#10;CGLCtHUlbWJ006IIvBGahSPrhIGxtl6ziKtfF5VnLaJrVYwGg+Oitb5y3nIRArQXvZHuIvrnBLR1&#10;Lbm4sHyjhYl9VC8Ui4AUGukCnedq61rweFXXQUSiSgqkMZ9IAnmVzmI+Y9O1Z66RfFcCe04JTzBp&#10;Jg2SPoS6YJGRjZd/hdKSextsHY+41UUPJDMCFMPBE25uGuZExgKqg3sgPfy/sPzD9toTWZX0ZEyJ&#10;YRodv7/7fv/j1/3PbwQ6ENS6MIXfjYNn7N7aDmOz1wcoE+6u9jr9AxGBHfTePtArukg4lJPJ8HQ4&#10;oYTDNDqdnEwy/cXjY+dDfCesJkkoqUf3MqlsexkiCoHr3iXlClbJaimVyhe/Xp0rT7YMnV7mX6oR&#10;T/5wU4a0JT1+jdzplbHpfe+nDNwT1h5TkmK36nYErGx1C/ze9iMUHF9KVHnJQrxmHjMDyNiqeIWj&#10;VhZJ7E6ipLH+67/0yR+thJWSFjNY0vBlw7ygRL03aPKb4XichjZfxpOTES7+0LI6tJiNPrcAP8T+&#10;Op7F5B/VXqy91Z+xfIuUFSZmOHKXNO7F89hvBpaXi8UiO2FMHYuX5sbxFLonbbGJtpa5JYmmnpsd&#10;exjUTPtuqdImHN6z1+OHZ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W8aDdYAAAAJAQAADwAA&#10;AAAAAAABACAAAAAiAAAAZHJzL2Rvd25yZXYueG1sUEsBAhQAFAAAAAgAh07iQD0jgXtRAgAAkAQA&#10;AA4AAAAAAAAAAQAgAAAAJQEAAGRycy9lMm9Eb2MueG1sUEsFBgAAAAAGAAYAWQEAAOgFAAAAAA==&#10;">
                      <v:fill on="t" focussize="0,0"/>
                      <v:stroke on="f" weight="0.5pt"/>
                      <v:imagedata o:title=""/>
                      <o:lock v:ext="edit" aspectratio="f"/>
                      <v:textbox>
                        <w:txbxContent>
                          <w:p w14:paraId="48DA8A1D">
                            <w:pPr>
                              <w:rPr>
                                <w:rFonts w:hint="eastAsia" w:eastAsia="宋体"/>
                                <w:lang w:val="en-US" w:eastAsia="zh-CN"/>
                              </w:rPr>
                            </w:pPr>
                            <w:r>
                              <w:rPr>
                                <w:rFonts w:hint="eastAsia"/>
                                <w:lang w:val="en-US" w:eastAsia="zh-CN"/>
                              </w:rPr>
                              <w:t>废气</w:t>
                            </w:r>
                          </w:p>
                        </w:txbxContent>
                      </v:textbox>
                    </v:shape>
                  </w:pict>
                </mc:Fallback>
              </mc:AlternateContent>
            </w: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3479165</wp:posOffset>
                      </wp:positionH>
                      <wp:positionV relativeFrom="paragraph">
                        <wp:posOffset>210820</wp:posOffset>
                      </wp:positionV>
                      <wp:extent cx="836930" cy="285750"/>
                      <wp:effectExtent l="0" t="0" r="1270" b="0"/>
                      <wp:wrapNone/>
                      <wp:docPr id="55" name="文本框 55"/>
                      <wp:cNvGraphicFramePr/>
                      <a:graphic xmlns:a="http://schemas.openxmlformats.org/drawingml/2006/main">
                        <a:graphicData uri="http://schemas.microsoft.com/office/word/2010/wordprocessingShape">
                          <wps:wsp>
                            <wps:cNvSpPr txBox="1"/>
                            <wps:spPr>
                              <a:xfrm>
                                <a:off x="0" y="0"/>
                                <a:ext cx="83693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817A37">
                                  <w:pPr>
                                    <w:rPr>
                                      <w:rFonts w:hint="default" w:eastAsia="宋体"/>
                                      <w:lang w:val="en-US" w:eastAsia="zh-CN"/>
                                    </w:rPr>
                                  </w:pPr>
                                  <w:r>
                                    <w:rPr>
                                      <w:rFonts w:hint="eastAsia"/>
                                      <w:lang w:val="en-US" w:eastAsia="zh-CN"/>
                                    </w:rPr>
                                    <w:t>固废、废气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95pt;margin-top:16.6pt;height:22.5pt;width:65.9pt;z-index:251664384;mso-width-relative:page;mso-height-relative:page;" fillcolor="#FFFFFF [3201]" filled="t" stroked="f" coordsize="21600,21600" o:gfxdata="UEsDBAoAAAAAAIdO4kAAAAAAAAAAAAAAAAAEAAAAZHJzL1BLAwQUAAAACACHTuJAzroCkdcAAAAJ&#10;AQAADwAAAGRycy9kb3ducmV2LnhtbE2Py07DMBBF90j8gzVI7KiTtDRtmkkXSGyRaEvXbjzEUeNx&#10;ZLvPr8esYDm6R/eeqddXO4gz+dA7RsgnGQji1umeO4Td9v1lASJExVoNjgnhRgHWzeNDrSrtLvxJ&#10;503sRCrhUCkEE+NYSRlaQ1aFiRuJU/btvFUxnb6T2qtLKreDLLJsLq3qOS0YNdKbofa4OVmEfWfv&#10;+6989EbbYcYf99t253rE56c8W4GIdI1/MPzqJ3VoktPBnVgHMSC8zsplQhGm0wJEAublsgRxQCgX&#10;Bcimlv8/aH4AUEsDBBQAAAAIAIdO4kDD1uQ2UQIAAJAEAAAOAAAAZHJzL2Uyb0RvYy54bWytVM1u&#10;EzEQviPxDpbvdJO06U+UTRVaBSFVtFJBnB2vN2vJf9hOdssDwBv0xIU7z9Xn4LM3SUvh0AM5OOOZ&#10;8cx838zs9LzTimyED9Kakg4PBpQIw20lzaqknz4u3pxSEiIzFVPWiJLeiUDPZ69fTVs3ESPbWFUJ&#10;TxDEhEnrStrE6CZFEXgjNAsH1gkDY229ZhFXvyoqz1pE16oYDQbHRWt95bzlIgRoL3sj3Ub0Lwlo&#10;61pycWn5WgsT+6heKBYBKTTSBTrL1da14PG6roOIRJUUSGM+kQTyMp3FbMomK89cI/m2BPaSEp5h&#10;0kwaJN2HumSRkbWXf4XSknsbbB0PuNVFDyQzAhTDwTNubhvmRMYCqoPbkx7+X1j+YXPjiaxKOh5T&#10;YphGxx/uvz/8+PXw8xuBDgS1Lkzgd+vgGbu3tsPY7PQByoS7q71O/0BEYAe9d3t6RRcJh/L08Pjs&#10;EBYO0+h0fDLO9BePj50P8Z2wmiShpB7dy6SyzVWIKASuO5eUK1glq4VUKl/8anmhPNkwdHqRf6lG&#10;PPnDTRnSlvT4ELnTK2PT+95PGbgnrD2mJMVu2W0JWNrqDvi97UcoOL6QqPKKhXjDPGYGwLBV8RpH&#10;rSyS2K1ESWP913/pkz9aCSslLWawpOHLmnlBiXpv0OSz4dERwsZ8ORqfjHDxTy3Lpxaz1hcW4IfY&#10;X8ezmPyj2om1t/ozlm+essLEDEfuksadeBH7zcDycjGfZyeMqWPxytw6nkL3pM3X0dYytyTR1HOz&#10;ZQ+DmmnfLlXahKf37PX4IZ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66ApHXAAAACQEAAA8A&#10;AAAAAAAAAQAgAAAAIgAAAGRycy9kb3ducmV2LnhtbFBLAQIUABQAAAAIAIdO4kDD1uQ2UQIAAJAE&#10;AAAOAAAAAAAAAAEAIAAAACYBAABkcnMvZTJvRG9jLnhtbFBLBQYAAAAABgAGAFkBAADpBQAAAAA=&#10;">
                      <v:fill on="t" focussize="0,0"/>
                      <v:stroke on="f" weight="0.5pt"/>
                      <v:imagedata o:title=""/>
                      <o:lock v:ext="edit" aspectratio="f"/>
                      <v:textbox>
                        <w:txbxContent>
                          <w:p w14:paraId="1F817A37">
                            <w:pPr>
                              <w:rPr>
                                <w:rFonts w:hint="default" w:eastAsia="宋体"/>
                                <w:lang w:val="en-US" w:eastAsia="zh-CN"/>
                              </w:rPr>
                            </w:pPr>
                            <w:r>
                              <w:rPr>
                                <w:rFonts w:hint="eastAsia"/>
                                <w:lang w:val="en-US" w:eastAsia="zh-CN"/>
                              </w:rPr>
                              <w:t>固废、废气</w:t>
                            </w:r>
                          </w:p>
                        </w:txbxContent>
                      </v:textbox>
                    </v:shape>
                  </w:pict>
                </mc:Fallback>
              </mc:AlternateContent>
            </w: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1250315</wp:posOffset>
                      </wp:positionH>
                      <wp:positionV relativeFrom="paragraph">
                        <wp:posOffset>201295</wp:posOffset>
                      </wp:positionV>
                      <wp:extent cx="551815" cy="285750"/>
                      <wp:effectExtent l="0" t="0" r="635" b="0"/>
                      <wp:wrapNone/>
                      <wp:docPr id="46" name="文本框 46"/>
                      <wp:cNvGraphicFramePr/>
                      <a:graphic xmlns:a="http://schemas.openxmlformats.org/drawingml/2006/main">
                        <a:graphicData uri="http://schemas.microsoft.com/office/word/2010/wordprocessingShape">
                          <wps:wsp>
                            <wps:cNvSpPr txBox="1"/>
                            <wps:spPr>
                              <a:xfrm>
                                <a:off x="0" y="0"/>
                                <a:ext cx="55181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B7337E5">
                                  <w:pPr>
                                    <w:rPr>
                                      <w:rFonts w:hint="default" w:eastAsia="宋体"/>
                                      <w:lang w:val="en-US" w:eastAsia="zh-CN"/>
                                    </w:rPr>
                                  </w:pPr>
                                  <w:r>
                                    <w:rPr>
                                      <w:rFonts w:hint="eastAsia"/>
                                      <w:lang w:val="en-US" w:eastAsia="zh-CN"/>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45pt;margin-top:15.85pt;height:22.5pt;width:43.45pt;z-index:251663360;mso-width-relative:page;mso-height-relative:page;" fillcolor="#FFFFFF [3201]" filled="t" stroked="f" coordsize="21600,21600" o:gfxdata="UEsDBAoAAAAAAIdO4kAAAAAAAAAAAAAAAAAEAAAAZHJzL1BLAwQUAAAACACHTuJAkjpYvNUAAAAJ&#10;AQAADwAAAGRycy9kb3ducmV2LnhtbE2Py07DMBBF90j8gzVI7KiTFiVtiNMFElsk2tK1Gw9xhD2O&#10;bPf59QwrWF7N0Z1z2/XFO3HCmMZACspZAQKpD2akQcFu+/a0BJGyJqNdIFRwxQTr7v6u1Y0JZ/rA&#10;0yYPgksoNVqBzXlqpEy9Ra/TLExIfPsK0evMMQ7SRH3mcu/kvCgq6fVI/MHqCV8t9t+bo1ewH/xt&#10;/1lO0Rrvnun9dt3uwqjU40NZvIDIeMl/MPzqszp07HQIRzJJOM6rasWogkVZg2BgvlzwloOCuqpB&#10;dq38v6D7AVBLAwQUAAAACACHTuJAw9loplECAACQBAAADgAAAGRycy9lMm9Eb2MueG1srVTNbhMx&#10;EL4j8Q6W73STkLQlyqYKrYKQKlqpIM6O15u15D9sJ7vlAeANeuLCnefqc/DZm7ShcOiBHJzxzHhm&#10;vm9mdnbWaUW2wgdpTUmHRwNKhOG2kmZd0k8fl69OKQmRmYopa0RJb0WgZ/OXL2atm4qRbayqhCcI&#10;YsK0dSVtYnTTogi8EZqFI+uEgbG2XrOIq18XlWctomtVjAaD46K1vnLechECtBe9ke4i+ucEtHUt&#10;ubiwfKOFiX1ULxSLgBQa6QKd52rrWvB4VddBRKJKCqQxn0gCeZXOYj5j07VnrpF8VwJ7TglPMGkm&#10;DZI+hLpgkZGNl3+F0pJ7G2wdj7jVRQ8kMwIUw8ETbm4a5kTGAqqDeyA9/L+w/MP22hNZlXR8TIlh&#10;Gh2/v/t+/+PX/c9vBDoQ1Lowhd+Ng2fs3toOY7PXBygT7q72Ov0DEYEd9N4+0Cu6SDiUk8nwdDih&#10;hMM0Op2cTDL9xeNj50N8J6wmSSipR/cyqWx7GSIKgeveJeUKVslqKZXKF79enStPtgydXuZfqhFP&#10;/nBThrQlPX6N3OmVsel976cM3BPWHlOSYrfqdgSsbHUL/N72IxQcX0pUeclCvGYeMwPI2Kp4haNW&#10;FknsTqKksf7rv/TJH62ElZIWM1jS8GXDvKBEvTdo8pvheJyGNl/Gk5MRLv7Qsjq0mI0+twA/xP46&#10;nsXkH9VerL3Vn7F8i5QVJmY4cpc07sXz2G8GlpeLxSI7YUwdi5fmxvEUuidtsYm2lrkliaaemx17&#10;GNRM+26p0iYc3rPX44d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Oli81QAAAAkBAAAPAAAA&#10;AAAAAAEAIAAAACIAAABkcnMvZG93bnJldi54bWxQSwECFAAUAAAACACHTuJAw9loplECAACQBAAA&#10;DgAAAAAAAAABACAAAAAkAQAAZHJzL2Uyb0RvYy54bWxQSwUGAAAAAAYABgBZAQAA5wUAAAAA&#10;">
                      <v:fill on="t" focussize="0,0"/>
                      <v:stroke on="f" weight="0.5pt"/>
                      <v:imagedata o:title=""/>
                      <o:lock v:ext="edit" aspectratio="f"/>
                      <v:textbox>
                        <w:txbxContent>
                          <w:p w14:paraId="2B7337E5">
                            <w:pPr>
                              <w:rPr>
                                <w:rFonts w:hint="default" w:eastAsia="宋体"/>
                                <w:lang w:val="en-US" w:eastAsia="zh-CN"/>
                              </w:rPr>
                            </w:pPr>
                            <w:r>
                              <w:rPr>
                                <w:rFonts w:hint="eastAsia"/>
                                <w:lang w:val="en-US" w:eastAsia="zh-CN"/>
                              </w:rPr>
                              <w:t>固废</w:t>
                            </w:r>
                          </w:p>
                        </w:txbxContent>
                      </v:textbox>
                    </v:shape>
                  </w:pict>
                </mc:Fallback>
              </mc:AlternateContent>
            </w:r>
            <w:r>
              <w:rPr>
                <w:rFonts w:ascii="Times New Roman" w:hAnsi="Times New Roman"/>
                <w:b/>
                <w:bCs/>
                <w:color w:val="auto"/>
                <w:sz w:val="24"/>
                <w:szCs w:val="24"/>
              </w:rPr>
              <w:t>2.</w:t>
            </w:r>
            <w:r>
              <w:rPr>
                <w:rFonts w:hint="eastAsia" w:ascii="Times New Roman" w:hAnsi="Times New Roman"/>
                <w:b/>
                <w:bCs/>
                <w:color w:val="auto"/>
                <w:sz w:val="24"/>
                <w:szCs w:val="24"/>
                <w:lang w:val="en-US" w:eastAsia="zh-CN"/>
              </w:rPr>
              <w:t>2.1项目工艺流程</w:t>
            </w:r>
          </w:p>
          <w:p w14:paraId="110E5BF8">
            <w:pPr>
              <w:pStyle w:val="209"/>
              <w:ind w:firstLine="0" w:firstLineChars="0"/>
              <w:jc w:val="center"/>
              <w:rPr>
                <w:rFonts w:hint="eastAsia" w:eastAsia="宋体"/>
                <w:color w:val="auto"/>
                <w:lang w:eastAsia="zh-CN"/>
              </w:rPr>
            </w:pPr>
            <w:r>
              <w:rPr>
                <w:color w:val="auto"/>
                <w:sz w:val="28"/>
              </w:rPr>
              <mc:AlternateContent>
                <mc:Choice Requires="wps">
                  <w:drawing>
                    <wp:anchor distT="0" distB="0" distL="114300" distR="114300" simplePos="0" relativeHeight="251673600" behindDoc="0" locked="0" layoutInCell="1" allowOverlap="1">
                      <wp:simplePos x="0" y="0"/>
                      <wp:positionH relativeFrom="column">
                        <wp:posOffset>2231390</wp:posOffset>
                      </wp:positionH>
                      <wp:positionV relativeFrom="paragraph">
                        <wp:posOffset>191135</wp:posOffset>
                      </wp:positionV>
                      <wp:extent cx="1263650" cy="2286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26365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08F42">
                                  <w:pPr>
                                    <w:rPr>
                                      <w:rFonts w:hint="eastAsia"/>
                                      <w:sz w:val="18"/>
                                      <w:szCs w:val="18"/>
                                      <w:lang w:val="en-US" w:eastAsia="zh-CN"/>
                                    </w:rPr>
                                  </w:pPr>
                                  <w:r>
                                    <w:rPr>
                                      <w:rFonts w:hint="eastAsia" w:cs="Times New Roman"/>
                                      <w:color w:val="000000"/>
                                      <w:sz w:val="18"/>
                                      <w:szCs w:val="18"/>
                                      <w:lang w:val="en-US" w:eastAsia="zh-CN"/>
                                    </w:rPr>
                                    <w:t>20mm≤粒径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7pt;margin-top:15.05pt;height:18pt;width:99.5pt;z-index:251673600;mso-width-relative:page;mso-height-relative:page;" filled="f" stroked="f" coordsize="21600,21600" o:gfxdata="UEsDBAoAAAAAAIdO4kAAAAAAAAAAAAAAAAAEAAAAZHJzL1BLAwQUAAAACACHTuJA/hbi9tkAAAAJ&#10;AQAADwAAAGRycy9kb3ducmV2LnhtbE2Py07DMBBF90j9B2sqsaO2C4mqEKdCkSokBIuWbthNYjeJ&#10;8CPE7gO+nmFFd/M4unOmXF+cZSczxSF4BXIhgBnfBj34TsH+fXO3AhYTeo02eKPg20RYV7ObEgsd&#10;zn5rTrvUMQrxsUAFfUpjwXlse+MwLsJoPO0OYXKYqJ06ric8U7izfClEzh0Oni70OJq6N+3n7ugU&#10;vNSbN9w2S7f6sfXz6+Fp/Np/ZErdzqV4BJbMJf3D8KdP6lCRUxOOXkdmFdxn8oFQKoQERkCWCRo0&#10;CvJcAq9Kfv1B9QtQSwMEFAAAAAgAh07iQKAGaU88AgAAaAQAAA4AAABkcnMvZTJvRG9jLnhtbK1U&#10;wW4TMRC9I/EPlu90k7QNbdRNFVoVIVW0UkGcHa83u5LtMbbT3fIB8AecuHDnu/odPHuTNhQOPXDx&#10;jj3jN/PejPfktDea3SofWrIlH++NOFNWUtXaVck/frh4dcRZiMJWQpNVJb9TgZ/OX7446dxMTagh&#10;XSnPAGLDrHMlb2J0s6IIslFGhD1yysJZkzciYutXReVFB3Sji8loNC068pXzJFUIOD0fnHyD6J8D&#10;SHXdSnVOcm2UjQOqV1pEUApN6wKf52rrWsl4VddBRaZLDqYxr0gCe5nWYn4iZisvXNPKTQniOSU8&#10;4WREa5H0AepcRMHWvv0LyrTSU6A67kkyxUAkKwIW49ETbW4a4VTmAqmDexA9/D9Y+f722rO2Kvnh&#10;MWdWGHT8/vu3+x+/7n9+ZTiDQJ0LM8TdOETG/g31GJvtecBh4t3X3qQvGDH4Ie/dg7yqj0ymS5Pp&#10;/vQQLgnfZHI0HWX9i8fbzof4VpFhySi5R/uyquL2MkRUgtBtSEpm6aLVOrdQW9aVfLoP+D88uKEt&#10;LiYOQ63Jiv2y3xBbUnUHXp6G0QhOXrRIfilCvBYes4B68VriFZZaE5LQxuKsIf/lX+cpHi2Cl7MO&#10;s1Xy8HktvOJMv7No3vH44ACwMW8ODl9PsPG7nuWux67NGWF8x3iXTmYzxUe9NWtP5hMe1SJlhUtY&#10;idwlj1vzLA4Tj0cp1WKRgzB+TsRLe+Nkgh5EW6wj1W1WOsk0aLNRDwOYG7B5LGnCd/c56vEHMf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bi9tkAAAAJAQAADwAAAAAAAAABACAAAAAiAAAAZHJz&#10;L2Rvd25yZXYueG1sUEsBAhQAFAAAAAgAh07iQKAGaU88AgAAaAQAAA4AAAAAAAAAAQAgAAAAKAEA&#10;AGRycy9lMm9Eb2MueG1sUEsFBgAAAAAGAAYAWQEAANYFAAAAAA==&#10;">
                      <v:fill on="f" focussize="0,0"/>
                      <v:stroke on="f" weight="0.5pt"/>
                      <v:imagedata o:title=""/>
                      <o:lock v:ext="edit" aspectratio="f"/>
                      <v:textbox>
                        <w:txbxContent>
                          <w:p w14:paraId="4CA08F42">
                            <w:pPr>
                              <w:rPr>
                                <w:rFonts w:hint="eastAsia"/>
                                <w:sz w:val="18"/>
                                <w:szCs w:val="18"/>
                                <w:lang w:val="en-US" w:eastAsia="zh-CN"/>
                              </w:rPr>
                            </w:pPr>
                            <w:r>
                              <w:rPr>
                                <w:rFonts w:hint="eastAsia" w:cs="Times New Roman"/>
                                <w:color w:val="000000"/>
                                <w:sz w:val="18"/>
                                <w:szCs w:val="18"/>
                                <w:lang w:val="en-US" w:eastAsia="zh-CN"/>
                              </w:rPr>
                              <w:t>20mm≤粒径</w:t>
                            </w:r>
                          </w:p>
                        </w:txbxContent>
                      </v:textbox>
                    </v:shape>
                  </w:pict>
                </mc:Fallback>
              </mc:AlternateContent>
            </w:r>
            <w:r>
              <w:rPr>
                <w:color w:val="auto"/>
                <w:sz w:val="28"/>
              </w:rPr>
              <mc:AlternateContent>
                <mc:Choice Requires="wps">
                  <w:drawing>
                    <wp:anchor distT="0" distB="0" distL="114300" distR="114300" simplePos="0" relativeHeight="251672576" behindDoc="0" locked="0" layoutInCell="1" allowOverlap="1">
                      <wp:simplePos x="0" y="0"/>
                      <wp:positionH relativeFrom="column">
                        <wp:posOffset>2250440</wp:posOffset>
                      </wp:positionH>
                      <wp:positionV relativeFrom="paragraph">
                        <wp:posOffset>705485</wp:posOffset>
                      </wp:positionV>
                      <wp:extent cx="1263650" cy="2286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26365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B7C3B">
                                  <w:pPr>
                                    <w:rPr>
                                      <w:rFonts w:hint="eastAsia"/>
                                      <w:sz w:val="18"/>
                                      <w:szCs w:val="18"/>
                                      <w:lang w:val="en-US" w:eastAsia="zh-CN"/>
                                    </w:rPr>
                                  </w:pPr>
                                  <w:r>
                                    <w:rPr>
                                      <w:rFonts w:hint="eastAsia" w:cs="Times New Roman"/>
                                      <w:color w:val="000000"/>
                                      <w:sz w:val="18"/>
                                      <w:szCs w:val="18"/>
                                      <w:lang w:val="en-US" w:eastAsia="zh-CN"/>
                                    </w:rPr>
                                    <w:t>10mm≤粒径＜20mm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2pt;margin-top:55.55pt;height:18pt;width:99.5pt;z-index:251672576;mso-width-relative:page;mso-height-relative:page;" filled="f" stroked="f" coordsize="21600,21600" o:gfxdata="UEsDBAoAAAAAAIdO4kAAAAAAAAAAAAAAAAAEAAAAZHJzL1BLAwQUAAAACACHTuJAkpHt9toAAAAL&#10;AQAADwAAAGRycy9kb3ducmV2LnhtbE2PS0/DQAyE70j8h5WRuNFN2gSqkE2FIlVICA4tvXBzsm4S&#10;sY+Q3T7g12NOxTfPjMafy9XZGnGkKQzeKUhnCQhyrdeD6xTs3td3SxAhotNovCMF3xRgVV1flVho&#10;f3IbOm5jJ7jEhQIV9DGOhZSh7climPmRHHt7P1mMvE6d1BOeuNwaOU+Se2lxcHyhx5HqntrP7cEq&#10;eKnXb7hp5nb5Y+rn1/3T+LX7yJW6vUmTRxCRzvEShj98RoeKmRp/cDoIo2CRZxlH2eABwYk8X7DS&#10;sJI9pCCrUv7/ofoFUEsDBBQAAAAIAIdO4kBy2utDPAIAAGgEAAAOAAAAZHJzL2Uyb0RvYy54bWyt&#10;VMFuEzEQvSPxD5bvdJO0TUuUTRVaFSFVtFJBnB2vN7uS7TG2093yAfAHnLhw57v6HTx7k7YUDj1w&#10;8Y494zfz3ox3ftIbzW6UDy3Zko/3RpwpK6lq7brkHz+cvzrmLERhK6HJqpLfqsBPFi9fzDs3UxNq&#10;SFfKM4DYMOtcyZsY3awogmyUEWGPnLJw1uSNiNj6dVF50QHd6GIyGk2LjnzlPEkVAk7PBiffIvrn&#10;AFJdt1KdkdwYZeOA6pUWEZRC07rAF7naulYyXtZ1UJHpkoNpzCuSwF6ltVjMxWzthWtauS1BPKeE&#10;J5yMaC2S3kOdiSjYxrd/QZlWegpUxz1JphiIZEXAYjx6os11I5zKXCB1cPeih/8HK9/fXHnWViU/&#10;POLMCoOO333/dvfj193PrwxnEKhzYYa4a4fI2L+hHmOzOw84TLz72pv0BSMGP+S9vZdX9ZHJdGky&#10;3Z8ewiXhm0yOp6Osf/Fw2/kQ3yoyLBkl92hfVlXcXISIShC6C0nJLJ23WucWasu6kk/3Af+HBze0&#10;xcXEYag1WbFf9VtiK6puwcvTMBrByfMWyS9EiFfCYxZQL15LvMRSa0IS2lqcNeS//Os8xaNF8HLW&#10;YbZKHj5vhFec6XcWzXs9PjgAbMybg8OjCTb+sWf12GM35pQwvmO8SyezmeKj3pm1J/MJj2qZssIl&#10;rETuksedeRqHicejlGq5zEEYPyfihb12MkEPoi03keo2K51kGrTZqocBzA3YPpY04Y/3OerhB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KR7fbaAAAACwEAAA8AAAAAAAAAAQAgAAAAIgAAAGRy&#10;cy9kb3ducmV2LnhtbFBLAQIUABQAAAAIAIdO4kBy2utDPAIAAGgEAAAOAAAAAAAAAAEAIAAAACkB&#10;AABkcnMvZTJvRG9jLnhtbFBLBQYAAAAABgAGAFkBAADXBQAAAAA=&#10;">
                      <v:fill on="f" focussize="0,0"/>
                      <v:stroke on="f" weight="0.5pt"/>
                      <v:imagedata o:title=""/>
                      <o:lock v:ext="edit" aspectratio="f"/>
                      <v:textbox>
                        <w:txbxContent>
                          <w:p w14:paraId="12CB7C3B">
                            <w:pPr>
                              <w:rPr>
                                <w:rFonts w:hint="eastAsia"/>
                                <w:sz w:val="18"/>
                                <w:szCs w:val="18"/>
                                <w:lang w:val="en-US" w:eastAsia="zh-CN"/>
                              </w:rPr>
                            </w:pPr>
                            <w:r>
                              <w:rPr>
                                <w:rFonts w:hint="eastAsia" w:cs="Times New Roman"/>
                                <w:color w:val="000000"/>
                                <w:sz w:val="18"/>
                                <w:szCs w:val="18"/>
                                <w:lang w:val="en-US" w:eastAsia="zh-CN"/>
                              </w:rPr>
                              <w:t>10mm≤粒径＜20mm</w:t>
                            </w:r>
                          </w:p>
                        </w:txbxContent>
                      </v:textbox>
                    </v:shape>
                  </w:pict>
                </mc:Fallback>
              </mc:AlternateContent>
            </w:r>
            <w:r>
              <w:rPr>
                <w:color w:val="auto"/>
                <w:sz w:val="28"/>
              </w:rPr>
              <mc:AlternateContent>
                <mc:Choice Requires="wps">
                  <w:drawing>
                    <wp:anchor distT="0" distB="0" distL="114300" distR="114300" simplePos="0" relativeHeight="251671552" behindDoc="0" locked="0" layoutInCell="1" allowOverlap="1">
                      <wp:simplePos x="0" y="0"/>
                      <wp:positionH relativeFrom="column">
                        <wp:posOffset>2374265</wp:posOffset>
                      </wp:positionH>
                      <wp:positionV relativeFrom="paragraph">
                        <wp:posOffset>1200785</wp:posOffset>
                      </wp:positionV>
                      <wp:extent cx="920750" cy="228600"/>
                      <wp:effectExtent l="0" t="0" r="12700" b="0"/>
                      <wp:wrapNone/>
                      <wp:docPr id="56" name="文本框 56"/>
                      <wp:cNvGraphicFramePr/>
                      <a:graphic xmlns:a="http://schemas.openxmlformats.org/drawingml/2006/main">
                        <a:graphicData uri="http://schemas.microsoft.com/office/word/2010/wordprocessingShape">
                          <wps:wsp>
                            <wps:cNvSpPr txBox="1"/>
                            <wps:spPr>
                              <a:xfrm>
                                <a:off x="0" y="0"/>
                                <a:ext cx="92075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C10BF">
                                  <w:pPr>
                                    <w:rPr>
                                      <w:rFonts w:hint="eastAsia"/>
                                      <w:sz w:val="18"/>
                                      <w:szCs w:val="18"/>
                                      <w:lang w:val="en-US" w:eastAsia="zh-CN"/>
                                    </w:rPr>
                                  </w:pPr>
                                  <w:r>
                                    <w:rPr>
                                      <w:rFonts w:hint="eastAsia" w:cs="Times New Roman"/>
                                      <w:color w:val="000000"/>
                                      <w:sz w:val="18"/>
                                      <w:szCs w:val="18"/>
                                      <w:lang w:val="en-US" w:eastAsia="zh-CN"/>
                                    </w:rPr>
                                    <w:t>粒径＜10mm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95pt;margin-top:94.55pt;height:18pt;width:72.5pt;z-index:251671552;mso-width-relative:page;mso-height-relative:page;" filled="f" stroked="f" coordsize="21600,21600" o:gfxdata="UEsDBAoAAAAAAIdO4kAAAAAAAAAAAAAAAAAEAAAAZHJzL1BLAwQUAAAACACHTuJABeaCTtsAAAAL&#10;AQAADwAAAGRycy9kb3ducmV2LnhtbE2PTU/DMAyG70j8h8hI3FjaToWuazqhShMSgsPGLtzSxmur&#10;NU5psg/49ZjTuNl6H71+XKwudhAnnHzvSEE8i0AgNc701CrYfawfMhA+aDJ6cIQKvtHDqry9KXRu&#10;3Jk2eNqGVnAJ+Vwr6EIYcyl906HVfuZGJM72brI68Dq10kz6zOV2kEkUPUqre+ILnR6x6rA5bI9W&#10;wWu1ftebOrHZz1C9vO2fx6/dZ6rU/V0cLUEEvIQrDH/6rA4lO9XuSMaLQcH8ab5glINsEYNgIuUJ&#10;RK0gSdIYZFnI/z+Uv1BLAwQUAAAACACHTuJAyEXnnjsCAABnBAAADgAAAGRycy9lMm9Eb2MueG1s&#10;rVTBbhMxEL0j8Q+W73ST0KZt1E0VWhUhVbRSQZwdrze7ku0xttPd8gHwB5y4cOe7+h08e5M2FA49&#10;cNmMZ8Zv5r0Z5+S0N5rdKh9asiUf7404U1ZS1dpVyT9+uHh1xFmIwlZCk1Ulv1OBn85fvjjp3ExN&#10;qCFdKc8AYsOscyVvYnSzogiyUUaEPXLKIliTNyLi6FdF5UUHdKOLyWg0LTrylfMkVQjwng9BvkH0&#10;zwGkum6lOie5NsrGAdUrLSIohaZ1gc9zt3WtZLyq66Ai0yUH05i/KAJ7mb7F/ETMVl64ppWbFsRz&#10;WnjCyYjWougD1LmIgq19+xeUaaWnQHXck2SKgUhWBCzGoyfa3DTCqcwFUgf3IHr4f7Dy/e21Z21V&#10;8oMpZ1YYTPz++7f7H7/uf35l8EGgzoUZ8m4cMmP/hnqszdYf4Ey8+9qb9AtGDHHIe/cgr+ojk3Ae&#10;T0aHB4hIhCaTo+koy188XnY+xLeKDEtGyT2ml0UVt5chohGkblNSLUsXrdZ5gtqyruTT14D/I4Ib&#10;2uJiojC0mqzYL/sNryVVd6DladiM4ORFi+KXIsRr4bEK6BePJV7hU2tCEdpYnDXkv/zLn/IxIUQ5&#10;67BaJQ+f18IrzvQ7i9kdj/f3ARvzYf/gcIKD340sdyN2bc4I2zvGs3Qymyk/6q1ZezKf8KYWqSpC&#10;wkrULnncmmdxWHi8SakWi5yE7XMiXtobJxP0INpiHalus9JJpkGbjXrYvzyAzVtJC757zlmP/w/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Xmgk7bAAAACwEAAA8AAAAAAAAAAQAgAAAAIgAAAGRy&#10;cy9kb3ducmV2LnhtbFBLAQIUABQAAAAIAIdO4kDIReeeOwIAAGcEAAAOAAAAAAAAAAEAIAAAACoB&#10;AABkcnMvZTJvRG9jLnhtbFBLBQYAAAAABgAGAFkBAADXBQAAAAA=&#10;">
                      <v:fill on="f" focussize="0,0"/>
                      <v:stroke on="f" weight="0.5pt"/>
                      <v:imagedata o:title=""/>
                      <o:lock v:ext="edit" aspectratio="f"/>
                      <v:textbox>
                        <w:txbxContent>
                          <w:p w14:paraId="19EC10BF">
                            <w:pPr>
                              <w:rPr>
                                <w:rFonts w:hint="eastAsia"/>
                                <w:sz w:val="18"/>
                                <w:szCs w:val="18"/>
                                <w:lang w:val="en-US" w:eastAsia="zh-CN"/>
                              </w:rPr>
                            </w:pPr>
                            <w:r>
                              <w:rPr>
                                <w:rFonts w:hint="eastAsia" w:cs="Times New Roman"/>
                                <w:color w:val="000000"/>
                                <w:sz w:val="18"/>
                                <w:szCs w:val="18"/>
                                <w:lang w:val="en-US" w:eastAsia="zh-CN"/>
                              </w:rPr>
                              <w:t>粒径＜10mm</w:t>
                            </w:r>
                          </w:p>
                        </w:txbxContent>
                      </v:textbox>
                    </v:shape>
                  </w:pict>
                </mc:Fallback>
              </mc:AlternateContent>
            </w:r>
            <w:r>
              <w:rPr>
                <w:color w:val="auto"/>
                <w:sz w:val="28"/>
              </w:rPr>
              <mc:AlternateContent>
                <mc:Choice Requires="wps">
                  <w:drawing>
                    <wp:anchor distT="0" distB="0" distL="114300" distR="114300" simplePos="0" relativeHeight="251670528" behindDoc="0" locked="0" layoutInCell="1" allowOverlap="1">
                      <wp:simplePos x="0" y="0"/>
                      <wp:positionH relativeFrom="column">
                        <wp:posOffset>4184015</wp:posOffset>
                      </wp:positionH>
                      <wp:positionV relativeFrom="paragraph">
                        <wp:posOffset>391160</wp:posOffset>
                      </wp:positionV>
                      <wp:extent cx="551815" cy="285750"/>
                      <wp:effectExtent l="0" t="0" r="635" b="0"/>
                      <wp:wrapNone/>
                      <wp:docPr id="78" name="文本框 78"/>
                      <wp:cNvGraphicFramePr/>
                      <a:graphic xmlns:a="http://schemas.openxmlformats.org/drawingml/2006/main">
                        <a:graphicData uri="http://schemas.microsoft.com/office/word/2010/wordprocessingShape">
                          <wps:wsp>
                            <wps:cNvSpPr txBox="1"/>
                            <wps:spPr>
                              <a:xfrm>
                                <a:off x="0" y="0"/>
                                <a:ext cx="55181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A2C6778">
                                  <w:pPr>
                                    <w:rPr>
                                      <w:rFonts w:hint="eastAsia" w:eastAsia="宋体"/>
                                      <w:lang w:val="en-US" w:eastAsia="zh-CN"/>
                                    </w:rPr>
                                  </w:pPr>
                                  <w:r>
                                    <w:rPr>
                                      <w:rFonts w:hint="eastAsia"/>
                                      <w:lang w:val="en-US"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45pt;margin-top:30.8pt;height:22.5pt;width:43.45pt;z-index:251670528;mso-width-relative:page;mso-height-relative:page;" fillcolor="#FFFFFF [3201]" filled="t" stroked="f" coordsize="21600,21600" o:gfxdata="UEsDBAoAAAAAAIdO4kAAAAAAAAAAAAAAAAAEAAAAZHJzL1BLAwQUAAAACACHTuJA53+VmNUAAAAK&#10;AQAADwAAAGRycy9kb3ducmV2LnhtbE2PTU/DMAyG70j8h8hI3FhStJVRmu6AxBWJbeycNaapSJwq&#10;yT5/PeYEN1t+9Pp529U5eHHElMdIGqqZAoHURzvSoGG7eXtYgsjFkDU+Emq4YIZVd3vTmsbGE33g&#10;cV0GwSGUG6PBlTI1UubeYTB5Fickvn3FFEzhNQ3SJnPi8ODlo1K1DGYk/uDMhK8O++/1IWjYDeG6&#10;+6ym5Gzwc3q/XjbbOGp9f1epFxAFz+UPhl99VoeOnfbxQDYLr6FeLJ8Z5aGqQTDwNF9wlz2Tqq5B&#10;dq38X6H7AVBLAwQUAAAACACHTuJAuafbqFECAACQBAAADgAAAGRycy9lMm9Eb2MueG1srVTBbhMx&#10;EL0j8Q+W73ST0NASdVOFVkFIFa1UEGfH681a8nqM7WS3fAD8AScu3PmufgfP3qQthUMP5OCMZ8Yz&#10;897M7Mlp3xq2VT5osiUfH4w4U1ZSpe265B8/LF8ccxaisJUwZFXJb1Tgp/Pnz046N1MTashUyjME&#10;sWHWuZI3MbpZUQTZqFaEA3LKwliTb0XE1a+LyosO0VtTTEajV0VHvnKepAoB2vPByHcR/VMCUl1r&#10;qc5Jblpl4xDVKyMiIIVGu8Dnudq6VjJe1nVQkZmSA2nMJ5JAXqWzmJ+I2doL12i5K0E8pYRHmFqh&#10;LZLehToXUbCN13+FarX0FKiOB5LaYgCSGQGK8egRN9eNcCpjAdXB3ZEe/l9Y+X575ZmuSn6EvlvR&#10;ouO337/d/vh1+/Mrgw4EdS7M4Hft4Bn7N9RjbPb6AGXC3de+Tf9AxGAHvTd39Ko+MgnldDo+Hk85&#10;kzBNjqdH00x/cf/Y+RDfKmpZEkru0b1MqthehIhC4Lp3SbkCGV0ttTH54terM+PZVqDTy/xLNeLJ&#10;H27Gsq7kr14id3plKb0f/IyFe8I6YEpS7Ff9joAVVTfA72kYoeDkUqPKCxHilfCYGUDGVsVLHLUh&#10;JKGdxFlD/su/9MkfrYSVsw4zWPLweSO84sy8s2jy6/HhYRrafDmcHk1w8Q8tq4cWu2nPCODH2F8n&#10;s5j8o9mLtaf2E5ZvkbLCJKxE7pLHvXgWh83A8kq1WGQnjKkT8cJeO5lCD6QtNpFqnVuSaBq42bGH&#10;Qc2075YqbcLDe/a6/5D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nf5WY1QAAAAoBAAAPAAAA&#10;AAAAAAEAIAAAACIAAABkcnMvZG93bnJldi54bWxQSwECFAAUAAAACACHTuJAuafbqFECAACQBAAA&#10;DgAAAAAAAAABACAAAAAkAQAAZHJzL2Uyb0RvYy54bWxQSwUGAAAAAAYABgBZAQAA5wUAAAAA&#10;">
                      <v:fill on="t" focussize="0,0"/>
                      <v:stroke on="f" weight="0.5pt"/>
                      <v:imagedata o:title=""/>
                      <o:lock v:ext="edit" aspectratio="f"/>
                      <v:textbox>
                        <w:txbxContent>
                          <w:p w14:paraId="4A2C6778">
                            <w:pPr>
                              <w:rPr>
                                <w:rFonts w:hint="eastAsia" w:eastAsia="宋体"/>
                                <w:lang w:val="en-US" w:eastAsia="zh-CN"/>
                              </w:rPr>
                            </w:pPr>
                            <w:r>
                              <w:rPr>
                                <w:rFonts w:hint="eastAsia"/>
                                <w:lang w:val="en-US" w:eastAsia="zh-CN"/>
                              </w:rPr>
                              <w:t>废气</w:t>
                            </w:r>
                          </w:p>
                        </w:txbxContent>
                      </v:textbox>
                    </v:shape>
                  </w:pict>
                </mc:Fallback>
              </mc:AlternateContent>
            </w:r>
            <w:r>
              <w:rPr>
                <w:color w:val="auto"/>
                <w:sz w:val="28"/>
              </w:rPr>
              <mc:AlternateContent>
                <mc:Choice Requires="wps">
                  <w:drawing>
                    <wp:anchor distT="0" distB="0" distL="114300" distR="114300" simplePos="0" relativeHeight="251669504" behindDoc="0" locked="0" layoutInCell="1" allowOverlap="1">
                      <wp:simplePos x="0" y="0"/>
                      <wp:positionH relativeFrom="column">
                        <wp:posOffset>4441190</wp:posOffset>
                      </wp:positionH>
                      <wp:positionV relativeFrom="paragraph">
                        <wp:posOffset>689610</wp:posOffset>
                      </wp:positionV>
                      <wp:extent cx="0" cy="219075"/>
                      <wp:effectExtent l="38100" t="0" r="38100" b="9525"/>
                      <wp:wrapNone/>
                      <wp:docPr id="79" name="直接箭头连接符 79"/>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49.7pt;margin-top:54.3pt;height:17.25pt;width:0pt;z-index:251669504;mso-width-relative:page;mso-height-relative:page;" filled="f" stroked="t" coordsize="21600,21600" o:gfxdata="UEsDBAoAAAAAAIdO4kAAAAAAAAAAAAAAAAAEAAAAZHJzL1BLAwQUAAAACACHTuJAmPNXj9kAAAAL&#10;AQAADwAAAGRycy9kb3ducmV2LnhtbE2PzU7DMBCE70i8g7VI3KgdiKI0jdMDCEQlJETphZsTb5Oo&#10;/olsNy08PYs4wHFnPs3O1OuzNWzGEEfvJGQLAQxd5/Xoegm798ebElhMymllvEMJnxhh3Vxe1KrS&#10;/uTecN6mnlGIi5WSMKQ0VZzHbkCr4sJP6Mjb+2BVojP0XAd1onBr+K0QBbdqdPRhUBPeD9gdtkcr&#10;oWyfdx+H4il/MK+buGnn4L9egpTXV5lYAUt4Tn8w/NSn6tBQp9YfnY7MSCiWy5xQMkRZACPiV2lJ&#10;ye8y4E3N/29ovgFQSwMEFAAAAAgAh07iQAosfyISAgAA/wMAAA4AAABkcnMvZTJvRG9jLnhtbK1T&#10;vY4TMRDukXgHyz3ZJAiOW2VzRcLRIIjETz/xenct+U8eXzZ5CV4AiQqoOKrreRo4HoOxd8nB0VyB&#10;C2s84/lmvs/jxdneaLaTAZWzFZ9NppxJK1ytbFvxN6/PHzzhDCPYGrSzsuIHifxsef/eovelnLvO&#10;6VoGRiAWy95XvIvRl0WBopMGcOK8tBRsXDAQ6Rjaog7QE7rRxXw6fVz0LtQ+OCERybsegnxEDHcB&#10;dE2jhFw7cWGkjQNqkBoiUcJOeeTL3G3TSBFfNg3KyHTFiWnMOxUhe5v2YrmAsg3gOyXGFuAuLdzi&#10;ZEBZKnqEWkMEdhHUP1BGieDQNXEinCkGIlkRYjGb3tLmVQdeZi4kNfqj6Pj/YMWL3SYwVVf85JQz&#10;C4Ze/Pr91Y93n66/Xn7/ePXz24dkf/nMKE5i9R5LylnZTRhP6DchMd83wbBGK/+WpiprQezYPkt9&#10;OEot95GJwSnIO5+dTk8eJeBiQEhIPmB8Jp1hyag4xgCq7eLKWUvv6cKADrvnGIfE3wkp2bpzpTX5&#10;odSW9RV/OKMCTACNakMjQqbxRBdtyxnolv6AiCH3i06rOmWnZAztdqUD20GanLzGNv+6lkqvAbvh&#10;Xg6la1B2Euqntmbx4ElSS19p8EdQ+sYfgwLbaslTp0bWnGlJHSVroKYtSZNEH2RO1tbVh6x+9tNc&#10;ZPHGGU6D9+c5Z9/82+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PNXj9kAAAALAQAADwAAAAAA&#10;AAABACAAAAAiAAAAZHJzL2Rvd25yZXYueG1sUEsBAhQAFAAAAAgAh07iQAosfyISAgAA/wMAAA4A&#10;AAAAAAAAAQAgAAAAKAEAAGRycy9lMm9Eb2MueG1sUEsFBgAAAAAGAAYAWQEAAKwFAAAAAA==&#10;">
                      <v:fill on="f" focussize="0,0"/>
                      <v:stroke weight="0.25pt" color="#000000 [3213]" joinstyle="round" endarrow="block"/>
                      <v:imagedata o:title=""/>
                      <o:lock v:ext="edit" aspectratio="f"/>
                    </v:shape>
                  </w:pict>
                </mc:Fallback>
              </mc:AlternateContent>
            </w:r>
            <w:r>
              <w:rPr>
                <w:color w:val="auto"/>
                <w:sz w:val="28"/>
              </w:rPr>
              <mc:AlternateContent>
                <mc:Choice Requires="wps">
                  <w:drawing>
                    <wp:anchor distT="0" distB="0" distL="114300" distR="114300" simplePos="0" relativeHeight="251667456" behindDoc="0" locked="0" layoutInCell="1" allowOverlap="1">
                      <wp:simplePos x="0" y="0"/>
                      <wp:positionH relativeFrom="column">
                        <wp:posOffset>3193415</wp:posOffset>
                      </wp:positionH>
                      <wp:positionV relativeFrom="paragraph">
                        <wp:posOffset>222885</wp:posOffset>
                      </wp:positionV>
                      <wp:extent cx="0" cy="219075"/>
                      <wp:effectExtent l="38100" t="0" r="38100" b="9525"/>
                      <wp:wrapNone/>
                      <wp:docPr id="75" name="直接箭头连接符 75"/>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51.45pt;margin-top:17.55pt;height:17.25pt;width:0pt;z-index:251667456;mso-width-relative:page;mso-height-relative:page;" filled="f" stroked="t" coordsize="21600,21600" o:gfxdata="UEsDBAoAAAAAAIdO4kAAAAAAAAAAAAAAAAAEAAAAZHJzL1BLAwQUAAAACACHTuJAXjE3M9gAAAAJ&#10;AQAADwAAAGRycy9kb3ducmV2LnhtbE2PwU7DMAyG70i8Q2QkbizpYNVW6u4AAjEJCTF24ZY2pq3W&#10;OFWSdYOnJ4gDHG1/+v395fpkBzGRD71jhGymQBA3zvTcIuzeHq6WIELUbPTgmBA+KcC6Oj8rdWHc&#10;kV9p2sZWpBAOhUboYhwLKUPTkdVh5kbidPtw3uqYRt9K4/UxhdtBzpXKpdU9pw+dHumuo2a/PViE&#10;Zf20e9/njzf3w8smbOrJu69nj3h5kalbEJFO8Q+GH/2kDlVyqt2BTRADwkLNVwlFuF5kIBLwu6gR&#10;8lUOsirl/wbVN1BLAwQUAAAACACHTuJA7lgZwhECAAD/AwAADgAAAGRycy9lMm9Eb2MueG1srVNL&#10;jhMxEN0jcQfLe9JJEJ+J0plFwrBBEInP3nG7uy35pypPOrkEF0BiBawYVrPnNMNwDMp2yMCwmQW9&#10;sMrlrlfvPZfnpztr2FYBau9qPhmNOVNO+ka7ruZv35w9eMoZRuEaYbxTNd8r5KeL+/fmQ5ipqe+9&#10;aRQwAnE4G0LN+xjDrKpQ9soKHPmgHB22HqyItIWuakAMhG5NNR2PH1eDhyaAlwqRsqtyyA+IcBdA&#10;37ZaqpWX51a5WFBBGRFJEvY6IF9ktm2rZHzVtqgiMzUnpTGv1ITiTVqrxVzMOhCh1/JAQdyFwi1N&#10;VmhHTY9QKxEFOwf9D5TVEjz6No6kt1URkh0hFZPxLW9e9yKorIWsxnA0Hf8frHy5XQPTTc2fPOLM&#10;CUs3fv3h8sf7z9ffLq4+Xf78/jHFX78wOiezhoAzqlm6NRx2GNaQlO9asKw1OryjqcpekDq2y1bv&#10;j1arXWSyJCVlp5OTcQGuCkJCCoDxufKWpaDmGEHoro9L7xzdp4eCLrYvMBIHKvxdkIqdP9PG5Gs1&#10;jg01fzhJyqSgUW1pRCi0geSi6zgTpqM3ICNkvuiNblJ1wkHoNksDbCvS5OQv6aduf/2WWq8E9uW/&#10;fFRmqleieeYaFveBLHX0lEo+Cm1u8hG0cJ1RPDG1quHMKGKUotLMOOqZTC82p2jjm312P+dpLjKr&#10;wwynwftzn6tv3u3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4xNzPYAAAACQEAAA8AAAAAAAAA&#10;AQAgAAAAIgAAAGRycy9kb3ducmV2LnhtbFBLAQIUABQAAAAIAIdO4kDuWBnCEQIAAP8DAAAOAAAA&#10;AAAAAAEAIAAAACcBAABkcnMvZTJvRG9jLnhtbFBLBQYAAAAABgAGAFkBAACqBQAAAAA=&#10;">
                      <v:fill on="f" focussize="0,0"/>
                      <v:stroke weight="0.25pt" color="#000000 [3213]" joinstyle="round" endarrow="block"/>
                      <v:imagedata o:title=""/>
                      <o:lock v:ext="edit" aspectratio="f"/>
                    </v:shape>
                  </w:pict>
                </mc:Fallback>
              </mc:AlternateContent>
            </w:r>
            <w:r>
              <w:rPr>
                <w:color w:val="auto"/>
                <w:sz w:val="28"/>
              </w:rPr>
              <mc:AlternateContent>
                <mc:Choice Requires="wps">
                  <w:drawing>
                    <wp:anchor distT="0" distB="0" distL="114300" distR="114300" simplePos="0" relativeHeight="251666432" behindDoc="0" locked="0" layoutInCell="1" allowOverlap="1">
                      <wp:simplePos x="0" y="0"/>
                      <wp:positionH relativeFrom="column">
                        <wp:posOffset>1745615</wp:posOffset>
                      </wp:positionH>
                      <wp:positionV relativeFrom="paragraph">
                        <wp:posOffset>400685</wp:posOffset>
                      </wp:positionV>
                      <wp:extent cx="551815" cy="285750"/>
                      <wp:effectExtent l="0" t="0" r="635" b="0"/>
                      <wp:wrapNone/>
                      <wp:docPr id="73" name="文本框 73"/>
                      <wp:cNvGraphicFramePr/>
                      <a:graphic xmlns:a="http://schemas.openxmlformats.org/drawingml/2006/main">
                        <a:graphicData uri="http://schemas.microsoft.com/office/word/2010/wordprocessingShape">
                          <wps:wsp>
                            <wps:cNvSpPr txBox="1"/>
                            <wps:spPr>
                              <a:xfrm>
                                <a:off x="0" y="0"/>
                                <a:ext cx="55181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166C2E0">
                                  <w:pPr>
                                    <w:rPr>
                                      <w:rFonts w:hint="eastAsia" w:eastAsia="宋体"/>
                                      <w:lang w:val="en-US" w:eastAsia="zh-CN"/>
                                    </w:rPr>
                                  </w:pPr>
                                  <w:r>
                                    <w:rPr>
                                      <w:rFonts w:hint="eastAsia"/>
                                      <w:lang w:val="en-US"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45pt;margin-top:31.55pt;height:22.5pt;width:43.45pt;z-index:251666432;mso-width-relative:page;mso-height-relative:page;" fillcolor="#FFFFFF [3201]" filled="t" stroked="f" coordsize="21600,21600" o:gfxdata="UEsDBAoAAAAAAIdO4kAAAAAAAAAAAAAAAAAEAAAAZHJzL1BLAwQUAAAACACHTuJAuTH9Y9UAAAAK&#10;AQAADwAAAGRycy9kb3ducmV2LnhtbE2Py07DMBBF90j8gzVI7KjttgoljdMFElsk+lq7sRtH2OPI&#10;dp9fz7CC5WiO7j23WV2DZ2eb8hBRgZwIYBa7aAbsFWw3Hy8LYLloNNpHtApuNsOqfXxodG3iBb/s&#10;eV16RiGYa63AlTLWnOfO2aDzJI4W6XeMKehCZ+q5SfpC4cHzqRAVD3pAanB6tO/Odt/rU1Cw78N9&#10;v5Njcib4OX7eb5ttHJR6fpJiCazYa/mD4Vef1KElp0M8ocnMK5i+zt8IVVDNJDACZpWkLQcixUIC&#10;bxv+f0L7A1BLAwQUAAAACACHTuJAX/xOt1ECAACQBAAADgAAAGRycy9lMm9Eb2MueG1srVTNbhMx&#10;EL4j8Q6W73STtGlD1E0VWgUhVbRSQZwdrzdryX/YTnbLA8AbcOLCnefqc/DZm6ShcOiBHJzxzHhm&#10;vm9m9vyi04pshA/SmpIOjwaUCMNtJc2qpB8/LF5NKAmRmYopa0RJ70WgF7OXL85bNxUj21hVCU8Q&#10;xIRp60raxOimRRF4IzQLR9YJA2NtvWYRV78qKs9aRNeqGA0Gp0VrfeW85SIEaK96I91G9M8JaOta&#10;cnFl+VoLE/uoXigWASk00gU6y9XWteDxpq6DiESVFEhjPpEE8jKdxeycTVeeuUbybQnsOSU8waSZ&#10;NEi6D3XFIiNrL/8KpSX3Ntg6HnGrix5IZgQohoMn3Nw1zImMBVQHtyc9/L+w/P3m1hNZlfTsmBLD&#10;NDr+8P3bw49fDz+/EuhAUOvCFH53Dp6xe2M7jM1OH6BMuLva6/QPRAR20Hu/p1d0kXAox+PhZDim&#10;hMM0mozPxpn+4vGx8yG+FVaTJJTUo3uZVLa5DhGFwHXnknIFq2S1kErli18tL5UnG4ZOL/Iv1Ygn&#10;f7gpQ9qSnh4jd3plbHrf+ykD94S1x5Sk2C27LQFLW90Dv7f9CAXHFxJVXrMQb5nHzAAytire4KiV&#10;RRK7lShprP/yL33yRythpaTFDJY0fF4zLyhR7wya/Hp4cpKGNl9OxmcjXPyhZXloMWt9aQF+iP11&#10;PIvJP6qdWHurP2H55ikrTMxw5C5p3ImXsd8MLC8X83l2wpg6Fq/NneMpdE/afB1tLXNLEk09N1v2&#10;MKiZ9u1SpU04vGevxw/J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5Mf1j1QAAAAoBAAAPAAAA&#10;AAAAAAEAIAAAACIAAABkcnMvZG93bnJldi54bWxQSwECFAAUAAAACACHTuJAX/xOt1ECAACQBAAA&#10;DgAAAAAAAAABACAAAAAkAQAAZHJzL2Uyb0RvYy54bWxQSwUGAAAAAAYABgBZAQAA5wUAAAAA&#10;">
                      <v:fill on="t" focussize="0,0"/>
                      <v:stroke on="f" weight="0.5pt"/>
                      <v:imagedata o:title=""/>
                      <o:lock v:ext="edit" aspectratio="f"/>
                      <v:textbox>
                        <w:txbxContent>
                          <w:p w14:paraId="0166C2E0">
                            <w:pPr>
                              <w:rPr>
                                <w:rFonts w:hint="eastAsia" w:eastAsia="宋体"/>
                                <w:lang w:val="en-US" w:eastAsia="zh-CN"/>
                              </w:rPr>
                            </w:pPr>
                            <w:r>
                              <w:rPr>
                                <w:rFonts w:hint="eastAsia"/>
                                <w:lang w:val="en-US" w:eastAsia="zh-CN"/>
                              </w:rPr>
                              <w:t>废气</w:t>
                            </w:r>
                          </w:p>
                        </w:txbxContent>
                      </v:textbox>
                    </v:shape>
                  </w:pict>
                </mc:Fallback>
              </mc:AlternateContent>
            </w:r>
            <w:r>
              <w:rPr>
                <w:color w:val="auto"/>
                <w:sz w:val="28"/>
              </w:rPr>
              <mc:AlternateContent>
                <mc:Choice Requires="wps">
                  <w:drawing>
                    <wp:anchor distT="0" distB="0" distL="114300" distR="114300" simplePos="0" relativeHeight="251665408" behindDoc="0" locked="0" layoutInCell="1" allowOverlap="1">
                      <wp:simplePos x="0" y="0"/>
                      <wp:positionH relativeFrom="column">
                        <wp:posOffset>2002790</wp:posOffset>
                      </wp:positionH>
                      <wp:positionV relativeFrom="paragraph">
                        <wp:posOffset>699135</wp:posOffset>
                      </wp:positionV>
                      <wp:extent cx="0" cy="219075"/>
                      <wp:effectExtent l="38100" t="0" r="38100" b="9525"/>
                      <wp:wrapNone/>
                      <wp:docPr id="72" name="直接箭头连接符 72"/>
                      <wp:cNvGraphicFramePr/>
                      <a:graphic xmlns:a="http://schemas.openxmlformats.org/drawingml/2006/main">
                        <a:graphicData uri="http://schemas.microsoft.com/office/word/2010/wordprocessingShape">
                          <wps:wsp>
                            <wps:cNvCnPr/>
                            <wps:spPr>
                              <a:xfrm flipV="1">
                                <a:off x="3257550" y="5464810"/>
                                <a:ext cx="0" cy="219075"/>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57.7pt;margin-top:55.05pt;height:17.25pt;width:0pt;z-index:251665408;mso-width-relative:page;mso-height-relative:page;" filled="f" stroked="t" coordsize="21600,21600" o:gfxdata="UEsDBAoAAAAAAIdO4kAAAAAAAAAAAAAAAAAEAAAAZHJzL1BLAwQUAAAACACHTuJABTGhd9gAAAAL&#10;AQAADwAAAGRycy9kb3ducmV2LnhtbE2PzU7DMBCE70i8g7VI3KhtCFEV4vQAAlEJCbX0ws2JlySq&#10;fyLbTQtPzyIOcNyZT7Mz9erkLJsxpjF4BXIhgKHvghl9r2D39ni1BJay9kbb4FHBJyZYNednta5M&#10;OPoNztvcMwrxqdIKhpynivPUDeh0WoQJPXkfITqd6Yw9N1EfKdxZfi1EyZ0ePX0Y9IT3A3b77cEp&#10;WLbPu/d9+VQ82Nd1WrdzDF8vUanLCynugGU85T8YfupTdWioUxsO3iRmFdzI24JQMqSQwIj4VVpS&#10;iqIE3tT8/4bmG1BLAwQUAAAACACHTuJACIKtmCMCAAALBAAADgAAAGRycy9lMm9Eb2MueG1srVPN&#10;bhMxEL4j8Q6W72ST0DRllU0PCeWCoBI/94nXu2vJfxq72eQleAEkTsCpcOqdp4HyGIy9oYVy6YE9&#10;rMYznm/m+2a8ON0ZzbYSg3K24pPRmDNphauVbSv+5vXZoxPOQgRbg3ZWVnwvAz9dPnyw6H0pp65z&#10;upbICMSGsvcV72L0ZVEE0UkDYeS8tBRsHBqIdMS2qBF6Qje6mI7Hx0XvsPbohAyBvOshyA+IeB9A&#10;1zRKyLUTF0baOKCi1BCJUuiUD3yZu20aKeLLpgkyMl1xYhrzn4qQvUn/YrmAskXwnRKHFuA+Ldzh&#10;ZEBZKnoDtYYI7ALVP1BGCXTBNXEknCkGIlkRYjEZ39HmVQdeZi4kdfA3oof/BytebM+Rqbri8yln&#10;FgxN/Pr91Y93n66/fvn+8erntw/JvvzMKE5i9T6UlLOy53g4BX+OifmuQcMarfxb2qqsBbFju4o/&#10;ns7msxkJvq/47Oj46GRykF3uIhN0gUKCYtPJk/F8looUA1pC9RjiM+kMS0bFQ0RQbRdXzlqarcOh&#10;Emyfhzgk/k5IydadKa3JD6W2rKdWJlSACaC1bWhdyDSeqAfbcga6pfcgIubeg9OqTtkpOWC7WWlk&#10;W0hblL9Dm39dS6XXELrhXg6la1B2EuqntmZx70leS89q8EdQ+tYfUYFtteSpUyNrzrSkjpI1UNOW&#10;pEkDGCRP1sbV+zyJ7KcdyeId9jkt4Z/nnH37hp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Ux&#10;oXfYAAAACwEAAA8AAAAAAAAAAQAgAAAAIgAAAGRycy9kb3ducmV2LnhtbFBLAQIUABQAAAAIAIdO&#10;4kAIgq2YIwIAAAsEAAAOAAAAAAAAAAEAIAAAACcBAABkcnMvZTJvRG9jLnhtbFBLBQYAAAAABgAG&#10;AFkBAAC8BQAAAAA=&#10;">
                      <v:fill on="f" focussize="0,0"/>
                      <v:stroke weight="0.25pt" color="#000000 [3213]" joinstyle="round" endarrow="block"/>
                      <v:imagedata o:title=""/>
                      <o:lock v:ext="edit" aspectratio="f"/>
                    </v:shape>
                  </w:pict>
                </mc:Fallback>
              </mc:AlternateContent>
            </w: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621665</wp:posOffset>
                      </wp:positionH>
                      <wp:positionV relativeFrom="paragraph">
                        <wp:posOffset>419735</wp:posOffset>
                      </wp:positionV>
                      <wp:extent cx="551815" cy="285750"/>
                      <wp:effectExtent l="0" t="0" r="635" b="0"/>
                      <wp:wrapNone/>
                      <wp:docPr id="39" name="文本框 39"/>
                      <wp:cNvGraphicFramePr/>
                      <a:graphic xmlns:a="http://schemas.openxmlformats.org/drawingml/2006/main">
                        <a:graphicData uri="http://schemas.microsoft.com/office/word/2010/wordprocessingShape">
                          <wps:wsp>
                            <wps:cNvSpPr txBox="1"/>
                            <wps:spPr>
                              <a:xfrm>
                                <a:off x="1876425" y="5185410"/>
                                <a:ext cx="55181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A6758FD">
                                  <w:pPr>
                                    <w:rPr>
                                      <w:rFonts w:hint="eastAsia" w:eastAsia="宋体"/>
                                      <w:lang w:val="en-US" w:eastAsia="zh-CN"/>
                                    </w:rPr>
                                  </w:pPr>
                                  <w:r>
                                    <w:rPr>
                                      <w:rFonts w:hint="eastAsia"/>
                                      <w:lang w:val="en-US"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95pt;margin-top:33.05pt;height:22.5pt;width:43.45pt;z-index:251662336;mso-width-relative:page;mso-height-relative:page;" fillcolor="#FFFFFF [3201]" filled="t" stroked="f" coordsize="21600,21600" o:gfxdata="UEsDBAoAAAAAAIdO4kAAAAAAAAAAAAAAAAAEAAAAZHJzL1BLAwQUAAAACACHTuJAM2XsftQAAAAJ&#10;AQAADwAAAGRycy9kb3ducmV2LnhtbE2PO2/DMAyE9wL9DwILdGtkF4GbuJYzFOgaII9mVizWMipR&#10;hqQ8f32ZKeFE4g7H75rF2TtxxJiGQArKSQECqQtmoF7BdvP9NgORsiajXSBUcMEEi/b5qdG1CSda&#10;4XGde8EhlGqtwOY81lKmzqLXaRJGJNZ+Q/Q68xl7aaI+cbh38r0oKun1QPzB6hG/LHZ/64NXsOv9&#10;dfdTjtEa76a0vF422zAo9fpSFp8gMp7z3Qw3fEaHlpn24UAmCadg/jFnp4KqKkHc9NmUq+x54QHZ&#10;NvKxQfsPUEsDBBQAAAAIAIdO4kDJQLz7WwIAAJwEAAAOAAAAZHJzL2Uyb0RvYy54bWytVM1uEzEQ&#10;viPxDpbvdLNptk2jbqqQKAipopUK4ux4vVlLtsfYTnbLA8Ab9MSFO8/V52Ds3bSlcOiBHJzxzOf5&#10;+WZmzy86rcheOC/BlDQ/GlEiDIdKmm1JP31cv5lS4gMzFVNgRElvhacX89evzls7E2NoQFXCEXRi&#10;/Ky1JW1CsLMs87wRmvkjsMKgsQanWcCr22aVYy161yobj0YnWQuusg648B61q95IB4/uJQ6hriUX&#10;K+A7LUzovTqhWMCSfCOtp/OUbV0LHq7q2otAVEmx0pBODILyJp7Z/JzNto7ZRvIhBfaSFJ7VpJk0&#10;GPTB1YoFRnZO/uVKS+7AQx2OOOisLyQxglXko2fc3DTMilQLUu3tA+n+/7nlH/bXjsiqpMdnlBim&#10;seP3d9/vf/y6//mNoA4Jaq2fIe7GIjJ0b6HDsTnoPSpj3V3tdPzHiki0T09PJuOCktuSFvm0mOQD&#10;1aILhCOgQG2Odo6A8bQ4LZI9e3RknQ/vBGgShZI67GQimO0vfcCkEHqAxLgelKzWUql0cdvNUjmy&#10;Z9j1dfrFfPHJHzBlSFvSk2OMHV8ZiO97nDIIj3X39UUpdJtuIGMD1S1y4aAfJ2/5WmKWl8yHa+Zw&#10;fnC6cMPCFR61AgwCg0RJA+7rv/QRj21FKyUtzmNJ/Zcdc4IS9d5gw8/yySQOcLpMitMxXtxTy+ap&#10;xez0ErD4HHfZ8iRGfFAHsXagP+MiLmJUNDHDMXZJw0Fchn5LcJG5WCwSCEfWsnBpbiyPrnvSFrsA&#10;tUwtiTT13Azs4dAm2ocFi1vx9J5Qjx+V+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zZex+1AAA&#10;AAkBAAAPAAAAAAAAAAEAIAAAACIAAABkcnMvZG93bnJldi54bWxQSwECFAAUAAAACACHTuJAyUC8&#10;+1sCAACcBAAADgAAAAAAAAABACAAAAAjAQAAZHJzL2Uyb0RvYy54bWxQSwUGAAAAAAYABgBZAQAA&#10;8AUAAAAA&#10;">
                      <v:fill on="t" focussize="0,0"/>
                      <v:stroke on="f" weight="0.5pt"/>
                      <v:imagedata o:title=""/>
                      <o:lock v:ext="edit" aspectratio="f"/>
                      <v:textbox>
                        <w:txbxContent>
                          <w:p w14:paraId="2A6758FD">
                            <w:pPr>
                              <w:rPr>
                                <w:rFonts w:hint="eastAsia" w:eastAsia="宋体"/>
                                <w:lang w:val="en-US" w:eastAsia="zh-CN"/>
                              </w:rPr>
                            </w:pPr>
                            <w:r>
                              <w:rPr>
                                <w:rFonts w:hint="eastAsia"/>
                                <w:lang w:val="en-US" w:eastAsia="zh-CN"/>
                              </w:rPr>
                              <w:t>废气</w:t>
                            </w:r>
                          </w:p>
                        </w:txbxContent>
                      </v:textbox>
                    </v:shape>
                  </w:pict>
                </mc:Fallback>
              </mc:AlternateContent>
            </w:r>
            <w:r>
              <w:rPr>
                <w:rFonts w:hint="eastAsia" w:eastAsia="仿宋" w:cs="仿宋"/>
                <w:color w:val="auto"/>
                <w:sz w:val="28"/>
                <w:szCs w:val="28"/>
                <w:lang w:eastAsia="zh-CN"/>
              </w:rPr>
              <w:drawing>
                <wp:inline distT="0" distB="0" distL="114300" distR="114300">
                  <wp:extent cx="5564505" cy="1792605"/>
                  <wp:effectExtent l="0" t="0" r="17145" b="17145"/>
                  <wp:docPr id="35" name="图片 35" descr="bd70ddb2e72fb8f4d7daf8ad849a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bd70ddb2e72fb8f4d7daf8ad849a6a0"/>
                          <pic:cNvPicPr>
                            <a:picLocks noChangeAspect="1"/>
                          </pic:cNvPicPr>
                        </pic:nvPicPr>
                        <pic:blipFill>
                          <a:blip r:embed="rId11"/>
                          <a:srcRect l="3117" t="7685" b="10214"/>
                          <a:stretch>
                            <a:fillRect/>
                          </a:stretch>
                        </pic:blipFill>
                        <pic:spPr>
                          <a:xfrm>
                            <a:off x="0" y="0"/>
                            <a:ext cx="5564505" cy="1792605"/>
                          </a:xfrm>
                          <a:prstGeom prst="rect">
                            <a:avLst/>
                          </a:prstGeom>
                        </pic:spPr>
                      </pic:pic>
                    </a:graphicData>
                  </a:graphic>
                </wp:inline>
              </w:drawing>
            </w:r>
          </w:p>
          <w:p w14:paraId="7DA562BC">
            <w:pPr>
              <w:pStyle w:val="218"/>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 工艺流程图  单位：m³/a</w:t>
            </w:r>
          </w:p>
          <w:p w14:paraId="529A0BD5">
            <w:pPr>
              <w:pStyle w:val="209"/>
              <w:ind w:firstLine="480"/>
              <w:rPr>
                <w:color w:val="auto"/>
              </w:rPr>
            </w:pPr>
            <w:r>
              <w:rPr>
                <w:color w:val="auto"/>
              </w:rPr>
              <w:t>（1）工艺流程说明</w:t>
            </w:r>
          </w:p>
          <w:p w14:paraId="726B5B5C">
            <w:pPr>
              <w:pStyle w:val="209"/>
              <w:ind w:firstLine="480"/>
              <w:rPr>
                <w:rFonts w:hint="default" w:cs="Times New Roman"/>
                <w:color w:val="auto"/>
                <w:lang w:val="en-US" w:eastAsia="zh-CN"/>
              </w:rPr>
            </w:pPr>
            <w:r>
              <w:rPr>
                <w:rFonts w:ascii="Times New Roman" w:hAnsi="Times New Roman" w:eastAsia="宋体" w:cs="Times New Roman"/>
                <w:color w:val="auto"/>
              </w:rPr>
              <w:t>①</w:t>
            </w:r>
            <w:r>
              <w:rPr>
                <w:rFonts w:hint="eastAsia" w:cs="Times New Roman"/>
                <w:color w:val="auto"/>
                <w:lang w:val="en-US" w:eastAsia="zh-CN"/>
              </w:rPr>
              <w:t>原料烘干</w:t>
            </w:r>
            <w:r>
              <w:rPr>
                <w:rFonts w:hint="eastAsia" w:ascii="Times New Roman" w:hAnsi="Times New Roman" w:eastAsia="宋体" w:cs="Times New Roman"/>
                <w:color w:val="auto"/>
                <w:lang w:eastAsia="zh-CN"/>
              </w:rPr>
              <w:t>：</w:t>
            </w:r>
            <w:r>
              <w:rPr>
                <w:rFonts w:hint="eastAsia" w:cs="Times New Roman"/>
                <w:color w:val="auto"/>
                <w:lang w:val="en-US" w:eastAsia="zh-CN"/>
              </w:rPr>
              <w:t>生物质炭渣进厂后利用天然气</w:t>
            </w:r>
            <w:r>
              <w:rPr>
                <w:rFonts w:hint="eastAsia"/>
                <w:color w:val="auto"/>
                <w:lang w:eastAsia="zh-CN"/>
              </w:rPr>
              <w:t>热风炉</w:t>
            </w:r>
            <w:r>
              <w:rPr>
                <w:rFonts w:hint="eastAsia" w:cs="Times New Roman"/>
                <w:color w:val="auto"/>
                <w:lang w:val="en-US" w:eastAsia="zh-CN"/>
              </w:rPr>
              <w:t>产生热风，将热风引入烘干炉窑体，热风与物料直接接触，去除原料中的水分，收集到的原料含水率一般在55%左右。通过烘干，把大部分水分蒸发，使含水率降至5%左右。物料通过密闭式输送带进行传输，由于烘干前物料水分较高，投料过程中物料主要散落在投料口，经收集后回用于生产，过程无逸散粉尘产生。</w:t>
            </w:r>
          </w:p>
          <w:p w14:paraId="58EDB4AE">
            <w:pPr>
              <w:pStyle w:val="209"/>
              <w:ind w:firstLine="480"/>
              <w:rPr>
                <w:rFonts w:ascii="Times New Roman" w:hAnsi="Times New Roman" w:eastAsia="宋体" w:cs="Times New Roman"/>
                <w:color w:val="auto"/>
              </w:rPr>
            </w:pPr>
            <w:r>
              <w:rPr>
                <w:rFonts w:ascii="Times New Roman" w:hAnsi="Times New Roman" w:eastAsia="宋体" w:cs="Times New Roman"/>
                <w:color w:val="auto"/>
              </w:rPr>
              <w:t>②</w:t>
            </w:r>
            <w:r>
              <w:rPr>
                <w:rFonts w:hint="eastAsia" w:ascii="Times New Roman" w:hAnsi="Times New Roman" w:eastAsia="宋体" w:cs="Times New Roman"/>
                <w:color w:val="auto"/>
              </w:rPr>
              <w:t>磁选</w:t>
            </w:r>
            <w:r>
              <w:rPr>
                <w:rFonts w:hint="eastAsia" w:ascii="Times New Roman" w:hAnsi="Times New Roman" w:eastAsia="宋体" w:cs="Times New Roman"/>
                <w:color w:val="auto"/>
                <w:lang w:eastAsia="zh-CN"/>
              </w:rPr>
              <w:t>：</w:t>
            </w:r>
            <w:r>
              <w:rPr>
                <w:rFonts w:hint="eastAsia" w:cs="Times New Roman"/>
                <w:color w:val="auto"/>
                <w:lang w:val="en-US" w:eastAsia="zh-CN"/>
              </w:rPr>
              <w:t>烘干后的物料通过密闭式输送带传输至</w:t>
            </w:r>
            <w:r>
              <w:rPr>
                <w:rFonts w:hint="eastAsia" w:ascii="Times New Roman" w:hAnsi="Times New Roman" w:eastAsia="宋体" w:cs="Times New Roman"/>
                <w:color w:val="auto"/>
                <w:lang w:eastAsia="zh-CN"/>
              </w:rPr>
              <w:t>磁选机进行磁选，去除烘干料中的铁块。</w:t>
            </w:r>
          </w:p>
          <w:p w14:paraId="1E68E6D2">
            <w:pPr>
              <w:pStyle w:val="209"/>
              <w:ind w:firstLine="480"/>
              <w:rPr>
                <w:rFonts w:hint="eastAsia" w:ascii="Times New Roman" w:hAnsi="Times New Roman" w:eastAsia="宋体" w:cs="Times New Roman"/>
                <w:color w:val="auto"/>
                <w:lang w:eastAsia="zh-CN"/>
              </w:rPr>
            </w:pPr>
            <w:r>
              <w:rPr>
                <w:rFonts w:ascii="Times New Roman" w:hAnsi="Times New Roman" w:eastAsia="宋体" w:cs="Times New Roman"/>
                <w:color w:val="auto"/>
              </w:rPr>
              <w:t>③</w:t>
            </w:r>
            <w:r>
              <w:rPr>
                <w:rFonts w:hint="eastAsia" w:cs="Times New Roman"/>
                <w:color w:val="auto"/>
                <w:lang w:val="en-US" w:eastAsia="zh-CN"/>
              </w:rPr>
              <w:t>筛分、粗破</w:t>
            </w:r>
            <w:r>
              <w:rPr>
                <w:rFonts w:hint="eastAsia" w:ascii="Times New Roman" w:hAnsi="Times New Roman" w:eastAsia="宋体" w:cs="Times New Roman"/>
                <w:color w:val="auto"/>
                <w:lang w:eastAsia="zh-CN"/>
              </w:rPr>
              <w:t>：经烘干后</w:t>
            </w:r>
            <w:r>
              <w:rPr>
                <w:rFonts w:hint="eastAsia" w:cs="Times New Roman"/>
                <w:color w:val="auto"/>
                <w:lang w:val="en-US" w:eastAsia="zh-CN"/>
              </w:rPr>
              <w:t>的</w:t>
            </w:r>
            <w:r>
              <w:rPr>
                <w:rFonts w:hint="eastAsia" w:ascii="Times New Roman" w:hAnsi="Times New Roman" w:eastAsia="宋体" w:cs="Times New Roman"/>
                <w:color w:val="auto"/>
                <w:lang w:eastAsia="zh-CN"/>
              </w:rPr>
              <w:t>大部分块状物</w:t>
            </w:r>
            <w:r>
              <w:rPr>
                <w:rFonts w:hint="eastAsia" w:cs="Times New Roman"/>
                <w:color w:val="auto"/>
                <w:lang w:val="en-US" w:eastAsia="zh-CN"/>
              </w:rPr>
              <w:t>为</w:t>
            </w:r>
            <w:r>
              <w:rPr>
                <w:rFonts w:hint="eastAsia" w:ascii="Times New Roman" w:hAnsi="Times New Roman" w:eastAsia="宋体" w:cs="Times New Roman"/>
                <w:color w:val="auto"/>
                <w:lang w:eastAsia="zh-CN"/>
              </w:rPr>
              <w:t>碎末</w:t>
            </w:r>
            <w:r>
              <w:rPr>
                <w:rFonts w:hint="eastAsia" w:cs="Times New Roman"/>
                <w:color w:val="auto"/>
                <w:lang w:val="en-US" w:eastAsia="zh-CN"/>
              </w:rPr>
              <w:t>状</w:t>
            </w:r>
            <w:r>
              <w:rPr>
                <w:rFonts w:hint="eastAsia" w:ascii="Times New Roman" w:hAnsi="Times New Roman" w:eastAsia="宋体" w:cs="Times New Roman"/>
                <w:color w:val="auto"/>
                <w:lang w:eastAsia="zh-CN"/>
              </w:rPr>
              <w:t>，但仍有一些炭结成块没有碎开，经过筛分后，</w:t>
            </w:r>
            <w:r>
              <w:rPr>
                <w:rFonts w:hint="eastAsia" w:cs="Times New Roman"/>
                <w:color w:val="auto"/>
                <w:lang w:val="en-US" w:eastAsia="zh-CN"/>
              </w:rPr>
              <w:t>细颗粒</w:t>
            </w:r>
            <w:r>
              <w:rPr>
                <w:rFonts w:hint="eastAsia" w:ascii="Times New Roman" w:hAnsi="Times New Roman" w:eastAsia="宋体" w:cs="Times New Roman"/>
                <w:color w:val="auto"/>
                <w:lang w:eastAsia="zh-CN"/>
              </w:rPr>
              <w:t>碎末</w:t>
            </w:r>
            <w:r>
              <w:rPr>
                <w:rFonts w:hint="eastAsia" w:cs="Times New Roman"/>
                <w:color w:val="auto"/>
                <w:lang w:eastAsia="zh-CN"/>
              </w:rPr>
              <w:t>（</w:t>
            </w:r>
            <w:r>
              <w:rPr>
                <w:rFonts w:hint="eastAsia" w:cs="Times New Roman"/>
                <w:color w:val="auto"/>
                <w:lang w:val="en-US" w:eastAsia="zh-CN"/>
              </w:rPr>
              <w:t>粒径＜10mm</w:t>
            </w:r>
            <w:r>
              <w:rPr>
                <w:rFonts w:hint="eastAsia" w:cs="Times New Roman"/>
                <w:color w:val="auto"/>
                <w:lang w:eastAsia="zh-CN"/>
              </w:rPr>
              <w:t>）</w:t>
            </w:r>
            <w:r>
              <w:rPr>
                <w:rFonts w:hint="eastAsia" w:ascii="Times New Roman" w:hAnsi="Times New Roman" w:eastAsia="宋体" w:cs="Times New Roman"/>
                <w:color w:val="auto"/>
                <w:lang w:eastAsia="zh-CN"/>
              </w:rPr>
              <w:t>直接通过风力传送到制粉机，</w:t>
            </w:r>
            <w:r>
              <w:rPr>
                <w:rFonts w:hint="eastAsia" w:cs="Times New Roman"/>
                <w:color w:val="auto"/>
                <w:lang w:val="en-US" w:eastAsia="zh-CN"/>
              </w:rPr>
              <w:t>中颗粒</w:t>
            </w:r>
            <w:r>
              <w:rPr>
                <w:rFonts w:hint="eastAsia" w:cs="Times New Roman"/>
                <w:color w:val="auto"/>
                <w:lang w:eastAsia="zh-CN"/>
              </w:rPr>
              <w:t>（10mm≤粒径＜20mm）</w:t>
            </w:r>
            <w:r>
              <w:rPr>
                <w:rFonts w:hint="eastAsia" w:ascii="Times New Roman" w:hAnsi="Times New Roman" w:eastAsia="宋体" w:cs="Times New Roman"/>
                <w:color w:val="auto"/>
                <w:lang w:eastAsia="zh-CN"/>
              </w:rPr>
              <w:t>通过</w:t>
            </w:r>
            <w:r>
              <w:rPr>
                <w:rFonts w:hint="eastAsia" w:cs="Times New Roman"/>
                <w:color w:val="auto"/>
                <w:lang w:val="en-US" w:eastAsia="zh-CN"/>
              </w:rPr>
              <w:t>密闭输送带</w:t>
            </w:r>
            <w:r>
              <w:rPr>
                <w:rFonts w:hint="eastAsia" w:ascii="Times New Roman" w:hAnsi="Times New Roman" w:eastAsia="宋体" w:cs="Times New Roman"/>
                <w:color w:val="auto"/>
                <w:lang w:eastAsia="zh-CN"/>
              </w:rPr>
              <w:t>传送到</w:t>
            </w:r>
            <w:r>
              <w:rPr>
                <w:rFonts w:hint="eastAsia" w:cs="Times New Roman"/>
                <w:color w:val="auto"/>
                <w:lang w:val="en-US" w:eastAsia="zh-CN"/>
              </w:rPr>
              <w:t>重力分选</w:t>
            </w:r>
            <w:r>
              <w:rPr>
                <w:rFonts w:hint="eastAsia" w:ascii="Times New Roman" w:hAnsi="Times New Roman" w:eastAsia="宋体" w:cs="Times New Roman"/>
                <w:color w:val="auto"/>
                <w:lang w:eastAsia="zh-CN"/>
              </w:rPr>
              <w:t>机，粗颗粒</w:t>
            </w:r>
            <w:r>
              <w:rPr>
                <w:rFonts w:hint="eastAsia" w:cs="Times New Roman"/>
                <w:color w:val="auto"/>
                <w:lang w:eastAsia="zh-CN"/>
              </w:rPr>
              <w:t>（粒径</w:t>
            </w:r>
            <w:r>
              <w:rPr>
                <w:rFonts w:hint="eastAsia" w:cs="Times New Roman"/>
                <w:color w:val="auto"/>
                <w:lang w:val="en-US" w:eastAsia="zh-CN"/>
              </w:rPr>
              <w:t>≥</w:t>
            </w:r>
            <w:r>
              <w:rPr>
                <w:rFonts w:hint="eastAsia" w:cs="Times New Roman"/>
                <w:color w:val="auto"/>
                <w:lang w:eastAsia="zh-CN"/>
              </w:rPr>
              <w:t>20mm）</w:t>
            </w:r>
            <w:r>
              <w:rPr>
                <w:rFonts w:hint="eastAsia" w:cs="Times New Roman"/>
                <w:color w:val="auto"/>
                <w:lang w:val="en-US" w:eastAsia="zh-CN"/>
              </w:rPr>
              <w:t>经密闭输送带传输，</w:t>
            </w:r>
            <w:r>
              <w:rPr>
                <w:rFonts w:hint="eastAsia" w:ascii="Times New Roman" w:hAnsi="Times New Roman" w:eastAsia="宋体" w:cs="Times New Roman"/>
                <w:color w:val="auto"/>
                <w:lang w:eastAsia="zh-CN"/>
              </w:rPr>
              <w:t>经过</w:t>
            </w:r>
            <w:r>
              <w:rPr>
                <w:rFonts w:hint="eastAsia" w:cs="Times New Roman"/>
                <w:color w:val="auto"/>
                <w:lang w:val="en-US" w:eastAsia="zh-CN"/>
              </w:rPr>
              <w:t>破碎机</w:t>
            </w:r>
            <w:r>
              <w:rPr>
                <w:rFonts w:hint="eastAsia" w:ascii="Times New Roman" w:hAnsi="Times New Roman" w:eastAsia="宋体" w:cs="Times New Roman"/>
                <w:color w:val="auto"/>
                <w:lang w:eastAsia="zh-CN"/>
              </w:rPr>
              <w:t>粗破后变成中度颗粒进入</w:t>
            </w:r>
            <w:r>
              <w:rPr>
                <w:rFonts w:hint="eastAsia" w:cs="Times New Roman"/>
                <w:color w:val="auto"/>
                <w:lang w:val="en-US" w:eastAsia="zh-CN"/>
              </w:rPr>
              <w:t>重力分选</w:t>
            </w:r>
            <w:r>
              <w:rPr>
                <w:rFonts w:hint="eastAsia" w:ascii="Times New Roman" w:hAnsi="Times New Roman" w:eastAsia="宋体" w:cs="Times New Roman"/>
                <w:color w:val="auto"/>
                <w:lang w:eastAsia="zh-CN"/>
              </w:rPr>
              <w:t>机。</w:t>
            </w:r>
          </w:p>
          <w:p w14:paraId="439E41B3">
            <w:pPr>
              <w:pStyle w:val="209"/>
              <w:ind w:firstLine="480"/>
              <w:rPr>
                <w:rFonts w:ascii="Times New Roman" w:hAnsi="Times New Roman" w:eastAsia="宋体" w:cs="Times New Roman"/>
                <w:color w:val="auto"/>
              </w:rPr>
            </w:pPr>
            <w:r>
              <w:rPr>
                <w:rFonts w:ascii="Times New Roman" w:hAnsi="Times New Roman" w:eastAsia="宋体" w:cs="Times New Roman"/>
                <w:color w:val="auto"/>
              </w:rPr>
              <w:t>④</w:t>
            </w:r>
            <w:r>
              <w:rPr>
                <w:rFonts w:hint="eastAsia" w:ascii="Times New Roman" w:hAnsi="Times New Roman" w:eastAsia="宋体" w:cs="Times New Roman"/>
                <w:color w:val="auto"/>
              </w:rPr>
              <w:t>重力分选</w:t>
            </w:r>
            <w:r>
              <w:rPr>
                <w:rFonts w:hint="eastAsia" w:ascii="Times New Roman" w:hAnsi="Times New Roman" w:eastAsia="宋体" w:cs="Times New Roman"/>
                <w:color w:val="auto"/>
                <w:lang w:eastAsia="zh-CN"/>
              </w:rPr>
              <w:t>：根据物质密度不同，在风力作用下可以显现不同的震动状态，然后通过震动板分流到不同的区域，达到去除小石块、非磁性金属的目的。</w:t>
            </w:r>
          </w:p>
          <w:p w14:paraId="3DEC54E5">
            <w:pPr>
              <w:pStyle w:val="209"/>
              <w:ind w:firstLine="480"/>
              <w:rPr>
                <w:rFonts w:hint="eastAsia" w:ascii="Times New Roman" w:hAnsi="Times New Roman" w:eastAsia="宋体" w:cs="Times New Roman"/>
                <w:color w:val="auto"/>
                <w:lang w:eastAsia="zh-CN"/>
              </w:rPr>
            </w:pPr>
            <w:r>
              <w:rPr>
                <w:rFonts w:ascii="Times New Roman" w:hAnsi="Times New Roman" w:eastAsia="宋体" w:cs="Times New Roman"/>
                <w:color w:val="auto"/>
              </w:rPr>
              <w:t>⑤</w:t>
            </w:r>
            <w:r>
              <w:rPr>
                <w:rFonts w:hint="eastAsia" w:ascii="Times New Roman" w:hAnsi="Times New Roman" w:eastAsia="宋体" w:cs="Times New Roman"/>
                <w:color w:val="auto"/>
              </w:rPr>
              <w:t>制粉</w:t>
            </w:r>
            <w:r>
              <w:rPr>
                <w:rFonts w:hint="eastAsia" w:ascii="Times New Roman" w:hAnsi="Times New Roman" w:eastAsia="宋体" w:cs="Times New Roman"/>
                <w:color w:val="auto"/>
                <w:lang w:eastAsia="zh-CN"/>
              </w:rPr>
              <w:t>：采用机械磨工艺，把物料从颗粒状制成粉末状。根据不同的需求，可以分别生产出数百至数千目不等的粉末</w:t>
            </w:r>
            <w:r>
              <w:rPr>
                <w:rFonts w:hint="eastAsia" w:cs="Times New Roman"/>
                <w:color w:val="auto"/>
                <w:lang w:eastAsia="zh-CN"/>
              </w:rPr>
              <w:t>，</w:t>
            </w:r>
            <w:r>
              <w:rPr>
                <w:rFonts w:hint="eastAsia" w:cs="Times New Roman"/>
                <w:color w:val="auto"/>
                <w:lang w:val="en-US" w:eastAsia="zh-CN"/>
              </w:rPr>
              <w:t>粉磨物料通过风力传输管道进行物料输送</w:t>
            </w:r>
            <w:r>
              <w:rPr>
                <w:rFonts w:hint="eastAsia" w:ascii="Times New Roman" w:hAnsi="Times New Roman" w:eastAsia="宋体" w:cs="Times New Roman"/>
                <w:color w:val="auto"/>
                <w:lang w:eastAsia="zh-CN"/>
              </w:rPr>
              <w:t>。</w:t>
            </w:r>
          </w:p>
          <w:p w14:paraId="3482A5B2">
            <w:pPr>
              <w:pStyle w:val="209"/>
              <w:ind w:firstLine="480"/>
              <w:rPr>
                <w:rFonts w:hint="eastAsia" w:cs="Times New Roman"/>
                <w:color w:val="auto"/>
                <w:lang w:val="en-US" w:eastAsia="zh-CN"/>
              </w:rPr>
            </w:pPr>
            <w:r>
              <w:rPr>
                <w:rFonts w:hint="eastAsia" w:cs="Times New Roman"/>
                <w:color w:val="auto"/>
                <w:lang w:val="en-US" w:eastAsia="zh-CN"/>
              </w:rPr>
              <w:t>⑥包装：采用自动计量，自动抽排空气包装机，物料完成入袋后自动封口。</w:t>
            </w:r>
          </w:p>
          <w:p w14:paraId="6349D795">
            <w:pPr>
              <w:pStyle w:val="209"/>
              <w:ind w:firstLine="480"/>
              <w:rPr>
                <w:rFonts w:hint="default" w:cs="Times New Roman"/>
                <w:color w:val="auto"/>
                <w:lang w:val="en-US" w:eastAsia="zh-CN"/>
              </w:rPr>
            </w:pPr>
            <w:r>
              <w:rPr>
                <w:rFonts w:hint="eastAsia" w:cs="Times New Roman"/>
                <w:color w:val="auto"/>
                <w:lang w:val="en-US" w:eastAsia="zh-CN"/>
              </w:rPr>
              <w:t>⑦入库：产出的碳粉按照不同规格包装后运送至成品区堆放。</w:t>
            </w:r>
          </w:p>
          <w:p w14:paraId="26DF4ED0">
            <w:pPr>
              <w:adjustRightInd w:val="0"/>
              <w:snapToGrid w:val="0"/>
              <w:spacing w:line="360" w:lineRule="auto"/>
              <w:jc w:val="left"/>
              <w:rPr>
                <w:rFonts w:hint="default" w:ascii="Times New Roman" w:hAnsi="Times New Roman" w:eastAsia="宋体"/>
                <w:b/>
                <w:bCs/>
                <w:color w:val="auto"/>
                <w:sz w:val="24"/>
                <w:szCs w:val="24"/>
                <w:lang w:val="en-US" w:eastAsia="zh-CN"/>
              </w:rPr>
            </w:pPr>
            <w:r>
              <w:rPr>
                <w:rFonts w:ascii="Times New Roman" w:hAnsi="Times New Roman"/>
                <w:b/>
                <w:bCs/>
                <w:color w:val="auto"/>
                <w:sz w:val="24"/>
                <w:szCs w:val="24"/>
              </w:rPr>
              <w:t>2.</w:t>
            </w:r>
            <w:r>
              <w:rPr>
                <w:rFonts w:hint="eastAsia" w:ascii="Times New Roman" w:hAnsi="Times New Roman"/>
                <w:b/>
                <w:bCs/>
                <w:color w:val="auto"/>
                <w:sz w:val="24"/>
                <w:szCs w:val="24"/>
                <w:lang w:val="en-US" w:eastAsia="zh-CN"/>
              </w:rPr>
              <w:t>2.2产污环节</w:t>
            </w:r>
          </w:p>
          <w:p w14:paraId="0BDC2A30">
            <w:pPr>
              <w:numPr>
                <w:ilvl w:val="0"/>
                <w:numId w:val="8"/>
              </w:numPr>
              <w:spacing w:before="120" w:beforeLines="5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项目运营期生产产污环节汇总情况一览表</w:t>
            </w:r>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57" w:type="dxa"/>
                <w:bottom w:w="0" w:type="dxa"/>
                <w:right w:w="57" w:type="dxa"/>
              </w:tblCellMar>
            </w:tblPr>
            <w:tblGrid>
              <w:gridCol w:w="751"/>
              <w:gridCol w:w="630"/>
              <w:gridCol w:w="1382"/>
              <w:gridCol w:w="1500"/>
              <w:gridCol w:w="4133"/>
            </w:tblGrid>
            <w:tr w14:paraId="29810AF6">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340" w:hRule="atLeast"/>
              </w:trPr>
              <w:tc>
                <w:tcPr>
                  <w:tcW w:w="447" w:type="pct"/>
                  <w:tcBorders>
                    <w:tl2br w:val="nil"/>
                    <w:tr2bl w:val="nil"/>
                  </w:tcBorders>
                  <w:noWrap w:val="0"/>
                  <w:vAlign w:val="center"/>
                </w:tcPr>
                <w:p w14:paraId="1D2DDC89">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1198" w:type="pct"/>
                  <w:gridSpan w:val="2"/>
                  <w:tcBorders>
                    <w:tl2br w:val="nil"/>
                    <w:tr2bl w:val="nil"/>
                  </w:tcBorders>
                  <w:noWrap w:val="0"/>
                  <w:vAlign w:val="center"/>
                </w:tcPr>
                <w:p w14:paraId="7C137BAF">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污染源</w:t>
                  </w:r>
                </w:p>
              </w:tc>
              <w:tc>
                <w:tcPr>
                  <w:tcW w:w="893" w:type="pct"/>
                  <w:tcBorders>
                    <w:tl2br w:val="nil"/>
                    <w:tr2bl w:val="nil"/>
                  </w:tcBorders>
                  <w:noWrap w:val="0"/>
                  <w:vAlign w:val="center"/>
                </w:tcPr>
                <w:p w14:paraId="04029DEE">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2460" w:type="pct"/>
                  <w:tcBorders>
                    <w:tl2br w:val="nil"/>
                    <w:tr2bl w:val="nil"/>
                  </w:tcBorders>
                  <w:noWrap w:val="0"/>
                  <w:vAlign w:val="center"/>
                </w:tcPr>
                <w:p w14:paraId="0AE90184">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治理措施</w:t>
                  </w:r>
                </w:p>
              </w:tc>
            </w:tr>
            <w:tr w14:paraId="27FE12AF">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340" w:hRule="atLeast"/>
              </w:trPr>
              <w:tc>
                <w:tcPr>
                  <w:tcW w:w="447" w:type="pct"/>
                  <w:tcBorders>
                    <w:tl2br w:val="nil"/>
                    <w:tr2bl w:val="nil"/>
                  </w:tcBorders>
                  <w:noWrap w:val="0"/>
                  <w:vAlign w:val="center"/>
                </w:tcPr>
                <w:p w14:paraId="600BF08D">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198" w:type="pct"/>
                  <w:gridSpan w:val="2"/>
                  <w:tcBorders>
                    <w:tl2br w:val="nil"/>
                    <w:tr2bl w:val="nil"/>
                  </w:tcBorders>
                  <w:noWrap w:val="0"/>
                  <w:vAlign w:val="center"/>
                </w:tcPr>
                <w:p w14:paraId="6E371D4B">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职工生活污水</w:t>
                  </w:r>
                </w:p>
              </w:tc>
              <w:tc>
                <w:tcPr>
                  <w:tcW w:w="893" w:type="pct"/>
                  <w:tcBorders>
                    <w:tl2br w:val="nil"/>
                    <w:tr2bl w:val="nil"/>
                  </w:tcBorders>
                  <w:noWrap w:val="0"/>
                  <w:vAlign w:val="center"/>
                </w:tcPr>
                <w:p w14:paraId="7573232F">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pH、COD、BOD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、SS、NH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2460" w:type="pct"/>
                  <w:tcBorders>
                    <w:tl2br w:val="nil"/>
                    <w:tr2bl w:val="nil"/>
                  </w:tcBorders>
                  <w:noWrap w:val="0"/>
                  <w:vAlign w:val="center"/>
                </w:tcPr>
                <w:p w14:paraId="32527F95">
                  <w:pPr>
                    <w:pStyle w:val="17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生活污水经化粪池处理后用于周边山林地施肥</w:t>
                  </w:r>
                </w:p>
              </w:tc>
            </w:tr>
            <w:tr w14:paraId="092DCDB3">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340" w:hRule="atLeast"/>
              </w:trPr>
              <w:tc>
                <w:tcPr>
                  <w:tcW w:w="447" w:type="pct"/>
                  <w:vMerge w:val="restart"/>
                  <w:tcBorders>
                    <w:tl2br w:val="nil"/>
                    <w:tr2bl w:val="nil"/>
                  </w:tcBorders>
                  <w:noWrap w:val="0"/>
                  <w:vAlign w:val="center"/>
                </w:tcPr>
                <w:p w14:paraId="10F7F87E">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198" w:type="pct"/>
                  <w:gridSpan w:val="2"/>
                  <w:tcBorders>
                    <w:tl2br w:val="nil"/>
                    <w:tr2bl w:val="nil"/>
                  </w:tcBorders>
                  <w:noWrap w:val="0"/>
                  <w:vAlign w:val="center"/>
                </w:tcPr>
                <w:p w14:paraId="07750425">
                  <w:pPr>
                    <w:pStyle w:val="202"/>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破碎、制粉、筛分、包装</w:t>
                  </w:r>
                </w:p>
              </w:tc>
              <w:tc>
                <w:tcPr>
                  <w:tcW w:w="893" w:type="pct"/>
                  <w:tcBorders>
                    <w:tl2br w:val="nil"/>
                    <w:tr2bl w:val="nil"/>
                  </w:tcBorders>
                  <w:noWrap w:val="0"/>
                  <w:vAlign w:val="center"/>
                </w:tcPr>
                <w:p w14:paraId="3A455BCB">
                  <w:pPr>
                    <w:pStyle w:val="202"/>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颗粒物</w:t>
                  </w:r>
                </w:p>
              </w:tc>
              <w:tc>
                <w:tcPr>
                  <w:tcW w:w="2460" w:type="pct"/>
                  <w:tcBorders>
                    <w:tl2br w:val="nil"/>
                    <w:tr2bl w:val="nil"/>
                  </w:tcBorders>
                  <w:shd w:val="clear" w:color="auto" w:fill="auto"/>
                  <w:noWrap w:val="0"/>
                  <w:vAlign w:val="center"/>
                </w:tcPr>
                <w:p w14:paraId="2BF39A0F">
                  <w:pPr>
                    <w:pStyle w:val="170"/>
                    <w:jc w:val="both"/>
                    <w:rPr>
                      <w:rFonts w:hint="default" w:ascii="Times New Roman" w:hAnsi="Times New Roman" w:eastAsia="宋体" w:cs="Times New Roman"/>
                      <w:color w:val="auto"/>
                      <w:kern w:val="2"/>
                      <w:sz w:val="21"/>
                      <w:szCs w:val="21"/>
                      <w:lang w:val="en-US" w:eastAsia="zh-CN" w:bidi="ar-SA"/>
                    </w:rPr>
                  </w:pPr>
                  <w:r>
                    <w:rPr>
                      <w:rFonts w:hint="eastAsia" w:hAnsi="宋体"/>
                      <w:color w:val="auto"/>
                      <w:sz w:val="21"/>
                      <w:szCs w:val="21"/>
                      <w:lang w:val="en-US" w:eastAsia="zh-CN"/>
                    </w:rPr>
                    <w:t>粉尘经</w:t>
                  </w:r>
                  <w:r>
                    <w:rPr>
                      <w:rFonts w:hint="eastAsia" w:hAnsi="宋体"/>
                      <w:color w:val="auto"/>
                      <w:sz w:val="21"/>
                      <w:szCs w:val="21"/>
                    </w:rPr>
                    <w:t>收集后引至</w:t>
                  </w:r>
                  <w:r>
                    <w:rPr>
                      <w:rFonts w:hint="eastAsia" w:hAnsi="宋体"/>
                      <w:color w:val="auto"/>
                      <w:sz w:val="21"/>
                      <w:szCs w:val="21"/>
                      <w:lang w:val="en-US" w:eastAsia="zh-CN"/>
                    </w:rPr>
                    <w:t>1#</w:t>
                  </w:r>
                  <w:r>
                    <w:rPr>
                      <w:rFonts w:hint="eastAsia"/>
                      <w:color w:val="auto"/>
                      <w:sz w:val="21"/>
                      <w:szCs w:val="21"/>
                    </w:rPr>
                    <w:t>袋式除尘器+1根15m高排气筒（DA001）达标排放。</w:t>
                  </w:r>
                </w:p>
              </w:tc>
            </w:tr>
            <w:tr w14:paraId="374BE186">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340" w:hRule="atLeast"/>
              </w:trPr>
              <w:tc>
                <w:tcPr>
                  <w:tcW w:w="447" w:type="pct"/>
                  <w:vMerge w:val="continue"/>
                  <w:tcBorders>
                    <w:tl2br w:val="nil"/>
                    <w:tr2bl w:val="nil"/>
                  </w:tcBorders>
                  <w:noWrap w:val="0"/>
                  <w:vAlign w:val="center"/>
                </w:tcPr>
                <w:p w14:paraId="2F5CADDC">
                  <w:pPr>
                    <w:pStyle w:val="170"/>
                    <w:rPr>
                      <w:rFonts w:hint="default" w:ascii="Times New Roman" w:hAnsi="Times New Roman" w:cs="Times New Roman"/>
                      <w:color w:val="auto"/>
                      <w:sz w:val="21"/>
                      <w:szCs w:val="21"/>
                    </w:rPr>
                  </w:pPr>
                </w:p>
              </w:tc>
              <w:tc>
                <w:tcPr>
                  <w:tcW w:w="1198" w:type="pct"/>
                  <w:gridSpan w:val="2"/>
                  <w:tcBorders>
                    <w:tl2br w:val="nil"/>
                    <w:tr2bl w:val="nil"/>
                  </w:tcBorders>
                  <w:shd w:val="clear" w:color="auto" w:fill="auto"/>
                  <w:noWrap w:val="0"/>
                  <w:vAlign w:val="center"/>
                </w:tcPr>
                <w:p w14:paraId="33DC633F">
                  <w:pPr>
                    <w:pStyle w:val="202"/>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天然气燃烧</w:t>
                  </w:r>
                </w:p>
              </w:tc>
              <w:tc>
                <w:tcPr>
                  <w:tcW w:w="893" w:type="pct"/>
                  <w:tcBorders>
                    <w:tl2br w:val="nil"/>
                    <w:tr2bl w:val="nil"/>
                  </w:tcBorders>
                  <w:shd w:val="clear" w:color="auto" w:fill="auto"/>
                  <w:noWrap w:val="0"/>
                  <w:vAlign w:val="center"/>
                </w:tcPr>
                <w:p w14:paraId="7220C545">
                  <w:pPr>
                    <w:pStyle w:val="202"/>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颗粒物、氮氧化物、二氧化硫</w:t>
                  </w:r>
                </w:p>
              </w:tc>
              <w:tc>
                <w:tcPr>
                  <w:tcW w:w="2460" w:type="pct"/>
                  <w:tcBorders>
                    <w:tl2br w:val="nil"/>
                    <w:tr2bl w:val="nil"/>
                  </w:tcBorders>
                  <w:shd w:val="clear" w:color="auto" w:fill="auto"/>
                  <w:noWrap w:val="0"/>
                  <w:vAlign w:val="center"/>
                </w:tcPr>
                <w:p w14:paraId="764375B9">
                  <w:pPr>
                    <w:pStyle w:val="170"/>
                    <w:jc w:val="both"/>
                    <w:rPr>
                      <w:rFonts w:hint="eastAsia" w:ascii="Times New Roman" w:hAnsi="宋体" w:eastAsia="宋体" w:cs="Times New Roman"/>
                      <w:color w:val="auto"/>
                      <w:kern w:val="2"/>
                      <w:sz w:val="21"/>
                      <w:szCs w:val="21"/>
                      <w:lang w:val="en-US" w:eastAsia="zh-CN" w:bidi="ar-SA"/>
                    </w:rPr>
                  </w:pPr>
                  <w:r>
                    <w:rPr>
                      <w:rFonts w:hint="eastAsia" w:hAnsi="宋体"/>
                      <w:color w:val="auto"/>
                      <w:sz w:val="21"/>
                      <w:szCs w:val="21"/>
                      <w:lang w:val="en-US" w:eastAsia="zh-CN"/>
                    </w:rPr>
                    <w:t>热风炉采用低氮燃烧设施，天然气燃烧尾气经</w:t>
                  </w:r>
                  <w:r>
                    <w:rPr>
                      <w:rFonts w:hint="eastAsia"/>
                      <w:color w:val="auto"/>
                      <w:sz w:val="21"/>
                      <w:szCs w:val="21"/>
                    </w:rPr>
                    <w:t>1根15m高排气筒（DA00</w:t>
                  </w:r>
                  <w:r>
                    <w:rPr>
                      <w:rFonts w:hint="eastAsia"/>
                      <w:color w:val="auto"/>
                      <w:sz w:val="21"/>
                      <w:szCs w:val="21"/>
                      <w:lang w:val="en-US" w:eastAsia="zh-CN"/>
                    </w:rPr>
                    <w:t>2</w:t>
                  </w:r>
                  <w:r>
                    <w:rPr>
                      <w:rFonts w:hint="eastAsia"/>
                      <w:color w:val="auto"/>
                      <w:sz w:val="21"/>
                      <w:szCs w:val="21"/>
                    </w:rPr>
                    <w:t>）达标排放。</w:t>
                  </w:r>
                </w:p>
              </w:tc>
            </w:tr>
            <w:tr w14:paraId="312652EB">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340" w:hRule="atLeast"/>
              </w:trPr>
              <w:tc>
                <w:tcPr>
                  <w:tcW w:w="447" w:type="pct"/>
                  <w:vMerge w:val="continue"/>
                  <w:tcBorders>
                    <w:tl2br w:val="nil"/>
                    <w:tr2bl w:val="nil"/>
                  </w:tcBorders>
                  <w:noWrap w:val="0"/>
                  <w:vAlign w:val="center"/>
                </w:tcPr>
                <w:p w14:paraId="13A591AC">
                  <w:pPr>
                    <w:pStyle w:val="170"/>
                    <w:rPr>
                      <w:rFonts w:hint="default" w:ascii="Times New Roman" w:hAnsi="Times New Roman" w:cs="Times New Roman"/>
                      <w:color w:val="auto"/>
                      <w:sz w:val="21"/>
                      <w:szCs w:val="21"/>
                    </w:rPr>
                  </w:pPr>
                </w:p>
              </w:tc>
              <w:tc>
                <w:tcPr>
                  <w:tcW w:w="1198" w:type="pct"/>
                  <w:gridSpan w:val="2"/>
                  <w:tcBorders>
                    <w:tl2br w:val="nil"/>
                    <w:tr2bl w:val="nil"/>
                  </w:tcBorders>
                  <w:shd w:val="clear" w:color="auto" w:fill="auto"/>
                  <w:noWrap w:val="0"/>
                  <w:vAlign w:val="center"/>
                </w:tcPr>
                <w:p w14:paraId="5EA5705B">
                  <w:pPr>
                    <w:pStyle w:val="202"/>
                    <w:rPr>
                      <w:rFonts w:hint="default" w:ascii="Times New Roman" w:hAnsi="Times New Roman" w:eastAsia="宋体" w:cs="Times New Roman"/>
                      <w:color w:val="auto"/>
                      <w:kern w:val="2"/>
                      <w:sz w:val="21"/>
                      <w:szCs w:val="21"/>
                      <w:lang w:val="en-US" w:eastAsia="zh-CN" w:bidi="ar-SA"/>
                    </w:rPr>
                  </w:pPr>
                  <w:r>
                    <w:rPr>
                      <w:rFonts w:hint="eastAsia" w:cs="Times New Roman"/>
                      <w:color w:val="auto"/>
                      <w:lang w:val="en-US" w:eastAsia="zh-CN"/>
                    </w:rPr>
                    <w:t>烘干</w:t>
                  </w:r>
                </w:p>
              </w:tc>
              <w:tc>
                <w:tcPr>
                  <w:tcW w:w="893" w:type="pct"/>
                  <w:tcBorders>
                    <w:tl2br w:val="nil"/>
                    <w:tr2bl w:val="nil"/>
                  </w:tcBorders>
                  <w:shd w:val="clear" w:color="auto" w:fill="auto"/>
                  <w:noWrap w:val="0"/>
                  <w:vAlign w:val="center"/>
                </w:tcPr>
                <w:p w14:paraId="482D3B42">
                  <w:pPr>
                    <w:pStyle w:val="202"/>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颗粒物</w:t>
                  </w:r>
                </w:p>
              </w:tc>
              <w:tc>
                <w:tcPr>
                  <w:tcW w:w="2460" w:type="pct"/>
                  <w:tcBorders>
                    <w:tl2br w:val="nil"/>
                    <w:tr2bl w:val="nil"/>
                  </w:tcBorders>
                  <w:shd w:val="clear" w:color="auto" w:fill="auto"/>
                  <w:noWrap w:val="0"/>
                  <w:vAlign w:val="center"/>
                </w:tcPr>
                <w:p w14:paraId="691A4615">
                  <w:pPr>
                    <w:pStyle w:val="170"/>
                    <w:jc w:val="both"/>
                    <w:rPr>
                      <w:rFonts w:hint="default" w:ascii="Times New Roman" w:hAnsi="宋体"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烘干废气</w:t>
                  </w:r>
                  <w:r>
                    <w:rPr>
                      <w:rFonts w:hint="default" w:ascii="Times New Roman" w:hAnsi="Times New Roman" w:cs="Times New Roman"/>
                      <w:color w:val="auto"/>
                      <w:sz w:val="21"/>
                      <w:szCs w:val="21"/>
                      <w:lang w:val="en-US" w:eastAsia="zh-CN"/>
                    </w:rPr>
                    <w:t>经</w:t>
                  </w:r>
                  <w:r>
                    <w:rPr>
                      <w:rFonts w:hint="eastAsia" w:hAnsi="宋体"/>
                      <w:color w:val="auto"/>
                      <w:sz w:val="21"/>
                      <w:szCs w:val="21"/>
                      <w:lang w:val="en-US" w:eastAsia="zh-CN"/>
                    </w:rPr>
                    <w:t>2#</w:t>
                  </w:r>
                  <w:r>
                    <w:rPr>
                      <w:rFonts w:hint="default" w:ascii="Times New Roman" w:hAnsi="Times New Roman" w:cs="Times New Roman"/>
                      <w:color w:val="auto"/>
                      <w:sz w:val="21"/>
                      <w:szCs w:val="21"/>
                      <w:lang w:val="en-US" w:eastAsia="zh-CN"/>
                    </w:rPr>
                    <w:t>布袋除尘器处置后，通过</w:t>
                  </w:r>
                  <w:r>
                    <w:rPr>
                      <w:rFonts w:hint="default" w:ascii="Times New Roman" w:hAnsi="Times New Roman" w:cs="Times New Roman"/>
                      <w:color w:val="auto"/>
                      <w:sz w:val="21"/>
                      <w:szCs w:val="21"/>
                    </w:rPr>
                    <w:t>1根15m高排气筒（DA00</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高空</w:t>
                  </w:r>
                  <w:r>
                    <w:rPr>
                      <w:rFonts w:hint="default" w:ascii="Times New Roman" w:hAnsi="Times New Roman" w:cs="Times New Roman"/>
                      <w:color w:val="auto"/>
                      <w:sz w:val="21"/>
                      <w:szCs w:val="21"/>
                    </w:rPr>
                    <w:t>排放。</w:t>
                  </w:r>
                </w:p>
              </w:tc>
            </w:tr>
            <w:tr w14:paraId="35B604DD">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340" w:hRule="atLeast"/>
              </w:trPr>
              <w:tc>
                <w:tcPr>
                  <w:tcW w:w="447" w:type="pct"/>
                  <w:tcBorders>
                    <w:tl2br w:val="nil"/>
                    <w:tr2bl w:val="nil"/>
                  </w:tcBorders>
                  <w:noWrap w:val="0"/>
                  <w:vAlign w:val="center"/>
                </w:tcPr>
                <w:p w14:paraId="199BBC3A">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198" w:type="pct"/>
                  <w:gridSpan w:val="2"/>
                  <w:tcBorders>
                    <w:tl2br w:val="nil"/>
                    <w:tr2bl w:val="nil"/>
                  </w:tcBorders>
                  <w:noWrap w:val="0"/>
                  <w:vAlign w:val="center"/>
                </w:tcPr>
                <w:p w14:paraId="5224043F">
                  <w:pPr>
                    <w:pStyle w:val="17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生产</w:t>
                  </w:r>
                  <w:r>
                    <w:rPr>
                      <w:rFonts w:hint="default" w:ascii="Times New Roman" w:hAnsi="Times New Roman" w:cs="Times New Roman"/>
                      <w:color w:val="auto"/>
                      <w:sz w:val="21"/>
                      <w:szCs w:val="21"/>
                      <w:lang w:eastAsia="zh-CN"/>
                    </w:rPr>
                    <w:t>设备</w:t>
                  </w:r>
                </w:p>
              </w:tc>
              <w:tc>
                <w:tcPr>
                  <w:tcW w:w="893" w:type="pct"/>
                  <w:tcBorders>
                    <w:tl2br w:val="nil"/>
                    <w:tr2bl w:val="nil"/>
                  </w:tcBorders>
                  <w:noWrap w:val="0"/>
                  <w:vAlign w:val="center"/>
                </w:tcPr>
                <w:p w14:paraId="3B09FFC3">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Leq</w:t>
                  </w:r>
                </w:p>
              </w:tc>
              <w:tc>
                <w:tcPr>
                  <w:tcW w:w="2460" w:type="pct"/>
                  <w:tcBorders>
                    <w:tl2br w:val="nil"/>
                    <w:tr2bl w:val="nil"/>
                  </w:tcBorders>
                  <w:noWrap w:val="0"/>
                  <w:vAlign w:val="center"/>
                </w:tcPr>
                <w:p w14:paraId="0D57A78B">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厂房隔声、设备基础减振等综合降噪措施</w:t>
                  </w:r>
                </w:p>
              </w:tc>
            </w:tr>
            <w:tr w14:paraId="09DF5195">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324" w:hRule="atLeast"/>
              </w:trPr>
              <w:tc>
                <w:tcPr>
                  <w:tcW w:w="447" w:type="pct"/>
                  <w:vMerge w:val="restart"/>
                  <w:tcBorders>
                    <w:tl2br w:val="nil"/>
                    <w:tr2bl w:val="nil"/>
                  </w:tcBorders>
                  <w:noWrap w:val="0"/>
                  <w:vAlign w:val="center"/>
                </w:tcPr>
                <w:p w14:paraId="25D91BE3">
                  <w:pPr>
                    <w:pStyle w:val="17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375" w:type="pct"/>
                  <w:vMerge w:val="restart"/>
                  <w:tcBorders>
                    <w:right w:val="single" w:color="auto" w:sz="4" w:space="0"/>
                    <w:tl2br w:val="nil"/>
                    <w:tr2bl w:val="nil"/>
                  </w:tcBorders>
                  <w:noWrap w:val="0"/>
                  <w:vAlign w:val="center"/>
                </w:tcPr>
                <w:p w14:paraId="2A05AEA9">
                  <w:pPr>
                    <w:pStyle w:val="17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一般工业固废</w:t>
                  </w:r>
                </w:p>
              </w:tc>
              <w:tc>
                <w:tcPr>
                  <w:tcW w:w="823" w:type="pct"/>
                  <w:tcBorders>
                    <w:left w:val="single" w:color="auto" w:sz="4" w:space="0"/>
                    <w:tl2br w:val="nil"/>
                    <w:tr2bl w:val="nil"/>
                  </w:tcBorders>
                  <w:shd w:val="clear" w:color="auto" w:fill="auto"/>
                  <w:noWrap w:val="0"/>
                  <w:vAlign w:val="center"/>
                </w:tcPr>
                <w:p w14:paraId="2BD80BDD">
                  <w:pPr>
                    <w:pStyle w:val="17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铁块</w:t>
                  </w:r>
                </w:p>
              </w:tc>
              <w:tc>
                <w:tcPr>
                  <w:tcW w:w="893" w:type="pct"/>
                  <w:tcBorders>
                    <w:tl2br w:val="nil"/>
                    <w:tr2bl w:val="nil"/>
                  </w:tcBorders>
                  <w:shd w:val="clear" w:color="auto" w:fill="auto"/>
                  <w:noWrap w:val="0"/>
                  <w:vAlign w:val="center"/>
                </w:tcPr>
                <w:p w14:paraId="6FBB9391">
                  <w:pPr>
                    <w:pStyle w:val="17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磁选出的铁块</w:t>
                  </w:r>
                </w:p>
              </w:tc>
              <w:tc>
                <w:tcPr>
                  <w:tcW w:w="2460" w:type="pct"/>
                  <w:vMerge w:val="restart"/>
                  <w:tcBorders>
                    <w:tl2br w:val="nil"/>
                    <w:tr2bl w:val="nil"/>
                  </w:tcBorders>
                  <w:noWrap w:val="0"/>
                  <w:vAlign w:val="center"/>
                </w:tcPr>
                <w:p w14:paraId="36240632">
                  <w:pPr>
                    <w:pStyle w:val="17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委外综合处置</w:t>
                  </w:r>
                </w:p>
              </w:tc>
            </w:tr>
            <w:tr w14:paraId="321E369C">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309" w:hRule="atLeast"/>
              </w:trPr>
              <w:tc>
                <w:tcPr>
                  <w:tcW w:w="447" w:type="pct"/>
                  <w:vMerge w:val="continue"/>
                  <w:tcBorders>
                    <w:tl2br w:val="nil"/>
                    <w:tr2bl w:val="nil"/>
                  </w:tcBorders>
                  <w:noWrap w:val="0"/>
                  <w:vAlign w:val="center"/>
                </w:tcPr>
                <w:p w14:paraId="7F0C9C43">
                  <w:pPr>
                    <w:pStyle w:val="170"/>
                    <w:rPr>
                      <w:rFonts w:hint="default" w:ascii="Times New Roman" w:hAnsi="Times New Roman" w:cs="Times New Roman"/>
                      <w:color w:val="auto"/>
                      <w:sz w:val="21"/>
                      <w:szCs w:val="21"/>
                      <w:lang w:val="en-US" w:eastAsia="zh-CN"/>
                    </w:rPr>
                  </w:pPr>
                </w:p>
              </w:tc>
              <w:tc>
                <w:tcPr>
                  <w:tcW w:w="375" w:type="pct"/>
                  <w:vMerge w:val="continue"/>
                  <w:tcBorders>
                    <w:right w:val="single" w:color="auto" w:sz="4" w:space="0"/>
                    <w:tl2br w:val="nil"/>
                    <w:tr2bl w:val="nil"/>
                  </w:tcBorders>
                  <w:noWrap w:val="0"/>
                  <w:vAlign w:val="center"/>
                </w:tcPr>
                <w:p w14:paraId="30ABC721">
                  <w:pPr>
                    <w:pStyle w:val="170"/>
                    <w:rPr>
                      <w:rFonts w:hint="default" w:ascii="Times New Roman" w:hAnsi="Times New Roman" w:cs="Times New Roman"/>
                      <w:color w:val="auto"/>
                      <w:sz w:val="21"/>
                      <w:szCs w:val="21"/>
                      <w:lang w:val="en-US" w:eastAsia="zh-CN"/>
                    </w:rPr>
                  </w:pPr>
                </w:p>
              </w:tc>
              <w:tc>
                <w:tcPr>
                  <w:tcW w:w="823" w:type="pct"/>
                  <w:tcBorders>
                    <w:left w:val="single" w:color="auto" w:sz="4" w:space="0"/>
                    <w:tl2br w:val="nil"/>
                    <w:tr2bl w:val="nil"/>
                  </w:tcBorders>
                  <w:shd w:val="clear" w:color="auto" w:fill="auto"/>
                  <w:noWrap w:val="0"/>
                  <w:vAlign w:val="center"/>
                </w:tcPr>
                <w:p w14:paraId="365A0C61">
                  <w:pPr>
                    <w:pStyle w:val="17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小石块</w:t>
                  </w:r>
                </w:p>
              </w:tc>
              <w:tc>
                <w:tcPr>
                  <w:tcW w:w="893" w:type="pct"/>
                  <w:tcBorders>
                    <w:tl2br w:val="nil"/>
                    <w:tr2bl w:val="nil"/>
                  </w:tcBorders>
                  <w:shd w:val="clear" w:color="auto" w:fill="auto"/>
                  <w:noWrap w:val="0"/>
                  <w:vAlign w:val="center"/>
                </w:tcPr>
                <w:p w14:paraId="5D91A3F4">
                  <w:pPr>
                    <w:pStyle w:val="17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重力分选出来的小石块</w:t>
                  </w:r>
                </w:p>
              </w:tc>
              <w:tc>
                <w:tcPr>
                  <w:tcW w:w="2460" w:type="pct"/>
                  <w:vMerge w:val="continue"/>
                  <w:tcBorders>
                    <w:tl2br w:val="nil"/>
                    <w:tr2bl w:val="nil"/>
                  </w:tcBorders>
                  <w:noWrap w:val="0"/>
                  <w:vAlign w:val="center"/>
                </w:tcPr>
                <w:p w14:paraId="651B7D43">
                  <w:pPr>
                    <w:pStyle w:val="170"/>
                    <w:rPr>
                      <w:rFonts w:hint="default" w:ascii="Times New Roman" w:hAnsi="Times New Roman" w:cs="Times New Roman"/>
                      <w:color w:val="auto"/>
                      <w:sz w:val="21"/>
                      <w:szCs w:val="21"/>
                      <w:lang w:val="en-US" w:eastAsia="zh-CN"/>
                    </w:rPr>
                  </w:pPr>
                </w:p>
              </w:tc>
            </w:tr>
            <w:tr w14:paraId="4667F519">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90" w:hRule="atLeast"/>
              </w:trPr>
              <w:tc>
                <w:tcPr>
                  <w:tcW w:w="447" w:type="pct"/>
                  <w:vMerge w:val="continue"/>
                  <w:tcBorders>
                    <w:tl2br w:val="nil"/>
                    <w:tr2bl w:val="nil"/>
                  </w:tcBorders>
                  <w:noWrap w:val="0"/>
                  <w:vAlign w:val="center"/>
                </w:tcPr>
                <w:p w14:paraId="2DB924F6">
                  <w:pPr>
                    <w:pStyle w:val="170"/>
                    <w:rPr>
                      <w:rFonts w:hint="default" w:ascii="Times New Roman" w:hAnsi="Times New Roman" w:cs="Times New Roman"/>
                      <w:color w:val="auto"/>
                      <w:sz w:val="21"/>
                      <w:szCs w:val="21"/>
                      <w:lang w:val="en-US" w:eastAsia="zh-CN"/>
                    </w:rPr>
                  </w:pPr>
                </w:p>
              </w:tc>
              <w:tc>
                <w:tcPr>
                  <w:tcW w:w="375" w:type="pct"/>
                  <w:vMerge w:val="continue"/>
                  <w:tcBorders>
                    <w:right w:val="single" w:color="auto" w:sz="4" w:space="0"/>
                    <w:tl2br w:val="nil"/>
                    <w:tr2bl w:val="nil"/>
                  </w:tcBorders>
                  <w:noWrap w:val="0"/>
                  <w:vAlign w:val="center"/>
                </w:tcPr>
                <w:p w14:paraId="10EC914F">
                  <w:pPr>
                    <w:pStyle w:val="170"/>
                    <w:rPr>
                      <w:rFonts w:hint="default" w:ascii="Times New Roman" w:hAnsi="Times New Roman" w:cs="Times New Roman"/>
                      <w:color w:val="auto"/>
                      <w:sz w:val="21"/>
                      <w:szCs w:val="21"/>
                      <w:lang w:val="en-US" w:eastAsia="zh-CN"/>
                    </w:rPr>
                  </w:pPr>
                </w:p>
              </w:tc>
              <w:tc>
                <w:tcPr>
                  <w:tcW w:w="823" w:type="pct"/>
                  <w:tcBorders>
                    <w:left w:val="single" w:color="auto" w:sz="4" w:space="0"/>
                    <w:tl2br w:val="nil"/>
                    <w:tr2bl w:val="nil"/>
                  </w:tcBorders>
                  <w:shd w:val="clear" w:color="auto" w:fill="auto"/>
                  <w:noWrap w:val="0"/>
                  <w:vAlign w:val="center"/>
                </w:tcPr>
                <w:p w14:paraId="4473E9E8">
                  <w:pPr>
                    <w:pStyle w:val="17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废包装物</w:t>
                  </w:r>
                </w:p>
              </w:tc>
              <w:tc>
                <w:tcPr>
                  <w:tcW w:w="893" w:type="pct"/>
                  <w:tcBorders>
                    <w:tl2br w:val="nil"/>
                    <w:tr2bl w:val="nil"/>
                  </w:tcBorders>
                  <w:shd w:val="clear" w:color="auto" w:fill="auto"/>
                  <w:noWrap w:val="0"/>
                  <w:vAlign w:val="center"/>
                </w:tcPr>
                <w:p w14:paraId="5F611D97">
                  <w:pPr>
                    <w:pStyle w:val="17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包装袋</w:t>
                  </w:r>
                </w:p>
              </w:tc>
              <w:tc>
                <w:tcPr>
                  <w:tcW w:w="2460" w:type="pct"/>
                  <w:vMerge w:val="continue"/>
                  <w:tcBorders>
                    <w:tl2br w:val="nil"/>
                    <w:tr2bl w:val="nil"/>
                  </w:tcBorders>
                  <w:noWrap w:val="0"/>
                  <w:vAlign w:val="center"/>
                </w:tcPr>
                <w:p w14:paraId="18F456A9">
                  <w:pPr>
                    <w:pStyle w:val="170"/>
                    <w:rPr>
                      <w:rFonts w:hint="default" w:ascii="Times New Roman" w:hAnsi="Times New Roman" w:cs="Times New Roman"/>
                      <w:color w:val="auto"/>
                      <w:sz w:val="21"/>
                      <w:szCs w:val="21"/>
                      <w:lang w:val="en-US" w:eastAsia="zh-CN"/>
                    </w:rPr>
                  </w:pPr>
                </w:p>
              </w:tc>
            </w:tr>
            <w:tr w14:paraId="4C1B7B15">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90" w:hRule="atLeast"/>
              </w:trPr>
              <w:tc>
                <w:tcPr>
                  <w:tcW w:w="447" w:type="pct"/>
                  <w:vMerge w:val="continue"/>
                  <w:tcBorders>
                    <w:tl2br w:val="nil"/>
                    <w:tr2bl w:val="nil"/>
                  </w:tcBorders>
                  <w:noWrap w:val="0"/>
                  <w:vAlign w:val="center"/>
                </w:tcPr>
                <w:p w14:paraId="20B1335C">
                  <w:pPr>
                    <w:pStyle w:val="170"/>
                    <w:rPr>
                      <w:rFonts w:hint="default" w:ascii="Times New Roman" w:hAnsi="Times New Roman" w:cs="Times New Roman"/>
                      <w:color w:val="auto"/>
                      <w:sz w:val="21"/>
                      <w:szCs w:val="21"/>
                      <w:lang w:val="en-US" w:eastAsia="zh-CN"/>
                    </w:rPr>
                  </w:pPr>
                </w:p>
              </w:tc>
              <w:tc>
                <w:tcPr>
                  <w:tcW w:w="375" w:type="pct"/>
                  <w:vMerge w:val="continue"/>
                  <w:tcBorders>
                    <w:right w:val="single" w:color="auto" w:sz="4" w:space="0"/>
                    <w:tl2br w:val="nil"/>
                    <w:tr2bl w:val="nil"/>
                  </w:tcBorders>
                  <w:noWrap w:val="0"/>
                  <w:vAlign w:val="center"/>
                </w:tcPr>
                <w:p w14:paraId="35837D92">
                  <w:pPr>
                    <w:pStyle w:val="170"/>
                    <w:rPr>
                      <w:rFonts w:hint="default" w:ascii="Times New Roman" w:hAnsi="Times New Roman" w:cs="Times New Roman"/>
                      <w:color w:val="auto"/>
                      <w:sz w:val="21"/>
                      <w:szCs w:val="21"/>
                      <w:lang w:val="en-US" w:eastAsia="zh-CN"/>
                    </w:rPr>
                  </w:pPr>
                </w:p>
              </w:tc>
              <w:tc>
                <w:tcPr>
                  <w:tcW w:w="823" w:type="pct"/>
                  <w:tcBorders>
                    <w:left w:val="single" w:color="auto" w:sz="4" w:space="0"/>
                    <w:tl2br w:val="nil"/>
                    <w:tr2bl w:val="nil"/>
                  </w:tcBorders>
                  <w:noWrap w:val="0"/>
                  <w:vAlign w:val="center"/>
                </w:tcPr>
                <w:p w14:paraId="0C5E12D3">
                  <w:pPr>
                    <w:pStyle w:val="170"/>
                    <w:rPr>
                      <w:rFonts w:hint="default"/>
                      <w:color w:val="auto"/>
                      <w:sz w:val="21"/>
                      <w:szCs w:val="21"/>
                      <w:lang w:val="en-US" w:eastAsia="zh-CN"/>
                    </w:rPr>
                  </w:pPr>
                  <w:r>
                    <w:rPr>
                      <w:rFonts w:hint="eastAsia"/>
                      <w:color w:val="auto"/>
                      <w:sz w:val="21"/>
                      <w:szCs w:val="21"/>
                      <w:lang w:val="en-US" w:eastAsia="zh-CN"/>
                    </w:rPr>
                    <w:t>废布袋</w:t>
                  </w:r>
                </w:p>
              </w:tc>
              <w:tc>
                <w:tcPr>
                  <w:tcW w:w="893" w:type="pct"/>
                  <w:tcBorders>
                    <w:tl2br w:val="nil"/>
                    <w:tr2bl w:val="nil"/>
                  </w:tcBorders>
                  <w:noWrap w:val="0"/>
                  <w:vAlign w:val="center"/>
                </w:tcPr>
                <w:p w14:paraId="51ADB64E">
                  <w:pPr>
                    <w:pStyle w:val="170"/>
                    <w:rPr>
                      <w:rFonts w:hint="default" w:cs="Times New Roman"/>
                      <w:color w:val="auto"/>
                      <w:sz w:val="21"/>
                      <w:szCs w:val="21"/>
                      <w:lang w:val="en-US" w:eastAsia="zh-CN"/>
                    </w:rPr>
                  </w:pPr>
                  <w:r>
                    <w:rPr>
                      <w:rFonts w:hint="eastAsia" w:cs="Times New Roman"/>
                      <w:color w:val="auto"/>
                      <w:sz w:val="21"/>
                      <w:szCs w:val="21"/>
                      <w:lang w:val="en-US" w:eastAsia="zh-CN"/>
                    </w:rPr>
                    <w:t>布袋</w:t>
                  </w:r>
                </w:p>
              </w:tc>
              <w:tc>
                <w:tcPr>
                  <w:tcW w:w="2460" w:type="pct"/>
                  <w:vMerge w:val="continue"/>
                  <w:tcBorders>
                    <w:bottom w:val="single" w:color="000000" w:sz="4" w:space="0"/>
                    <w:tl2br w:val="nil"/>
                    <w:tr2bl w:val="nil"/>
                  </w:tcBorders>
                  <w:noWrap w:val="0"/>
                  <w:vAlign w:val="center"/>
                </w:tcPr>
                <w:p w14:paraId="5020E6D6">
                  <w:pPr>
                    <w:pStyle w:val="170"/>
                    <w:rPr>
                      <w:rFonts w:hint="default" w:ascii="Times New Roman" w:hAnsi="Times New Roman" w:cs="Times New Roman"/>
                      <w:color w:val="auto"/>
                      <w:sz w:val="21"/>
                      <w:szCs w:val="21"/>
                      <w:lang w:val="en-US" w:eastAsia="zh-CN"/>
                    </w:rPr>
                  </w:pPr>
                </w:p>
              </w:tc>
            </w:tr>
            <w:tr w14:paraId="78B99B61">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340" w:hRule="atLeast"/>
              </w:trPr>
              <w:tc>
                <w:tcPr>
                  <w:tcW w:w="447" w:type="pct"/>
                  <w:vMerge w:val="continue"/>
                  <w:tcBorders>
                    <w:tl2br w:val="nil"/>
                    <w:tr2bl w:val="nil"/>
                  </w:tcBorders>
                  <w:noWrap w:val="0"/>
                  <w:vAlign w:val="center"/>
                </w:tcPr>
                <w:p w14:paraId="06E7423D">
                  <w:pPr>
                    <w:pStyle w:val="170"/>
                    <w:rPr>
                      <w:rFonts w:hint="default" w:ascii="Times New Roman" w:hAnsi="Times New Roman" w:cs="Times New Roman"/>
                      <w:color w:val="auto"/>
                      <w:sz w:val="21"/>
                      <w:szCs w:val="21"/>
                      <w:lang w:val="en-US" w:eastAsia="zh-CN"/>
                    </w:rPr>
                  </w:pPr>
                </w:p>
              </w:tc>
              <w:tc>
                <w:tcPr>
                  <w:tcW w:w="375" w:type="pct"/>
                  <w:vMerge w:val="continue"/>
                  <w:tcBorders>
                    <w:right w:val="single" w:color="auto" w:sz="4" w:space="0"/>
                    <w:tl2br w:val="nil"/>
                    <w:tr2bl w:val="nil"/>
                  </w:tcBorders>
                  <w:noWrap w:val="0"/>
                  <w:vAlign w:val="center"/>
                </w:tcPr>
                <w:p w14:paraId="530E76C9">
                  <w:pPr>
                    <w:pStyle w:val="170"/>
                    <w:rPr>
                      <w:rFonts w:hint="default" w:ascii="Times New Roman" w:hAnsi="Times New Roman" w:cs="Times New Roman"/>
                      <w:color w:val="auto"/>
                      <w:sz w:val="21"/>
                      <w:szCs w:val="21"/>
                      <w:lang w:val="en-US" w:eastAsia="zh-CN"/>
                    </w:rPr>
                  </w:pPr>
                </w:p>
              </w:tc>
              <w:tc>
                <w:tcPr>
                  <w:tcW w:w="823" w:type="pct"/>
                  <w:tcBorders>
                    <w:left w:val="single" w:color="auto" w:sz="4" w:space="0"/>
                    <w:tl2br w:val="nil"/>
                    <w:tr2bl w:val="nil"/>
                  </w:tcBorders>
                  <w:shd w:val="clear" w:color="auto" w:fill="auto"/>
                  <w:noWrap w:val="0"/>
                  <w:vAlign w:val="center"/>
                </w:tcPr>
                <w:p w14:paraId="3F64F340">
                  <w:pPr>
                    <w:pStyle w:val="17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除尘器收集粉尘</w:t>
                  </w:r>
                </w:p>
              </w:tc>
              <w:tc>
                <w:tcPr>
                  <w:tcW w:w="893" w:type="pct"/>
                  <w:tcBorders>
                    <w:tl2br w:val="nil"/>
                    <w:tr2bl w:val="nil"/>
                  </w:tcBorders>
                  <w:shd w:val="clear" w:color="auto" w:fill="auto"/>
                  <w:noWrap w:val="0"/>
                  <w:vAlign w:val="center"/>
                </w:tcPr>
                <w:p w14:paraId="5365EDF5">
                  <w:pPr>
                    <w:pStyle w:val="17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粉尘</w:t>
                  </w:r>
                </w:p>
              </w:tc>
              <w:tc>
                <w:tcPr>
                  <w:tcW w:w="2460" w:type="pct"/>
                  <w:tcBorders>
                    <w:top w:val="single" w:color="000000" w:sz="4" w:space="0"/>
                    <w:tl2br w:val="nil"/>
                    <w:tr2bl w:val="nil"/>
                  </w:tcBorders>
                  <w:noWrap w:val="0"/>
                  <w:vAlign w:val="center"/>
                </w:tcPr>
                <w:p w14:paraId="6B842F72">
                  <w:pPr>
                    <w:pStyle w:val="17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集中收集后回用于生产</w:t>
                  </w:r>
                </w:p>
              </w:tc>
            </w:tr>
            <w:tr w14:paraId="60B72913">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57" w:type="dxa"/>
                  <w:bottom w:w="0" w:type="dxa"/>
                  <w:right w:w="57" w:type="dxa"/>
                </w:tblCellMar>
              </w:tblPrEx>
              <w:trPr>
                <w:trHeight w:val="340" w:hRule="atLeast"/>
              </w:trPr>
              <w:tc>
                <w:tcPr>
                  <w:tcW w:w="447" w:type="pct"/>
                  <w:vMerge w:val="continue"/>
                  <w:tcBorders>
                    <w:tl2br w:val="nil"/>
                    <w:tr2bl w:val="nil"/>
                  </w:tcBorders>
                  <w:noWrap w:val="0"/>
                  <w:vAlign w:val="center"/>
                </w:tcPr>
                <w:p w14:paraId="07493F24">
                  <w:pPr>
                    <w:pStyle w:val="170"/>
                    <w:rPr>
                      <w:rFonts w:hint="default" w:ascii="Times New Roman" w:hAnsi="Times New Roman" w:cs="Times New Roman"/>
                      <w:color w:val="auto"/>
                      <w:sz w:val="21"/>
                      <w:szCs w:val="21"/>
                    </w:rPr>
                  </w:pPr>
                </w:p>
              </w:tc>
              <w:tc>
                <w:tcPr>
                  <w:tcW w:w="375" w:type="pct"/>
                  <w:tcBorders>
                    <w:right w:val="single" w:color="auto" w:sz="4" w:space="0"/>
                    <w:tl2br w:val="nil"/>
                    <w:tr2bl w:val="nil"/>
                  </w:tcBorders>
                  <w:noWrap w:val="0"/>
                  <w:vAlign w:val="center"/>
                </w:tcPr>
                <w:p w14:paraId="03B3D63F">
                  <w:pPr>
                    <w:pStyle w:val="17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生活垃圾</w:t>
                  </w:r>
                </w:p>
              </w:tc>
              <w:tc>
                <w:tcPr>
                  <w:tcW w:w="823" w:type="pct"/>
                  <w:tcBorders>
                    <w:left w:val="single" w:color="auto" w:sz="4" w:space="0"/>
                    <w:tl2br w:val="nil"/>
                    <w:tr2bl w:val="nil"/>
                  </w:tcBorders>
                  <w:noWrap w:val="0"/>
                  <w:vAlign w:val="center"/>
                </w:tcPr>
                <w:p w14:paraId="6C0EACE3">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职工生活垃圾</w:t>
                  </w:r>
                </w:p>
              </w:tc>
              <w:tc>
                <w:tcPr>
                  <w:tcW w:w="893" w:type="pct"/>
                  <w:tcBorders>
                    <w:tl2br w:val="nil"/>
                    <w:tr2bl w:val="nil"/>
                  </w:tcBorders>
                  <w:noWrap w:val="0"/>
                  <w:vAlign w:val="center"/>
                </w:tcPr>
                <w:p w14:paraId="59852643">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纸屑、果皮、塑料盒、塑料袋等</w:t>
                  </w:r>
                </w:p>
              </w:tc>
              <w:tc>
                <w:tcPr>
                  <w:tcW w:w="2460" w:type="pct"/>
                  <w:tcBorders>
                    <w:tl2br w:val="nil"/>
                    <w:tr2bl w:val="nil"/>
                  </w:tcBorders>
                  <w:noWrap w:val="0"/>
                  <w:vAlign w:val="center"/>
                </w:tcPr>
                <w:p w14:paraId="7031428F">
                  <w:pPr>
                    <w:pStyle w:val="17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生活垃圾统一收集后，由环卫部门清运</w:t>
                  </w:r>
                </w:p>
              </w:tc>
            </w:tr>
          </w:tbl>
          <w:p w14:paraId="0D3C9123">
            <w:pPr>
              <w:adjustRightInd w:val="0"/>
              <w:snapToGrid w:val="0"/>
              <w:spacing w:line="360" w:lineRule="auto"/>
              <w:ind w:firstLine="480" w:firstLineChars="200"/>
              <w:jc w:val="left"/>
              <w:rPr>
                <w:rFonts w:ascii="Times New Roman" w:hAnsi="Times New Roman"/>
                <w:color w:val="auto"/>
                <w:sz w:val="24"/>
                <w:szCs w:val="24"/>
              </w:rPr>
            </w:pPr>
          </w:p>
        </w:tc>
      </w:tr>
      <w:tr w14:paraId="2C988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716" w:type="dxa"/>
            <w:noWrap w:val="0"/>
            <w:vAlign w:val="center"/>
          </w:tcPr>
          <w:p w14:paraId="3365C57A">
            <w:pPr>
              <w:pStyle w:val="19"/>
              <w:adjustRightInd w:val="0"/>
              <w:snapToGrid w:val="0"/>
              <w:spacing w:before="0" w:beforeAutospacing="0" w:after="0" w:afterAutospacing="0"/>
              <w:jc w:val="center"/>
              <w:rPr>
                <w:rFonts w:ascii="Times New Roman" w:hAnsi="Times New Roman"/>
                <w:color w:val="auto"/>
                <w:szCs w:val="24"/>
              </w:rPr>
            </w:pPr>
            <w:r>
              <w:rPr>
                <w:rFonts w:ascii="Times New Roman" w:hAnsi="Times New Roman"/>
                <w:bCs/>
                <w:color w:val="auto"/>
                <w:kern w:val="2"/>
                <w:szCs w:val="24"/>
              </w:rPr>
              <w:t>与项目有关的原有环境污染问题</w:t>
            </w:r>
          </w:p>
        </w:tc>
        <w:tc>
          <w:tcPr>
            <w:tcW w:w="8344" w:type="dxa"/>
            <w:noWrap w:val="0"/>
            <w:vAlign w:val="center"/>
          </w:tcPr>
          <w:p w14:paraId="2E4475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olor w:val="auto"/>
                <w:sz w:val="24"/>
                <w:szCs w:val="24"/>
                <w:lang w:val="en-US" w:eastAsia="zh-CN"/>
              </w:rPr>
            </w:pPr>
            <w:r>
              <w:rPr>
                <w:rFonts w:hint="eastAsia" w:ascii="Times New Roman" w:hAnsi="Times New Roman"/>
                <w:color w:val="auto"/>
                <w:kern w:val="0"/>
                <w:sz w:val="24"/>
                <w:szCs w:val="24"/>
                <w:lang w:val="en-US" w:eastAsia="zh-CN"/>
              </w:rPr>
              <w:t>项目位于</w:t>
            </w:r>
            <w:r>
              <w:rPr>
                <w:rFonts w:hint="eastAsia"/>
                <w:color w:val="auto"/>
                <w:sz w:val="24"/>
                <w:szCs w:val="24"/>
                <w:lang w:eastAsia="zh-CN"/>
              </w:rPr>
              <w:t>福建省福鼎市前岐镇照澜村罗六36号</w:t>
            </w:r>
            <w:r>
              <w:rPr>
                <w:rFonts w:hint="eastAsia" w:ascii="Times New Roman" w:hAnsi="Times New Roman"/>
                <w:color w:val="auto"/>
                <w:kern w:val="0"/>
                <w:sz w:val="24"/>
                <w:szCs w:val="24"/>
                <w:lang w:val="en-US" w:eastAsia="zh-CN"/>
              </w:rPr>
              <w:t>，</w:t>
            </w:r>
            <w:r>
              <w:rPr>
                <w:rFonts w:hint="eastAsia"/>
                <w:color w:val="auto"/>
                <w:sz w:val="24"/>
                <w:szCs w:val="24"/>
                <w:lang w:val="en-US" w:eastAsia="zh-CN"/>
              </w:rPr>
              <w:t>租赁福鼎市福阳溶剂有限公司现有厂房建设</w:t>
            </w:r>
            <w:r>
              <w:rPr>
                <w:rFonts w:hint="eastAsia" w:ascii="Times New Roman" w:hAnsi="Times New Roman"/>
                <w:color w:val="auto"/>
                <w:sz w:val="24"/>
                <w:szCs w:val="24"/>
                <w:lang w:val="en-US" w:eastAsia="zh-CN"/>
              </w:rPr>
              <w:t>“</w:t>
            </w:r>
            <w:r>
              <w:rPr>
                <w:rFonts w:ascii="Times New Roman" w:hAnsi="Times New Roman"/>
                <w:color w:val="auto"/>
                <w:sz w:val="24"/>
                <w:szCs w:val="24"/>
              </w:rPr>
              <w:fldChar w:fldCharType="begin"/>
            </w:r>
            <w:r>
              <w:rPr>
                <w:rFonts w:ascii="Times New Roman" w:hAnsi="Times New Roman"/>
                <w:color w:val="auto"/>
                <w:sz w:val="24"/>
                <w:szCs w:val="24"/>
              </w:rPr>
              <w:instrText xml:space="preserve"> REF 项目名称 \h  \* MERGEFORMAT </w:instrText>
            </w:r>
            <w:r>
              <w:rPr>
                <w:rFonts w:ascii="Times New Roman" w:hAnsi="Times New Roman"/>
                <w:color w:val="auto"/>
                <w:sz w:val="24"/>
                <w:szCs w:val="24"/>
              </w:rPr>
              <w:fldChar w:fldCharType="separate"/>
            </w:r>
            <w:r>
              <w:rPr>
                <w:rFonts w:hint="eastAsia"/>
                <w:color w:val="auto"/>
                <w:sz w:val="24"/>
                <w:szCs w:val="24"/>
                <w:lang w:eastAsia="zh-CN"/>
              </w:rPr>
              <w:t>生物质气化炉炭渣资源化综合利用项目</w:t>
            </w:r>
            <w:r>
              <w:rPr>
                <w:rFonts w:ascii="Times New Roman" w:hAnsi="Times New Roman"/>
                <w:color w:val="auto"/>
                <w:sz w:val="24"/>
                <w:szCs w:val="24"/>
              </w:rPr>
              <w:fldChar w:fldCharType="end"/>
            </w:r>
            <w:r>
              <w:rPr>
                <w:rFonts w:hint="eastAsia" w:ascii="Times New Roman" w:hAnsi="Times New Roman"/>
                <w:color w:val="auto"/>
                <w:sz w:val="24"/>
                <w:szCs w:val="24"/>
                <w:lang w:val="en-US" w:eastAsia="zh-CN"/>
              </w:rPr>
              <w:t>”。</w:t>
            </w:r>
          </w:p>
          <w:p w14:paraId="115260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olor w:val="auto"/>
                <w:sz w:val="24"/>
                <w:szCs w:val="24"/>
                <w:lang w:val="en-US" w:eastAsia="zh-CN"/>
              </w:rPr>
            </w:pPr>
            <w:r>
              <w:rPr>
                <w:rFonts w:hint="default" w:ascii="Times New Roman" w:hAnsi="Times New Roman"/>
                <w:color w:val="auto"/>
                <w:sz w:val="24"/>
                <w:szCs w:val="24"/>
                <w:lang w:val="en-US" w:eastAsia="zh-CN"/>
              </w:rPr>
              <w:t>福鼎市福阳溶剂有限公司原有年产10000吨非芳烃稀释剂项目，</w:t>
            </w:r>
            <w:r>
              <w:rPr>
                <w:rFonts w:hint="eastAsia"/>
                <w:color w:val="auto"/>
                <w:sz w:val="24"/>
                <w:szCs w:val="24"/>
                <w:lang w:val="en-US" w:eastAsia="zh-CN"/>
              </w:rPr>
              <w:t>于2009年7月30日取得宁德市福鼎生态环境局批复（鼎环保函〔2009〕88号），2011年6月21日完成环保验收（宁市环验〔2011〕9号）。</w:t>
            </w:r>
          </w:p>
          <w:p w14:paraId="209370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bCs/>
                <w:color w:val="auto"/>
                <w:szCs w:val="21"/>
                <w:lang w:val="en-US" w:eastAsia="zh-CN"/>
              </w:rPr>
            </w:pPr>
            <w:r>
              <w:rPr>
                <w:rFonts w:hint="eastAsia"/>
                <w:color w:val="auto"/>
                <w:sz w:val="24"/>
                <w:szCs w:val="24"/>
                <w:lang w:val="en-US" w:eastAsia="zh-CN"/>
              </w:rPr>
              <w:t>该项目已于</w:t>
            </w:r>
            <w:r>
              <w:rPr>
                <w:rFonts w:hint="default" w:ascii="Times New Roman" w:hAnsi="Times New Roman"/>
                <w:color w:val="auto"/>
                <w:sz w:val="24"/>
                <w:szCs w:val="24"/>
                <w:lang w:val="en-US" w:eastAsia="zh-CN"/>
              </w:rPr>
              <w:t>2022年2月开始停产</w:t>
            </w:r>
            <w:r>
              <w:rPr>
                <w:rFonts w:hint="eastAsia"/>
                <w:color w:val="auto"/>
                <w:sz w:val="24"/>
                <w:szCs w:val="24"/>
                <w:lang w:val="en-US" w:eastAsia="zh-CN"/>
              </w:rPr>
              <w:t>，</w:t>
            </w:r>
            <w:r>
              <w:rPr>
                <w:rFonts w:hint="default" w:ascii="Times New Roman" w:hAnsi="Times New Roman"/>
                <w:color w:val="auto"/>
                <w:sz w:val="24"/>
                <w:szCs w:val="24"/>
                <w:lang w:val="en-US" w:eastAsia="zh-CN"/>
              </w:rPr>
              <w:t>生产设备及储罐</w:t>
            </w:r>
            <w:r>
              <w:rPr>
                <w:rFonts w:hint="eastAsia"/>
                <w:color w:val="auto"/>
                <w:sz w:val="24"/>
                <w:szCs w:val="24"/>
                <w:lang w:val="en-US" w:eastAsia="zh-CN"/>
              </w:rPr>
              <w:t>已全部</w:t>
            </w:r>
            <w:r>
              <w:rPr>
                <w:rFonts w:hint="default" w:ascii="Times New Roman" w:hAnsi="Times New Roman"/>
                <w:color w:val="auto"/>
                <w:sz w:val="24"/>
                <w:szCs w:val="24"/>
                <w:lang w:val="en-US" w:eastAsia="zh-CN"/>
              </w:rPr>
              <w:t>拆除</w:t>
            </w:r>
            <w:r>
              <w:rPr>
                <w:rFonts w:hint="eastAsia"/>
                <w:color w:val="auto"/>
                <w:sz w:val="24"/>
                <w:szCs w:val="24"/>
                <w:lang w:val="en-US" w:eastAsia="zh-CN"/>
              </w:rPr>
              <w:t>委外处置，厂房空置</w:t>
            </w:r>
            <w:r>
              <w:rPr>
                <w:rFonts w:hint="default" w:ascii="Times New Roman" w:hAnsi="Times New Roman"/>
                <w:color w:val="auto"/>
                <w:sz w:val="24"/>
                <w:szCs w:val="24"/>
                <w:lang w:val="en-US" w:eastAsia="zh-CN"/>
              </w:rPr>
              <w:t>。</w:t>
            </w:r>
            <w:r>
              <w:rPr>
                <w:rFonts w:hint="eastAsia" w:ascii="Times New Roman" w:hAnsi="Times New Roman"/>
                <w:color w:val="auto"/>
                <w:sz w:val="24"/>
                <w:szCs w:val="24"/>
                <w:lang w:val="en-US" w:eastAsia="zh-CN"/>
              </w:rPr>
              <w:t>无其他环境遗留问题，也没有与本项目有关的原有环境污染问题。</w:t>
            </w:r>
          </w:p>
        </w:tc>
      </w:tr>
    </w:tbl>
    <w:p w14:paraId="7C40DCE1">
      <w:pPr>
        <w:pStyle w:val="19"/>
        <w:jc w:val="center"/>
        <w:rPr>
          <w:rFonts w:ascii="Times New Roman" w:hAnsi="Times New Roman"/>
          <w:snapToGrid w:val="0"/>
          <w:color w:val="auto"/>
          <w:sz w:val="36"/>
          <w:szCs w:val="36"/>
        </w:rPr>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57A7520E">
      <w:pPr>
        <w:pStyle w:val="19"/>
        <w:numPr>
          <w:ilvl w:val="0"/>
          <w:numId w:val="7"/>
        </w:numPr>
        <w:spacing w:before="120" w:beforeLines="50" w:beforeAutospacing="0" w:after="120" w:afterLines="50" w:afterAutospacing="0"/>
        <w:ind w:left="0" w:leftChars="0" w:firstLine="420" w:firstLineChars="0"/>
        <w:jc w:val="center"/>
        <w:outlineLvl w:val="0"/>
        <w:rPr>
          <w:rFonts w:ascii="Times New Roman" w:hAnsi="Times New Roman"/>
          <w:b/>
          <w:snapToGrid w:val="0"/>
          <w:color w:val="auto"/>
          <w:sz w:val="30"/>
          <w:szCs w:val="30"/>
        </w:rPr>
      </w:pPr>
      <w:r>
        <w:rPr>
          <w:rFonts w:ascii="Times New Roman" w:hAnsi="Times New Roman"/>
          <w:b/>
          <w:snapToGrid w:val="0"/>
          <w:color w:val="auto"/>
          <w:sz w:val="30"/>
          <w:szCs w:val="30"/>
        </w:rPr>
        <w:t>区域环境质量现状、环境保护目标及评价标准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8495"/>
      </w:tblGrid>
      <w:tr w14:paraId="5E21F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9" w:hRule="atLeast"/>
          <w:jc w:val="center"/>
        </w:trPr>
        <w:tc>
          <w:tcPr>
            <w:tcW w:w="817" w:type="dxa"/>
            <w:noWrap w:val="0"/>
            <w:vAlign w:val="center"/>
          </w:tcPr>
          <w:p w14:paraId="57871E70">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区域</w:t>
            </w:r>
          </w:p>
          <w:p w14:paraId="785DE50F">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环境</w:t>
            </w:r>
          </w:p>
          <w:p w14:paraId="4BDAA6E4">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质量</w:t>
            </w:r>
          </w:p>
          <w:p w14:paraId="6C1AAB0F">
            <w:pPr>
              <w:adjustRightInd w:val="0"/>
              <w:snapToGrid w:val="0"/>
              <w:jc w:val="center"/>
              <w:rPr>
                <w:rFonts w:ascii="Times New Roman" w:hAnsi="Times New Roman"/>
                <w:color w:val="auto"/>
                <w:kern w:val="0"/>
                <w:szCs w:val="21"/>
              </w:rPr>
            </w:pPr>
            <w:r>
              <w:rPr>
                <w:rFonts w:ascii="Times New Roman" w:hAnsi="Times New Roman"/>
                <w:color w:val="auto"/>
                <w:kern w:val="0"/>
                <w:sz w:val="24"/>
                <w:szCs w:val="24"/>
              </w:rPr>
              <w:t>现状</w:t>
            </w:r>
          </w:p>
        </w:tc>
        <w:tc>
          <w:tcPr>
            <w:tcW w:w="8244" w:type="dxa"/>
            <w:noWrap w:val="0"/>
            <w:vAlign w:val="center"/>
          </w:tcPr>
          <w:p w14:paraId="2B5E5FB6">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3.1.1、大气环境质量现状</w:t>
            </w:r>
          </w:p>
          <w:p w14:paraId="77C34D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olor w:val="auto"/>
                <w:sz w:val="24"/>
                <w:szCs w:val="24"/>
                <w:lang w:val="zh-CN"/>
              </w:rPr>
            </w:pPr>
            <w:r>
              <w:rPr>
                <w:rFonts w:ascii="Times New Roman" w:hAnsi="Times New Roman"/>
                <w:color w:val="auto"/>
                <w:sz w:val="24"/>
                <w:szCs w:val="24"/>
                <w:lang w:val="zh-CN"/>
              </w:rPr>
              <w:t>（1）环境空气质量标准</w:t>
            </w:r>
          </w:p>
          <w:p w14:paraId="1791774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color w:val="auto"/>
                <w:spacing w:val="10"/>
                <w:sz w:val="24"/>
                <w:szCs w:val="24"/>
              </w:rPr>
            </w:pPr>
            <w:r>
              <w:rPr>
                <w:rFonts w:ascii="Times New Roman" w:hAnsi="Times New Roman"/>
                <w:color w:val="auto"/>
                <w:sz w:val="24"/>
                <w:szCs w:val="24"/>
              </w:rPr>
              <w:t>项目所处区域环境空气属二类区，项目所在地环境空气质量执行《环境空气质量标准》（GB3095-2012）中二级标准</w:t>
            </w:r>
            <w:r>
              <w:rPr>
                <w:rFonts w:ascii="Times New Roman" w:hAnsi="Times New Roman"/>
                <w:bCs/>
                <w:color w:val="auto"/>
                <w:sz w:val="24"/>
                <w:szCs w:val="24"/>
              </w:rPr>
              <w:t>，</w:t>
            </w:r>
            <w:r>
              <w:rPr>
                <w:rFonts w:ascii="Times New Roman" w:hAnsi="Times New Roman"/>
                <w:color w:val="auto"/>
                <w:spacing w:val="10"/>
                <w:sz w:val="24"/>
                <w:szCs w:val="24"/>
              </w:rPr>
              <w:t>具体见</w:t>
            </w:r>
            <w:r>
              <w:rPr>
                <w:rFonts w:hint="eastAsia" w:ascii="Times New Roman" w:hAnsi="Times New Roman"/>
                <w:color w:val="auto"/>
                <w:spacing w:val="10"/>
                <w:sz w:val="24"/>
                <w:szCs w:val="24"/>
                <w:lang w:val="en-US" w:eastAsia="zh-CN"/>
              </w:rPr>
              <w:t>下表</w:t>
            </w:r>
            <w:r>
              <w:rPr>
                <w:rFonts w:ascii="Times New Roman" w:hAnsi="Times New Roman"/>
                <w:color w:val="auto"/>
                <w:spacing w:val="10"/>
                <w:sz w:val="24"/>
                <w:szCs w:val="24"/>
              </w:rPr>
              <w:t>。</w:t>
            </w:r>
          </w:p>
          <w:p w14:paraId="5E575C39">
            <w:pPr>
              <w:numPr>
                <w:ilvl w:val="0"/>
                <w:numId w:val="8"/>
              </w:numPr>
              <w:spacing w:before="120" w:beforeLines="50"/>
              <w:jc w:val="center"/>
              <w:rPr>
                <w:rFonts w:ascii="Times New Roman" w:hAnsi="Times New Roman"/>
                <w:b/>
                <w:color w:val="auto"/>
                <w:szCs w:val="21"/>
              </w:rPr>
            </w:pPr>
            <w:r>
              <w:rPr>
                <w:rFonts w:ascii="Times New Roman" w:hAnsi="Times New Roman"/>
                <w:b/>
                <w:color w:val="auto"/>
                <w:sz w:val="24"/>
                <w:szCs w:val="24"/>
              </w:rPr>
              <w:t xml:space="preserve">  </w:t>
            </w:r>
            <w:bookmarkStart w:id="11" w:name="_Ref443550155"/>
            <w:r>
              <w:rPr>
                <w:rFonts w:ascii="Times New Roman" w:hAnsi="Times New Roman"/>
                <w:b/>
                <w:color w:val="auto"/>
                <w:sz w:val="24"/>
                <w:szCs w:val="24"/>
              </w:rPr>
              <w:t>《环境空气质量标准》（GB3095-2012）</w:t>
            </w:r>
            <w:bookmarkEnd w:id="11"/>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226"/>
              <w:gridCol w:w="2279"/>
              <w:gridCol w:w="2774"/>
            </w:tblGrid>
            <w:tr w14:paraId="5BF79C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tcBorders>
                    <w:tl2br w:val="nil"/>
                    <w:tr2bl w:val="nil"/>
                  </w:tcBorders>
                  <w:noWrap w:val="0"/>
                  <w:vAlign w:val="center"/>
                </w:tcPr>
                <w:p w14:paraId="30F07F96">
                  <w:pPr>
                    <w:adjustRightInd w:val="0"/>
                    <w:snapToGrid w:val="0"/>
                    <w:jc w:val="center"/>
                    <w:rPr>
                      <w:rFonts w:ascii="Times New Roman" w:hAnsi="Times New Roman"/>
                      <w:color w:val="auto"/>
                      <w:szCs w:val="21"/>
                    </w:rPr>
                  </w:pPr>
                  <w:r>
                    <w:rPr>
                      <w:rFonts w:ascii="Times New Roman" w:hAnsi="Times New Roman"/>
                      <w:bCs/>
                      <w:color w:val="auto"/>
                      <w:szCs w:val="21"/>
                    </w:rPr>
                    <w:t>执行标准</w:t>
                  </w:r>
                </w:p>
              </w:tc>
              <w:tc>
                <w:tcPr>
                  <w:tcW w:w="1376" w:type="pct"/>
                  <w:tcBorders>
                    <w:tl2br w:val="nil"/>
                    <w:tr2bl w:val="nil"/>
                  </w:tcBorders>
                  <w:noWrap w:val="0"/>
                  <w:vAlign w:val="center"/>
                </w:tcPr>
                <w:p w14:paraId="19FE5B61">
                  <w:pPr>
                    <w:adjustRightInd w:val="0"/>
                    <w:snapToGrid w:val="0"/>
                    <w:jc w:val="center"/>
                    <w:rPr>
                      <w:rFonts w:ascii="Times New Roman" w:hAnsi="Times New Roman"/>
                      <w:bCs/>
                      <w:color w:val="auto"/>
                      <w:szCs w:val="21"/>
                    </w:rPr>
                  </w:pPr>
                  <w:r>
                    <w:rPr>
                      <w:rFonts w:ascii="Times New Roman" w:hAnsi="Times New Roman"/>
                      <w:bCs/>
                      <w:color w:val="auto"/>
                      <w:szCs w:val="21"/>
                    </w:rPr>
                    <w:t>指标</w:t>
                  </w:r>
                </w:p>
              </w:tc>
              <w:tc>
                <w:tcPr>
                  <w:tcW w:w="1675" w:type="pct"/>
                  <w:tcBorders>
                    <w:tl2br w:val="nil"/>
                    <w:tr2bl w:val="nil"/>
                  </w:tcBorders>
                  <w:noWrap w:val="0"/>
                  <w:vAlign w:val="center"/>
                </w:tcPr>
                <w:p w14:paraId="4ABE91A5">
                  <w:pPr>
                    <w:adjustRightInd w:val="0"/>
                    <w:snapToGrid w:val="0"/>
                    <w:jc w:val="center"/>
                    <w:rPr>
                      <w:rFonts w:ascii="Times New Roman" w:hAnsi="Times New Roman"/>
                      <w:bCs/>
                      <w:color w:val="auto"/>
                      <w:szCs w:val="21"/>
                    </w:rPr>
                  </w:pPr>
                  <w:r>
                    <w:rPr>
                      <w:rFonts w:ascii="Times New Roman" w:hAnsi="Times New Roman"/>
                      <w:bCs/>
                      <w:color w:val="auto"/>
                      <w:szCs w:val="21"/>
                    </w:rPr>
                    <w:t>标准限值</w:t>
                  </w:r>
                </w:p>
              </w:tc>
            </w:tr>
            <w:tr w14:paraId="1EC24B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vMerge w:val="restart"/>
                  <w:tcBorders>
                    <w:tl2br w:val="nil"/>
                    <w:tr2bl w:val="nil"/>
                  </w:tcBorders>
                  <w:noWrap w:val="0"/>
                  <w:vAlign w:val="center"/>
                </w:tcPr>
                <w:p w14:paraId="24E6E4AD">
                  <w:pPr>
                    <w:tabs>
                      <w:tab w:val="left" w:pos="366"/>
                    </w:tabs>
                    <w:adjustRightInd w:val="0"/>
                    <w:snapToGrid w:val="0"/>
                    <w:jc w:val="center"/>
                    <w:rPr>
                      <w:rFonts w:ascii="Times New Roman" w:hAnsi="Times New Roman"/>
                      <w:color w:val="auto"/>
                      <w:szCs w:val="21"/>
                    </w:rPr>
                  </w:pPr>
                  <w:r>
                    <w:rPr>
                      <w:rFonts w:ascii="Times New Roman" w:hAnsi="Times New Roman"/>
                      <w:color w:val="auto"/>
                      <w:szCs w:val="21"/>
                    </w:rPr>
                    <w:t>《环境空气质量标准》</w:t>
                  </w:r>
                  <w:r>
                    <w:rPr>
                      <w:rFonts w:hint="eastAsia"/>
                      <w:color w:val="auto"/>
                      <w:szCs w:val="21"/>
                      <w:lang w:eastAsia="zh-CN"/>
                    </w:rPr>
                    <w:t>（</w:t>
                  </w:r>
                  <w:r>
                    <w:rPr>
                      <w:rFonts w:ascii="Times New Roman" w:hAnsi="Times New Roman"/>
                      <w:color w:val="auto"/>
                      <w:szCs w:val="21"/>
                    </w:rPr>
                    <w:t>GB3095-2012</w:t>
                  </w:r>
                  <w:r>
                    <w:rPr>
                      <w:rFonts w:hint="eastAsia"/>
                      <w:color w:val="auto"/>
                      <w:szCs w:val="21"/>
                      <w:lang w:eastAsia="zh-CN"/>
                    </w:rPr>
                    <w:t>）</w:t>
                  </w:r>
                  <w:r>
                    <w:rPr>
                      <w:rFonts w:hint="eastAsia" w:ascii="Times New Roman" w:hAnsi="Times New Roman"/>
                      <w:color w:val="auto"/>
                      <w:szCs w:val="21"/>
                    </w:rPr>
                    <w:t>二</w:t>
                  </w:r>
                  <w:r>
                    <w:rPr>
                      <w:rFonts w:ascii="Times New Roman" w:hAnsi="Times New Roman"/>
                      <w:color w:val="auto"/>
                      <w:szCs w:val="21"/>
                    </w:rPr>
                    <w:t>级标准</w:t>
                  </w:r>
                  <w:r>
                    <w:rPr>
                      <w:rFonts w:hint="eastAsia" w:ascii="Times New Roman" w:hAnsi="Times New Roman"/>
                      <w:color w:val="auto"/>
                      <w:szCs w:val="21"/>
                    </w:rPr>
                    <w:t>及其修改单</w:t>
                  </w:r>
                </w:p>
              </w:tc>
              <w:tc>
                <w:tcPr>
                  <w:tcW w:w="1376" w:type="pct"/>
                  <w:vMerge w:val="restart"/>
                  <w:tcBorders>
                    <w:tl2br w:val="nil"/>
                    <w:tr2bl w:val="nil"/>
                  </w:tcBorders>
                  <w:noWrap w:val="0"/>
                  <w:vAlign w:val="center"/>
                </w:tcPr>
                <w:p w14:paraId="20B9F5D0">
                  <w:pPr>
                    <w:tabs>
                      <w:tab w:val="left" w:pos="366"/>
                    </w:tabs>
                    <w:adjustRightInd w:val="0"/>
                    <w:snapToGrid w:val="0"/>
                    <w:jc w:val="center"/>
                    <w:rPr>
                      <w:rFonts w:ascii="Times New Roman" w:hAnsi="Times New Roman"/>
                      <w:color w:val="auto"/>
                      <w:szCs w:val="21"/>
                    </w:rPr>
                  </w:pPr>
                  <w:r>
                    <w:rPr>
                      <w:rFonts w:ascii="Times New Roman" w:hAnsi="Times New Roman"/>
                      <w:color w:val="auto"/>
                      <w:szCs w:val="21"/>
                    </w:rPr>
                    <w:t>二氧化硫SO</w:t>
                  </w:r>
                  <w:r>
                    <w:rPr>
                      <w:rFonts w:ascii="Times New Roman" w:hAnsi="Times New Roman"/>
                      <w:color w:val="auto"/>
                      <w:szCs w:val="21"/>
                      <w:vertAlign w:val="subscript"/>
                    </w:rPr>
                    <w:t>2</w:t>
                  </w:r>
                </w:p>
              </w:tc>
              <w:tc>
                <w:tcPr>
                  <w:tcW w:w="1675" w:type="pct"/>
                  <w:tcBorders>
                    <w:tl2br w:val="nil"/>
                    <w:tr2bl w:val="nil"/>
                  </w:tcBorders>
                  <w:noWrap w:val="0"/>
                  <w:vAlign w:val="center"/>
                </w:tcPr>
                <w:p w14:paraId="292A65B7">
                  <w:pPr>
                    <w:tabs>
                      <w:tab w:val="left" w:pos="366"/>
                    </w:tabs>
                    <w:adjustRightInd w:val="0"/>
                    <w:snapToGrid w:val="0"/>
                    <w:jc w:val="center"/>
                    <w:rPr>
                      <w:rFonts w:ascii="Times New Roman" w:hAnsi="Times New Roman"/>
                      <w:color w:val="auto"/>
                      <w:szCs w:val="21"/>
                    </w:rPr>
                  </w:pPr>
                  <w:r>
                    <w:rPr>
                      <w:rFonts w:ascii="Times New Roman" w:hAnsi="Times New Roman"/>
                      <w:color w:val="auto"/>
                      <w:szCs w:val="21"/>
                    </w:rPr>
                    <w:t>年平均60µg/ m</w:t>
                  </w:r>
                  <w:r>
                    <w:rPr>
                      <w:rFonts w:ascii="Times New Roman" w:hAnsi="Times New Roman"/>
                      <w:color w:val="auto"/>
                      <w:szCs w:val="21"/>
                      <w:vertAlign w:val="superscript"/>
                    </w:rPr>
                    <w:t>3</w:t>
                  </w:r>
                </w:p>
              </w:tc>
            </w:tr>
            <w:tr w14:paraId="69AE518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vMerge w:val="continue"/>
                  <w:tcBorders>
                    <w:tl2br w:val="nil"/>
                    <w:tr2bl w:val="nil"/>
                  </w:tcBorders>
                  <w:noWrap w:val="0"/>
                  <w:vAlign w:val="center"/>
                </w:tcPr>
                <w:p w14:paraId="7598414D">
                  <w:pPr>
                    <w:adjustRightInd w:val="0"/>
                    <w:snapToGrid w:val="0"/>
                    <w:jc w:val="center"/>
                    <w:rPr>
                      <w:rFonts w:ascii="Times New Roman" w:hAnsi="Times New Roman"/>
                      <w:color w:val="auto"/>
                      <w:szCs w:val="21"/>
                    </w:rPr>
                  </w:pPr>
                </w:p>
              </w:tc>
              <w:tc>
                <w:tcPr>
                  <w:tcW w:w="1376" w:type="pct"/>
                  <w:vMerge w:val="continue"/>
                  <w:tcBorders>
                    <w:tl2br w:val="nil"/>
                    <w:tr2bl w:val="nil"/>
                  </w:tcBorders>
                  <w:noWrap w:val="0"/>
                  <w:vAlign w:val="center"/>
                </w:tcPr>
                <w:p w14:paraId="6BAF7A90">
                  <w:pPr>
                    <w:adjustRightInd w:val="0"/>
                    <w:snapToGrid w:val="0"/>
                    <w:jc w:val="center"/>
                    <w:rPr>
                      <w:rFonts w:ascii="Times New Roman" w:hAnsi="Times New Roman"/>
                      <w:color w:val="auto"/>
                      <w:szCs w:val="21"/>
                    </w:rPr>
                  </w:pPr>
                </w:p>
              </w:tc>
              <w:tc>
                <w:tcPr>
                  <w:tcW w:w="1675" w:type="pct"/>
                  <w:tcBorders>
                    <w:tl2br w:val="nil"/>
                    <w:tr2bl w:val="nil"/>
                  </w:tcBorders>
                  <w:noWrap w:val="0"/>
                  <w:vAlign w:val="center"/>
                </w:tcPr>
                <w:p w14:paraId="7DC6E5DF">
                  <w:pPr>
                    <w:adjustRightInd w:val="0"/>
                    <w:snapToGrid w:val="0"/>
                    <w:jc w:val="center"/>
                    <w:rPr>
                      <w:rFonts w:ascii="Times New Roman" w:hAnsi="Times New Roman"/>
                      <w:color w:val="auto"/>
                      <w:szCs w:val="21"/>
                    </w:rPr>
                  </w:pPr>
                  <w:r>
                    <w:rPr>
                      <w:rFonts w:ascii="Times New Roman" w:hAnsi="Times New Roman"/>
                      <w:color w:val="auto"/>
                      <w:szCs w:val="21"/>
                    </w:rPr>
                    <w:t>日平均150µg/ m</w:t>
                  </w:r>
                  <w:r>
                    <w:rPr>
                      <w:rFonts w:ascii="Times New Roman" w:hAnsi="Times New Roman"/>
                      <w:color w:val="auto"/>
                      <w:szCs w:val="21"/>
                      <w:vertAlign w:val="superscript"/>
                    </w:rPr>
                    <w:t>3</w:t>
                  </w:r>
                </w:p>
              </w:tc>
            </w:tr>
            <w:tr w14:paraId="58F1F4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vMerge w:val="continue"/>
                  <w:tcBorders>
                    <w:tl2br w:val="nil"/>
                    <w:tr2bl w:val="nil"/>
                  </w:tcBorders>
                  <w:noWrap w:val="0"/>
                  <w:vAlign w:val="center"/>
                </w:tcPr>
                <w:p w14:paraId="2DC0788D">
                  <w:pPr>
                    <w:adjustRightInd w:val="0"/>
                    <w:snapToGrid w:val="0"/>
                    <w:jc w:val="center"/>
                    <w:rPr>
                      <w:rFonts w:ascii="Times New Roman" w:hAnsi="Times New Roman"/>
                      <w:color w:val="auto"/>
                      <w:szCs w:val="21"/>
                    </w:rPr>
                  </w:pPr>
                </w:p>
              </w:tc>
              <w:tc>
                <w:tcPr>
                  <w:tcW w:w="1376" w:type="pct"/>
                  <w:vMerge w:val="continue"/>
                  <w:tcBorders>
                    <w:tl2br w:val="nil"/>
                    <w:tr2bl w:val="nil"/>
                  </w:tcBorders>
                  <w:noWrap w:val="0"/>
                  <w:vAlign w:val="center"/>
                </w:tcPr>
                <w:p w14:paraId="2B50E34A">
                  <w:pPr>
                    <w:adjustRightInd w:val="0"/>
                    <w:snapToGrid w:val="0"/>
                    <w:jc w:val="center"/>
                    <w:rPr>
                      <w:rFonts w:ascii="Times New Roman" w:hAnsi="Times New Roman"/>
                      <w:color w:val="auto"/>
                      <w:szCs w:val="21"/>
                    </w:rPr>
                  </w:pPr>
                </w:p>
              </w:tc>
              <w:tc>
                <w:tcPr>
                  <w:tcW w:w="1675" w:type="pct"/>
                  <w:tcBorders>
                    <w:tl2br w:val="nil"/>
                    <w:tr2bl w:val="nil"/>
                  </w:tcBorders>
                  <w:noWrap w:val="0"/>
                  <w:vAlign w:val="center"/>
                </w:tcPr>
                <w:p w14:paraId="7EE01F9D">
                  <w:pPr>
                    <w:adjustRightInd w:val="0"/>
                    <w:snapToGrid w:val="0"/>
                    <w:jc w:val="center"/>
                    <w:rPr>
                      <w:rFonts w:ascii="Times New Roman" w:hAnsi="Times New Roman"/>
                      <w:color w:val="auto"/>
                      <w:szCs w:val="21"/>
                    </w:rPr>
                  </w:pPr>
                  <w:r>
                    <w:rPr>
                      <w:rFonts w:ascii="Times New Roman" w:hAnsi="Times New Roman"/>
                      <w:color w:val="auto"/>
                      <w:szCs w:val="21"/>
                    </w:rPr>
                    <w:t>小时平均500µg/ m</w:t>
                  </w:r>
                  <w:r>
                    <w:rPr>
                      <w:rFonts w:ascii="Times New Roman" w:hAnsi="Times New Roman"/>
                      <w:color w:val="auto"/>
                      <w:szCs w:val="21"/>
                      <w:vertAlign w:val="superscript"/>
                    </w:rPr>
                    <w:t>3</w:t>
                  </w:r>
                </w:p>
              </w:tc>
            </w:tr>
            <w:tr w14:paraId="632844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vMerge w:val="continue"/>
                  <w:tcBorders>
                    <w:tl2br w:val="nil"/>
                    <w:tr2bl w:val="nil"/>
                  </w:tcBorders>
                  <w:noWrap w:val="0"/>
                  <w:vAlign w:val="center"/>
                </w:tcPr>
                <w:p w14:paraId="624D41FC">
                  <w:pPr>
                    <w:adjustRightInd w:val="0"/>
                    <w:snapToGrid w:val="0"/>
                    <w:jc w:val="center"/>
                    <w:rPr>
                      <w:rFonts w:ascii="Times New Roman" w:hAnsi="Times New Roman"/>
                      <w:color w:val="auto"/>
                      <w:szCs w:val="21"/>
                    </w:rPr>
                  </w:pPr>
                </w:p>
              </w:tc>
              <w:tc>
                <w:tcPr>
                  <w:tcW w:w="1376" w:type="pct"/>
                  <w:vMerge w:val="restart"/>
                  <w:tcBorders>
                    <w:tl2br w:val="nil"/>
                    <w:tr2bl w:val="nil"/>
                  </w:tcBorders>
                  <w:noWrap w:val="0"/>
                  <w:vAlign w:val="center"/>
                </w:tcPr>
                <w:p w14:paraId="0BA943E9">
                  <w:pPr>
                    <w:tabs>
                      <w:tab w:val="left" w:pos="366"/>
                    </w:tabs>
                    <w:adjustRightInd w:val="0"/>
                    <w:snapToGrid w:val="0"/>
                    <w:jc w:val="center"/>
                    <w:rPr>
                      <w:rFonts w:ascii="Times New Roman" w:hAnsi="Times New Roman"/>
                      <w:color w:val="auto"/>
                      <w:szCs w:val="21"/>
                    </w:rPr>
                  </w:pPr>
                  <w:r>
                    <w:rPr>
                      <w:rFonts w:ascii="Times New Roman" w:hAnsi="Times New Roman"/>
                      <w:color w:val="auto"/>
                      <w:szCs w:val="21"/>
                    </w:rPr>
                    <w:t>二氧化氮NO</w:t>
                  </w:r>
                  <w:r>
                    <w:rPr>
                      <w:rFonts w:ascii="Times New Roman" w:hAnsi="Times New Roman"/>
                      <w:color w:val="auto"/>
                      <w:szCs w:val="21"/>
                      <w:vertAlign w:val="subscript"/>
                    </w:rPr>
                    <w:t>2</w:t>
                  </w:r>
                </w:p>
              </w:tc>
              <w:tc>
                <w:tcPr>
                  <w:tcW w:w="1675" w:type="pct"/>
                  <w:tcBorders>
                    <w:tl2br w:val="nil"/>
                    <w:tr2bl w:val="nil"/>
                  </w:tcBorders>
                  <w:noWrap w:val="0"/>
                  <w:vAlign w:val="center"/>
                </w:tcPr>
                <w:p w14:paraId="6BF6634D">
                  <w:pPr>
                    <w:adjustRightInd w:val="0"/>
                    <w:snapToGrid w:val="0"/>
                    <w:jc w:val="center"/>
                    <w:rPr>
                      <w:rFonts w:ascii="Times New Roman" w:hAnsi="Times New Roman"/>
                      <w:color w:val="auto"/>
                      <w:szCs w:val="21"/>
                    </w:rPr>
                  </w:pPr>
                  <w:r>
                    <w:rPr>
                      <w:rFonts w:ascii="Times New Roman" w:hAnsi="Times New Roman"/>
                      <w:color w:val="auto"/>
                      <w:szCs w:val="21"/>
                    </w:rPr>
                    <w:t>年平均40µg/ m</w:t>
                  </w:r>
                  <w:r>
                    <w:rPr>
                      <w:rFonts w:ascii="Times New Roman" w:hAnsi="Times New Roman"/>
                      <w:color w:val="auto"/>
                      <w:szCs w:val="21"/>
                      <w:vertAlign w:val="superscript"/>
                    </w:rPr>
                    <w:t>3</w:t>
                  </w:r>
                </w:p>
              </w:tc>
            </w:tr>
            <w:tr w14:paraId="4CBB78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vMerge w:val="continue"/>
                  <w:tcBorders>
                    <w:tl2br w:val="nil"/>
                    <w:tr2bl w:val="nil"/>
                  </w:tcBorders>
                  <w:noWrap w:val="0"/>
                  <w:vAlign w:val="center"/>
                </w:tcPr>
                <w:p w14:paraId="67FC568F">
                  <w:pPr>
                    <w:adjustRightInd w:val="0"/>
                    <w:snapToGrid w:val="0"/>
                    <w:jc w:val="center"/>
                    <w:rPr>
                      <w:rFonts w:ascii="Times New Roman" w:hAnsi="Times New Roman"/>
                      <w:color w:val="auto"/>
                      <w:szCs w:val="21"/>
                    </w:rPr>
                  </w:pPr>
                </w:p>
              </w:tc>
              <w:tc>
                <w:tcPr>
                  <w:tcW w:w="1376" w:type="pct"/>
                  <w:vMerge w:val="continue"/>
                  <w:tcBorders>
                    <w:tl2br w:val="nil"/>
                    <w:tr2bl w:val="nil"/>
                  </w:tcBorders>
                  <w:noWrap w:val="0"/>
                  <w:vAlign w:val="center"/>
                </w:tcPr>
                <w:p w14:paraId="41205876">
                  <w:pPr>
                    <w:adjustRightInd w:val="0"/>
                    <w:snapToGrid w:val="0"/>
                    <w:jc w:val="center"/>
                    <w:rPr>
                      <w:rFonts w:ascii="Times New Roman" w:hAnsi="Times New Roman"/>
                      <w:color w:val="auto"/>
                      <w:szCs w:val="21"/>
                    </w:rPr>
                  </w:pPr>
                </w:p>
              </w:tc>
              <w:tc>
                <w:tcPr>
                  <w:tcW w:w="1675" w:type="pct"/>
                  <w:tcBorders>
                    <w:tl2br w:val="nil"/>
                    <w:tr2bl w:val="nil"/>
                  </w:tcBorders>
                  <w:noWrap w:val="0"/>
                  <w:vAlign w:val="center"/>
                </w:tcPr>
                <w:p w14:paraId="4AC5FF3A">
                  <w:pPr>
                    <w:adjustRightInd w:val="0"/>
                    <w:snapToGrid w:val="0"/>
                    <w:jc w:val="center"/>
                    <w:rPr>
                      <w:rFonts w:ascii="Times New Roman" w:hAnsi="Times New Roman"/>
                      <w:color w:val="auto"/>
                      <w:szCs w:val="21"/>
                    </w:rPr>
                  </w:pPr>
                  <w:r>
                    <w:rPr>
                      <w:rFonts w:ascii="Times New Roman" w:hAnsi="Times New Roman"/>
                      <w:color w:val="auto"/>
                      <w:szCs w:val="21"/>
                    </w:rPr>
                    <w:t>日平均80µg/ m</w:t>
                  </w:r>
                  <w:r>
                    <w:rPr>
                      <w:rFonts w:ascii="Times New Roman" w:hAnsi="Times New Roman"/>
                      <w:color w:val="auto"/>
                      <w:szCs w:val="21"/>
                      <w:vertAlign w:val="superscript"/>
                    </w:rPr>
                    <w:t>3</w:t>
                  </w:r>
                </w:p>
              </w:tc>
            </w:tr>
            <w:tr w14:paraId="670D7D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vMerge w:val="continue"/>
                  <w:tcBorders>
                    <w:tl2br w:val="nil"/>
                    <w:tr2bl w:val="nil"/>
                  </w:tcBorders>
                  <w:noWrap w:val="0"/>
                  <w:vAlign w:val="center"/>
                </w:tcPr>
                <w:p w14:paraId="437DB6E5">
                  <w:pPr>
                    <w:adjustRightInd w:val="0"/>
                    <w:snapToGrid w:val="0"/>
                    <w:jc w:val="center"/>
                    <w:rPr>
                      <w:rFonts w:ascii="Times New Roman" w:hAnsi="Times New Roman"/>
                      <w:color w:val="auto"/>
                      <w:szCs w:val="21"/>
                    </w:rPr>
                  </w:pPr>
                </w:p>
              </w:tc>
              <w:tc>
                <w:tcPr>
                  <w:tcW w:w="1376" w:type="pct"/>
                  <w:vMerge w:val="continue"/>
                  <w:tcBorders>
                    <w:tl2br w:val="nil"/>
                    <w:tr2bl w:val="nil"/>
                  </w:tcBorders>
                  <w:noWrap w:val="0"/>
                  <w:vAlign w:val="center"/>
                </w:tcPr>
                <w:p w14:paraId="74EACEF9">
                  <w:pPr>
                    <w:adjustRightInd w:val="0"/>
                    <w:snapToGrid w:val="0"/>
                    <w:jc w:val="center"/>
                    <w:rPr>
                      <w:rFonts w:ascii="Times New Roman" w:hAnsi="Times New Roman"/>
                      <w:color w:val="auto"/>
                      <w:szCs w:val="21"/>
                    </w:rPr>
                  </w:pPr>
                </w:p>
              </w:tc>
              <w:tc>
                <w:tcPr>
                  <w:tcW w:w="1675" w:type="pct"/>
                  <w:tcBorders>
                    <w:tl2br w:val="nil"/>
                    <w:tr2bl w:val="nil"/>
                  </w:tcBorders>
                  <w:noWrap w:val="0"/>
                  <w:vAlign w:val="center"/>
                </w:tcPr>
                <w:p w14:paraId="54E86D29">
                  <w:pPr>
                    <w:adjustRightInd w:val="0"/>
                    <w:snapToGrid w:val="0"/>
                    <w:jc w:val="center"/>
                    <w:rPr>
                      <w:rFonts w:ascii="Times New Roman" w:hAnsi="Times New Roman"/>
                      <w:color w:val="auto"/>
                      <w:szCs w:val="21"/>
                    </w:rPr>
                  </w:pPr>
                  <w:r>
                    <w:rPr>
                      <w:rFonts w:ascii="Times New Roman" w:hAnsi="Times New Roman"/>
                      <w:color w:val="auto"/>
                      <w:szCs w:val="21"/>
                    </w:rPr>
                    <w:t>小时平均200µg/ m</w:t>
                  </w:r>
                  <w:r>
                    <w:rPr>
                      <w:rFonts w:ascii="Times New Roman" w:hAnsi="Times New Roman"/>
                      <w:color w:val="auto"/>
                      <w:szCs w:val="21"/>
                      <w:vertAlign w:val="superscript"/>
                    </w:rPr>
                    <w:t>3</w:t>
                  </w:r>
                </w:p>
              </w:tc>
            </w:tr>
            <w:tr w14:paraId="764743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vMerge w:val="continue"/>
                  <w:tcBorders>
                    <w:tl2br w:val="nil"/>
                    <w:tr2bl w:val="nil"/>
                  </w:tcBorders>
                  <w:noWrap w:val="0"/>
                  <w:vAlign w:val="center"/>
                </w:tcPr>
                <w:p w14:paraId="1F59F1B6">
                  <w:pPr>
                    <w:adjustRightInd w:val="0"/>
                    <w:snapToGrid w:val="0"/>
                    <w:jc w:val="center"/>
                    <w:rPr>
                      <w:rFonts w:ascii="Times New Roman" w:hAnsi="Times New Roman"/>
                      <w:color w:val="auto"/>
                      <w:szCs w:val="21"/>
                    </w:rPr>
                  </w:pPr>
                </w:p>
              </w:tc>
              <w:tc>
                <w:tcPr>
                  <w:tcW w:w="1376" w:type="pct"/>
                  <w:vMerge w:val="restart"/>
                  <w:tcBorders>
                    <w:tl2br w:val="nil"/>
                    <w:tr2bl w:val="nil"/>
                  </w:tcBorders>
                  <w:noWrap w:val="0"/>
                  <w:vAlign w:val="center"/>
                </w:tcPr>
                <w:p w14:paraId="2319A196">
                  <w:pPr>
                    <w:tabs>
                      <w:tab w:val="left" w:pos="366"/>
                    </w:tabs>
                    <w:adjustRightInd w:val="0"/>
                    <w:snapToGrid w:val="0"/>
                    <w:jc w:val="center"/>
                    <w:rPr>
                      <w:rFonts w:ascii="Times New Roman" w:hAnsi="Times New Roman"/>
                      <w:color w:val="auto"/>
                      <w:szCs w:val="21"/>
                    </w:rPr>
                  </w:pPr>
                  <w:r>
                    <w:rPr>
                      <w:rFonts w:ascii="Times New Roman" w:hAnsi="Times New Roman"/>
                      <w:color w:val="auto"/>
                      <w:szCs w:val="21"/>
                    </w:rPr>
                    <w:t>总悬浮颗粒物TSP</w:t>
                  </w:r>
                </w:p>
              </w:tc>
              <w:tc>
                <w:tcPr>
                  <w:tcW w:w="1675" w:type="pct"/>
                  <w:tcBorders>
                    <w:tl2br w:val="nil"/>
                    <w:tr2bl w:val="nil"/>
                  </w:tcBorders>
                  <w:noWrap w:val="0"/>
                  <w:vAlign w:val="center"/>
                </w:tcPr>
                <w:p w14:paraId="55B27E78">
                  <w:pPr>
                    <w:adjustRightInd w:val="0"/>
                    <w:snapToGrid w:val="0"/>
                    <w:jc w:val="center"/>
                    <w:rPr>
                      <w:rFonts w:ascii="Times New Roman" w:hAnsi="Times New Roman"/>
                      <w:color w:val="auto"/>
                      <w:szCs w:val="21"/>
                    </w:rPr>
                  </w:pPr>
                  <w:r>
                    <w:rPr>
                      <w:rFonts w:ascii="Times New Roman" w:hAnsi="Times New Roman"/>
                      <w:color w:val="auto"/>
                      <w:szCs w:val="21"/>
                    </w:rPr>
                    <w:t>年平均200µg/ m</w:t>
                  </w:r>
                  <w:r>
                    <w:rPr>
                      <w:rFonts w:ascii="Times New Roman" w:hAnsi="Times New Roman"/>
                      <w:color w:val="auto"/>
                      <w:szCs w:val="21"/>
                      <w:vertAlign w:val="superscript"/>
                    </w:rPr>
                    <w:t>3</w:t>
                  </w:r>
                </w:p>
              </w:tc>
            </w:tr>
            <w:tr w14:paraId="2B5CDA8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vMerge w:val="continue"/>
                  <w:tcBorders>
                    <w:tl2br w:val="nil"/>
                    <w:tr2bl w:val="nil"/>
                  </w:tcBorders>
                  <w:noWrap w:val="0"/>
                  <w:vAlign w:val="center"/>
                </w:tcPr>
                <w:p w14:paraId="0A335152">
                  <w:pPr>
                    <w:adjustRightInd w:val="0"/>
                    <w:snapToGrid w:val="0"/>
                    <w:jc w:val="center"/>
                    <w:rPr>
                      <w:rFonts w:ascii="Times New Roman" w:hAnsi="Times New Roman"/>
                      <w:color w:val="auto"/>
                      <w:szCs w:val="21"/>
                    </w:rPr>
                  </w:pPr>
                </w:p>
              </w:tc>
              <w:tc>
                <w:tcPr>
                  <w:tcW w:w="1376" w:type="pct"/>
                  <w:vMerge w:val="continue"/>
                  <w:tcBorders>
                    <w:tl2br w:val="nil"/>
                    <w:tr2bl w:val="nil"/>
                  </w:tcBorders>
                  <w:noWrap w:val="0"/>
                  <w:vAlign w:val="center"/>
                </w:tcPr>
                <w:p w14:paraId="0B6388B3">
                  <w:pPr>
                    <w:adjustRightInd w:val="0"/>
                    <w:snapToGrid w:val="0"/>
                    <w:jc w:val="center"/>
                    <w:rPr>
                      <w:rFonts w:ascii="Times New Roman" w:hAnsi="Times New Roman"/>
                      <w:color w:val="auto"/>
                      <w:szCs w:val="21"/>
                    </w:rPr>
                  </w:pPr>
                </w:p>
              </w:tc>
              <w:tc>
                <w:tcPr>
                  <w:tcW w:w="1675" w:type="pct"/>
                  <w:tcBorders>
                    <w:tl2br w:val="nil"/>
                    <w:tr2bl w:val="nil"/>
                  </w:tcBorders>
                  <w:noWrap w:val="0"/>
                  <w:vAlign w:val="center"/>
                </w:tcPr>
                <w:p w14:paraId="13893C9A">
                  <w:pPr>
                    <w:adjustRightInd w:val="0"/>
                    <w:snapToGrid w:val="0"/>
                    <w:jc w:val="center"/>
                    <w:rPr>
                      <w:rFonts w:ascii="Times New Roman" w:hAnsi="Times New Roman"/>
                      <w:color w:val="auto"/>
                      <w:szCs w:val="21"/>
                    </w:rPr>
                  </w:pPr>
                  <w:r>
                    <w:rPr>
                      <w:rFonts w:ascii="Times New Roman" w:hAnsi="Times New Roman"/>
                      <w:color w:val="auto"/>
                      <w:szCs w:val="21"/>
                    </w:rPr>
                    <w:t>日平均300µg/ m</w:t>
                  </w:r>
                  <w:r>
                    <w:rPr>
                      <w:rFonts w:ascii="Times New Roman" w:hAnsi="Times New Roman"/>
                      <w:color w:val="auto"/>
                      <w:szCs w:val="21"/>
                      <w:vertAlign w:val="superscript"/>
                    </w:rPr>
                    <w:t>3</w:t>
                  </w:r>
                </w:p>
              </w:tc>
            </w:tr>
            <w:tr w14:paraId="7FDCA2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8" w:type="pct"/>
                  <w:vMerge w:val="continue"/>
                  <w:tcBorders>
                    <w:tl2br w:val="nil"/>
                    <w:tr2bl w:val="nil"/>
                  </w:tcBorders>
                  <w:noWrap w:val="0"/>
                  <w:vAlign w:val="center"/>
                </w:tcPr>
                <w:p w14:paraId="09CBD3DF">
                  <w:pPr>
                    <w:adjustRightInd w:val="0"/>
                    <w:snapToGrid w:val="0"/>
                    <w:jc w:val="center"/>
                    <w:rPr>
                      <w:rFonts w:ascii="Times New Roman" w:hAnsi="Times New Roman"/>
                      <w:color w:val="auto"/>
                      <w:szCs w:val="21"/>
                    </w:rPr>
                  </w:pPr>
                </w:p>
              </w:tc>
              <w:tc>
                <w:tcPr>
                  <w:tcW w:w="1376" w:type="pct"/>
                  <w:vMerge w:val="restart"/>
                  <w:tcBorders>
                    <w:tl2br w:val="nil"/>
                    <w:tr2bl w:val="nil"/>
                  </w:tcBorders>
                  <w:noWrap w:val="0"/>
                  <w:vAlign w:val="center"/>
                </w:tcPr>
                <w:p w14:paraId="16060AEB">
                  <w:pPr>
                    <w:tabs>
                      <w:tab w:val="left" w:pos="366"/>
                    </w:tabs>
                    <w:adjustRightInd w:val="0"/>
                    <w:snapToGrid w:val="0"/>
                    <w:jc w:val="center"/>
                    <w:rPr>
                      <w:rFonts w:ascii="Times New Roman" w:hAnsi="Times New Roman"/>
                      <w:color w:val="auto"/>
                      <w:szCs w:val="21"/>
                    </w:rPr>
                  </w:pPr>
                  <w:r>
                    <w:rPr>
                      <w:rFonts w:ascii="Times New Roman" w:hAnsi="Times New Roman"/>
                      <w:color w:val="auto"/>
                      <w:szCs w:val="21"/>
                    </w:rPr>
                    <w:t>可吸入颗粒物PM</w:t>
                  </w:r>
                  <w:r>
                    <w:rPr>
                      <w:rFonts w:ascii="Times New Roman" w:hAnsi="Times New Roman"/>
                      <w:color w:val="auto"/>
                      <w:szCs w:val="21"/>
                      <w:vertAlign w:val="subscript"/>
                    </w:rPr>
                    <w:t>10</w:t>
                  </w:r>
                </w:p>
              </w:tc>
              <w:tc>
                <w:tcPr>
                  <w:tcW w:w="1675" w:type="pct"/>
                  <w:tcBorders>
                    <w:tl2br w:val="nil"/>
                    <w:tr2bl w:val="nil"/>
                  </w:tcBorders>
                  <w:noWrap w:val="0"/>
                  <w:vAlign w:val="center"/>
                </w:tcPr>
                <w:p w14:paraId="4CFDA701">
                  <w:pPr>
                    <w:adjustRightInd w:val="0"/>
                    <w:snapToGrid w:val="0"/>
                    <w:jc w:val="center"/>
                    <w:rPr>
                      <w:rFonts w:ascii="Times New Roman" w:hAnsi="Times New Roman"/>
                      <w:color w:val="auto"/>
                      <w:szCs w:val="21"/>
                    </w:rPr>
                  </w:pPr>
                  <w:r>
                    <w:rPr>
                      <w:rFonts w:ascii="Times New Roman" w:hAnsi="Times New Roman"/>
                      <w:color w:val="auto"/>
                      <w:szCs w:val="21"/>
                    </w:rPr>
                    <w:t>年平均70µg/ m</w:t>
                  </w:r>
                  <w:r>
                    <w:rPr>
                      <w:rFonts w:ascii="Times New Roman" w:hAnsi="Times New Roman"/>
                      <w:color w:val="auto"/>
                      <w:szCs w:val="21"/>
                      <w:vertAlign w:val="superscript"/>
                    </w:rPr>
                    <w:t>3</w:t>
                  </w:r>
                </w:p>
              </w:tc>
            </w:tr>
            <w:tr w14:paraId="450F60A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1948" w:type="pct"/>
                  <w:vMerge w:val="continue"/>
                  <w:tcBorders>
                    <w:tl2br w:val="nil"/>
                    <w:tr2bl w:val="nil"/>
                  </w:tcBorders>
                  <w:noWrap w:val="0"/>
                  <w:vAlign w:val="center"/>
                </w:tcPr>
                <w:p w14:paraId="033672A3">
                  <w:pPr>
                    <w:adjustRightInd w:val="0"/>
                    <w:snapToGrid w:val="0"/>
                    <w:jc w:val="center"/>
                    <w:rPr>
                      <w:rFonts w:ascii="Times New Roman" w:hAnsi="Times New Roman"/>
                      <w:color w:val="auto"/>
                      <w:szCs w:val="21"/>
                    </w:rPr>
                  </w:pPr>
                </w:p>
              </w:tc>
              <w:tc>
                <w:tcPr>
                  <w:tcW w:w="1376" w:type="pct"/>
                  <w:vMerge w:val="continue"/>
                  <w:tcBorders>
                    <w:tl2br w:val="nil"/>
                    <w:tr2bl w:val="nil"/>
                  </w:tcBorders>
                  <w:noWrap w:val="0"/>
                  <w:vAlign w:val="center"/>
                </w:tcPr>
                <w:p w14:paraId="63E7442C">
                  <w:pPr>
                    <w:adjustRightInd w:val="0"/>
                    <w:snapToGrid w:val="0"/>
                    <w:jc w:val="center"/>
                    <w:rPr>
                      <w:rFonts w:ascii="Times New Roman" w:hAnsi="Times New Roman"/>
                      <w:color w:val="auto"/>
                      <w:szCs w:val="21"/>
                    </w:rPr>
                  </w:pPr>
                </w:p>
              </w:tc>
              <w:tc>
                <w:tcPr>
                  <w:tcW w:w="1675" w:type="pct"/>
                  <w:tcBorders>
                    <w:tl2br w:val="nil"/>
                    <w:tr2bl w:val="nil"/>
                  </w:tcBorders>
                  <w:noWrap w:val="0"/>
                  <w:vAlign w:val="center"/>
                </w:tcPr>
                <w:p w14:paraId="307F1744">
                  <w:pPr>
                    <w:adjustRightInd w:val="0"/>
                    <w:snapToGrid w:val="0"/>
                    <w:jc w:val="center"/>
                    <w:rPr>
                      <w:rFonts w:ascii="Times New Roman" w:hAnsi="Times New Roman"/>
                      <w:color w:val="auto"/>
                      <w:szCs w:val="21"/>
                    </w:rPr>
                  </w:pPr>
                  <w:r>
                    <w:rPr>
                      <w:rFonts w:ascii="Times New Roman" w:hAnsi="Times New Roman"/>
                      <w:color w:val="auto"/>
                      <w:szCs w:val="21"/>
                    </w:rPr>
                    <w:t>日平均150µg/ m</w:t>
                  </w:r>
                  <w:r>
                    <w:rPr>
                      <w:rFonts w:ascii="Times New Roman" w:hAnsi="Times New Roman"/>
                      <w:color w:val="auto"/>
                      <w:szCs w:val="21"/>
                      <w:vertAlign w:val="superscript"/>
                    </w:rPr>
                    <w:t>3</w:t>
                  </w:r>
                </w:p>
              </w:tc>
            </w:tr>
          </w:tbl>
          <w:p w14:paraId="57ADD3F3">
            <w:pPr>
              <w:snapToGrid w:val="0"/>
              <w:spacing w:line="360" w:lineRule="auto"/>
              <w:ind w:firstLine="480" w:firstLineChars="200"/>
              <w:rPr>
                <w:rFonts w:ascii="Times New Roman" w:hAnsi="Times New Roman"/>
                <w:color w:val="auto"/>
                <w:sz w:val="24"/>
                <w:szCs w:val="24"/>
                <w:lang w:val="zh-CN"/>
              </w:rPr>
            </w:pPr>
            <w:r>
              <w:rPr>
                <w:rFonts w:ascii="Times New Roman" w:hAnsi="Times New Roman"/>
                <w:color w:val="auto"/>
                <w:sz w:val="24"/>
                <w:szCs w:val="24"/>
                <w:lang w:val="zh-CN"/>
              </w:rPr>
              <w:t>（2）空气质量达标区判断</w:t>
            </w:r>
          </w:p>
          <w:p w14:paraId="03639573">
            <w:pPr>
              <w:spacing w:line="360" w:lineRule="auto"/>
              <w:ind w:firstLine="480" w:firstLineChars="200"/>
              <w:rPr>
                <w:rFonts w:ascii="Times New Roman" w:hAnsi="Times New Roman"/>
                <w:color w:val="auto"/>
                <w:sz w:val="24"/>
                <w:szCs w:val="24"/>
              </w:rPr>
            </w:pPr>
            <w:r>
              <w:rPr>
                <w:rFonts w:hint="eastAsia" w:ascii="宋体" w:hAnsi="宋体" w:cs="宋体"/>
                <w:color w:val="auto"/>
                <w:sz w:val="24"/>
                <w:szCs w:val="24"/>
              </w:rPr>
              <w:t>①</w:t>
            </w:r>
            <w:r>
              <w:rPr>
                <w:rFonts w:ascii="Times New Roman" w:hAnsi="Times New Roman"/>
                <w:color w:val="auto"/>
                <w:sz w:val="24"/>
                <w:szCs w:val="24"/>
              </w:rPr>
              <w:t>区域基本污染物环境质量现状</w:t>
            </w:r>
          </w:p>
          <w:p w14:paraId="5F2E96D2">
            <w:pPr>
              <w:spacing w:line="360" w:lineRule="auto"/>
              <w:ind w:firstLine="480" w:firstLineChars="200"/>
              <w:rPr>
                <w:rFonts w:ascii="Times New Roman" w:hAnsi="Times New Roman"/>
                <w:color w:val="auto"/>
                <w:sz w:val="24"/>
              </w:rPr>
            </w:pPr>
            <w:r>
              <w:rPr>
                <w:rFonts w:ascii="Times New Roman" w:hAnsi="Times New Roman"/>
                <w:color w:val="auto"/>
                <w:sz w:val="24"/>
              </w:rPr>
              <w:t>按《环境影响评价技术导则大气环境》（HJ2.2-2018）要求，城市环境空气质量达标情况评价指标为SO</w:t>
            </w:r>
            <w:r>
              <w:rPr>
                <w:rFonts w:ascii="Times New Roman" w:hAnsi="Times New Roman"/>
                <w:color w:val="auto"/>
                <w:sz w:val="24"/>
                <w:vertAlign w:val="subscript"/>
              </w:rPr>
              <w:t>2</w:t>
            </w:r>
            <w:r>
              <w:rPr>
                <w:rFonts w:ascii="Times New Roman" w:hAnsi="Times New Roman"/>
                <w:color w:val="auto"/>
                <w:sz w:val="24"/>
              </w:rPr>
              <w:t>、NO</w:t>
            </w:r>
            <w:r>
              <w:rPr>
                <w:rFonts w:ascii="Times New Roman" w:hAnsi="Times New Roman"/>
                <w:color w:val="auto"/>
                <w:sz w:val="24"/>
                <w:vertAlign w:val="subscript"/>
              </w:rPr>
              <w:t>2</w:t>
            </w:r>
            <w:r>
              <w:rPr>
                <w:rFonts w:ascii="Times New Roman" w:hAnsi="Times New Roman"/>
                <w:color w:val="auto"/>
                <w:sz w:val="24"/>
              </w:rPr>
              <w:t>、PM</w:t>
            </w:r>
            <w:r>
              <w:rPr>
                <w:rFonts w:ascii="Times New Roman" w:hAnsi="Times New Roman"/>
                <w:color w:val="auto"/>
                <w:sz w:val="24"/>
                <w:vertAlign w:val="subscript"/>
              </w:rPr>
              <w:t>10</w:t>
            </w:r>
            <w:r>
              <w:rPr>
                <w:rFonts w:ascii="Times New Roman" w:hAnsi="Times New Roman"/>
                <w:color w:val="auto"/>
                <w:sz w:val="24"/>
              </w:rPr>
              <w:t>、PM</w:t>
            </w:r>
            <w:r>
              <w:rPr>
                <w:rFonts w:ascii="Times New Roman" w:hAnsi="Times New Roman"/>
                <w:color w:val="auto"/>
                <w:sz w:val="24"/>
                <w:vertAlign w:val="subscript"/>
              </w:rPr>
              <w:t>2.5</w:t>
            </w:r>
            <w:r>
              <w:rPr>
                <w:rFonts w:ascii="Times New Roman" w:hAnsi="Times New Roman"/>
                <w:color w:val="auto"/>
                <w:sz w:val="24"/>
              </w:rPr>
              <w:t>、CO 和O</w:t>
            </w:r>
            <w:r>
              <w:rPr>
                <w:rFonts w:ascii="Times New Roman" w:hAnsi="Times New Roman"/>
                <w:color w:val="auto"/>
                <w:sz w:val="24"/>
                <w:vertAlign w:val="subscript"/>
              </w:rPr>
              <w:t>3</w:t>
            </w:r>
            <w:r>
              <w:rPr>
                <w:rFonts w:ascii="Times New Roman" w:hAnsi="Times New Roman"/>
                <w:color w:val="auto"/>
                <w:sz w:val="24"/>
              </w:rPr>
              <w:t>，六项污染物全部达标即为城市环境空气质量达标。项目所在区域达标判定，优先采用国家或地方生态环境主管部门公开公布的评价基准年环境质量公告或环境质量报告中的数据或结论。</w:t>
            </w:r>
          </w:p>
          <w:p w14:paraId="70CEEE22">
            <w:pPr>
              <w:spacing w:line="360" w:lineRule="auto"/>
              <w:ind w:firstLine="480" w:firstLineChars="200"/>
              <w:rPr>
                <w:rFonts w:ascii="Times New Roman" w:hAnsi="Times New Roman"/>
                <w:color w:val="auto"/>
                <w:sz w:val="24"/>
              </w:rPr>
            </w:pPr>
            <w:r>
              <w:rPr>
                <w:rFonts w:ascii="Times New Roman" w:hAnsi="Times New Roman"/>
                <w:color w:val="auto"/>
                <w:sz w:val="24"/>
              </w:rPr>
              <w:t>项目位于</w:t>
            </w:r>
            <w:r>
              <w:rPr>
                <w:rFonts w:hint="eastAsia"/>
                <w:color w:val="auto"/>
                <w:sz w:val="24"/>
                <w:lang w:eastAsia="zh-CN"/>
              </w:rPr>
              <w:t>福建省福鼎市前岐镇照澜村罗六36号</w:t>
            </w:r>
            <w:r>
              <w:rPr>
                <w:rFonts w:ascii="Times New Roman" w:hAnsi="Times New Roman"/>
                <w:color w:val="auto"/>
                <w:sz w:val="24"/>
              </w:rPr>
              <w:t>，项目所在区域环境空气质量功能区为二类区，本次评价基准年选择为202</w:t>
            </w:r>
            <w:r>
              <w:rPr>
                <w:rFonts w:hint="eastAsia" w:ascii="Times New Roman" w:hAnsi="Times New Roman"/>
                <w:color w:val="auto"/>
                <w:sz w:val="24"/>
                <w:lang w:val="en-US" w:eastAsia="zh-CN"/>
              </w:rPr>
              <w:t>3</w:t>
            </w:r>
            <w:r>
              <w:rPr>
                <w:rFonts w:ascii="Times New Roman" w:hAnsi="Times New Roman"/>
                <w:color w:val="auto"/>
                <w:sz w:val="24"/>
              </w:rPr>
              <w:t>年。</w:t>
            </w:r>
          </w:p>
          <w:p w14:paraId="0D3CC43A">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auto"/>
                <w:kern w:val="21"/>
                <w:sz w:val="24"/>
              </w:rPr>
            </w:pPr>
            <w:r>
              <w:rPr>
                <w:rFonts w:hint="default"/>
                <w:color w:val="auto"/>
                <w:kern w:val="21"/>
                <w:sz w:val="24"/>
              </w:rPr>
              <w:t>根据宁德市生态环境局公布的《宁德市环境质量</w:t>
            </w:r>
            <w:r>
              <w:rPr>
                <w:rFonts w:hint="eastAsia"/>
                <w:color w:val="auto"/>
                <w:kern w:val="21"/>
                <w:sz w:val="24"/>
              </w:rPr>
              <w:t>概要</w:t>
            </w:r>
            <w:r>
              <w:rPr>
                <w:rFonts w:hint="default"/>
                <w:color w:val="auto"/>
                <w:kern w:val="21"/>
                <w:sz w:val="24"/>
              </w:rPr>
              <w:t>2023年度》，</w:t>
            </w:r>
            <w:r>
              <w:rPr>
                <w:rFonts w:hint="eastAsia"/>
                <w:color w:val="auto"/>
                <w:kern w:val="21"/>
                <w:sz w:val="24"/>
              </w:rPr>
              <w:t>福鼎市环境空气主要污染物平均浓度见表</w:t>
            </w:r>
            <w:r>
              <w:rPr>
                <w:rFonts w:hint="eastAsia"/>
                <w:color w:val="auto"/>
                <w:kern w:val="21"/>
                <w:sz w:val="24"/>
                <w:lang w:val="en-US" w:eastAsia="zh-CN"/>
              </w:rPr>
              <w:t>3.1-3</w:t>
            </w:r>
            <w:r>
              <w:rPr>
                <w:rFonts w:hint="eastAsia"/>
                <w:color w:val="auto"/>
                <w:kern w:val="21"/>
                <w:sz w:val="24"/>
              </w:rPr>
              <w:t>。SO</w:t>
            </w:r>
            <w:r>
              <w:rPr>
                <w:rFonts w:hint="eastAsia"/>
                <w:color w:val="auto"/>
                <w:kern w:val="21"/>
                <w:sz w:val="24"/>
                <w:vertAlign w:val="subscript"/>
              </w:rPr>
              <w:t xml:space="preserve">2 </w:t>
            </w:r>
            <w:r>
              <w:rPr>
                <w:rFonts w:hint="eastAsia"/>
                <w:color w:val="auto"/>
                <w:kern w:val="21"/>
                <w:sz w:val="24"/>
              </w:rPr>
              <w:t>、NO</w:t>
            </w:r>
            <w:r>
              <w:rPr>
                <w:rFonts w:hint="eastAsia"/>
                <w:color w:val="auto"/>
                <w:kern w:val="21"/>
                <w:sz w:val="24"/>
                <w:vertAlign w:val="subscript"/>
              </w:rPr>
              <w:t>2</w:t>
            </w:r>
            <w:r>
              <w:rPr>
                <w:rFonts w:hint="eastAsia"/>
                <w:color w:val="auto"/>
                <w:kern w:val="21"/>
                <w:sz w:val="24"/>
              </w:rPr>
              <w:t xml:space="preserve"> 、PM</w:t>
            </w:r>
            <w:r>
              <w:rPr>
                <w:rFonts w:hint="eastAsia"/>
                <w:color w:val="auto"/>
                <w:kern w:val="21"/>
                <w:sz w:val="24"/>
                <w:vertAlign w:val="subscript"/>
              </w:rPr>
              <w:t>10</w:t>
            </w:r>
            <w:r>
              <w:rPr>
                <w:rFonts w:hint="eastAsia"/>
                <w:color w:val="auto"/>
                <w:kern w:val="21"/>
                <w:sz w:val="24"/>
              </w:rPr>
              <w:t xml:space="preserve"> 、PM</w:t>
            </w:r>
            <w:r>
              <w:rPr>
                <w:rFonts w:hint="eastAsia"/>
                <w:color w:val="auto"/>
                <w:kern w:val="21"/>
                <w:sz w:val="24"/>
                <w:vertAlign w:val="subscript"/>
              </w:rPr>
              <w:t>2.5</w:t>
            </w:r>
            <w:r>
              <w:rPr>
                <w:rFonts w:hint="eastAsia"/>
                <w:color w:val="auto"/>
                <w:kern w:val="21"/>
                <w:sz w:val="24"/>
              </w:rPr>
              <w:t xml:space="preserve"> 、CO、O</w:t>
            </w:r>
            <w:r>
              <w:rPr>
                <w:rFonts w:hint="eastAsia"/>
                <w:color w:val="auto"/>
                <w:kern w:val="21"/>
                <w:sz w:val="24"/>
                <w:vertAlign w:val="subscript"/>
              </w:rPr>
              <w:t xml:space="preserve">3 </w:t>
            </w:r>
            <w:r>
              <w:rPr>
                <w:rFonts w:hint="eastAsia"/>
                <w:color w:val="auto"/>
                <w:kern w:val="21"/>
                <w:sz w:val="24"/>
              </w:rPr>
              <w:t>六项污染物均符合《环境空气质量标准》（GB3095-2012）及修改单中的二级标准，故该区域环境空气质量达标，属于达标区。</w:t>
            </w:r>
          </w:p>
          <w:p w14:paraId="210ADF8D">
            <w:pPr>
              <w:numPr>
                <w:ilvl w:val="0"/>
                <w:numId w:val="8"/>
              </w:numPr>
              <w:spacing w:before="120" w:beforeLines="50"/>
              <w:jc w:val="center"/>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2023年主要污染物平均浓度</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autofit"/>
              <w:tblCellMar>
                <w:top w:w="0" w:type="dxa"/>
                <w:left w:w="108" w:type="dxa"/>
                <w:bottom w:w="0" w:type="dxa"/>
                <w:right w:w="108" w:type="dxa"/>
              </w:tblCellMar>
            </w:tblPr>
            <w:tblGrid>
              <w:gridCol w:w="978"/>
              <w:gridCol w:w="1217"/>
              <w:gridCol w:w="1217"/>
              <w:gridCol w:w="1696"/>
              <w:gridCol w:w="1217"/>
              <w:gridCol w:w="1217"/>
              <w:gridCol w:w="737"/>
            </w:tblGrid>
            <w:tr w14:paraId="1D5B636D">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69" w:hRule="atLeast"/>
                <w:jc w:val="center"/>
              </w:trPr>
              <w:tc>
                <w:tcPr>
                  <w:tcW w:w="591" w:type="pct"/>
                  <w:noWrap w:val="0"/>
                  <w:vAlign w:val="center"/>
                </w:tcPr>
                <w:p w14:paraId="793F9BDD">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城市</w:t>
                  </w:r>
                </w:p>
              </w:tc>
              <w:tc>
                <w:tcPr>
                  <w:tcW w:w="735" w:type="pct"/>
                  <w:noWrap w:val="0"/>
                  <w:vAlign w:val="center"/>
                </w:tcPr>
                <w:p w14:paraId="3C68255C">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二氧化硫</w:t>
                  </w:r>
                </w:p>
              </w:tc>
              <w:tc>
                <w:tcPr>
                  <w:tcW w:w="735" w:type="pct"/>
                  <w:noWrap w:val="0"/>
                  <w:vAlign w:val="center"/>
                </w:tcPr>
                <w:p w14:paraId="36191A5D">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二氧化氮</w:t>
                  </w:r>
                </w:p>
              </w:tc>
              <w:tc>
                <w:tcPr>
                  <w:tcW w:w="1024" w:type="pct"/>
                  <w:noWrap w:val="0"/>
                  <w:vAlign w:val="center"/>
                </w:tcPr>
                <w:p w14:paraId="75947921">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可吸入颗粒物</w:t>
                  </w:r>
                </w:p>
              </w:tc>
              <w:tc>
                <w:tcPr>
                  <w:tcW w:w="735" w:type="pct"/>
                  <w:noWrap w:val="0"/>
                  <w:vAlign w:val="center"/>
                </w:tcPr>
                <w:p w14:paraId="6E9F6198">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细颗粒物</w:t>
                  </w:r>
                </w:p>
              </w:tc>
              <w:tc>
                <w:tcPr>
                  <w:tcW w:w="735" w:type="pct"/>
                  <w:noWrap w:val="0"/>
                  <w:vAlign w:val="center"/>
                </w:tcPr>
                <w:p w14:paraId="4EAC752C">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一氧化碳</w:t>
                  </w:r>
                </w:p>
              </w:tc>
              <w:tc>
                <w:tcPr>
                  <w:tcW w:w="446" w:type="pct"/>
                  <w:noWrap w:val="0"/>
                  <w:vAlign w:val="center"/>
                </w:tcPr>
                <w:p w14:paraId="3F79870E">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臭氧</w:t>
                  </w:r>
                </w:p>
              </w:tc>
            </w:tr>
            <w:tr w14:paraId="38F5DCD0">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78" w:hRule="atLeast"/>
                <w:jc w:val="center"/>
              </w:trPr>
              <w:tc>
                <w:tcPr>
                  <w:tcW w:w="591" w:type="pct"/>
                  <w:noWrap w:val="0"/>
                  <w:vAlign w:val="center"/>
                </w:tcPr>
                <w:p w14:paraId="0BFD2B76">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福鼎市</w:t>
                  </w:r>
                </w:p>
              </w:tc>
              <w:tc>
                <w:tcPr>
                  <w:tcW w:w="735" w:type="pct"/>
                  <w:noWrap w:val="0"/>
                  <w:vAlign w:val="center"/>
                </w:tcPr>
                <w:p w14:paraId="616117CD">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735" w:type="pct"/>
                  <w:noWrap w:val="0"/>
                  <w:vAlign w:val="center"/>
                </w:tcPr>
                <w:p w14:paraId="627E9AE4">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1024" w:type="pct"/>
                  <w:noWrap w:val="0"/>
                  <w:vAlign w:val="center"/>
                </w:tcPr>
                <w:p w14:paraId="45DC247D">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36</w:t>
                  </w:r>
                </w:p>
              </w:tc>
              <w:tc>
                <w:tcPr>
                  <w:tcW w:w="735" w:type="pct"/>
                  <w:noWrap w:val="0"/>
                  <w:vAlign w:val="center"/>
                </w:tcPr>
                <w:p w14:paraId="71BFF133">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735" w:type="pct"/>
                  <w:noWrap w:val="0"/>
                  <w:vAlign w:val="center"/>
                </w:tcPr>
                <w:p w14:paraId="0EC56B62">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0.9</w:t>
                  </w:r>
                </w:p>
              </w:tc>
              <w:tc>
                <w:tcPr>
                  <w:tcW w:w="446" w:type="pct"/>
                  <w:noWrap w:val="0"/>
                  <w:vAlign w:val="center"/>
                </w:tcPr>
                <w:p w14:paraId="7DA61B30">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91</w:t>
                  </w:r>
                </w:p>
              </w:tc>
            </w:tr>
          </w:tbl>
          <w:p w14:paraId="3C5337EB">
            <w:pPr>
              <w:keepNext w:val="0"/>
              <w:keepLines/>
              <w:pageBreakBefore w:val="0"/>
              <w:widowControl w:val="0"/>
              <w:suppressLineNumbers w:val="0"/>
              <w:kinsoku/>
              <w:wordWrap/>
              <w:overflowPunct/>
              <w:topLinePunct w:val="0"/>
              <w:autoSpaceDE/>
              <w:autoSpaceDN/>
              <w:bidi w:val="0"/>
              <w:spacing w:before="0" w:beforeAutospacing="0" w:after="0" w:afterAutospacing="0"/>
              <w:ind w:left="0" w:right="0"/>
              <w:textAlignment w:val="auto"/>
              <w:rPr>
                <w:rFonts w:hint="default"/>
                <w:color w:val="auto"/>
                <w:sz w:val="21"/>
                <w:szCs w:val="21"/>
              </w:rPr>
            </w:pPr>
            <w:r>
              <w:rPr>
                <w:rFonts w:hint="default"/>
                <w:color w:val="auto"/>
                <w:sz w:val="21"/>
                <w:szCs w:val="21"/>
              </w:rPr>
              <w:t>备注</w:t>
            </w:r>
            <w:r>
              <w:rPr>
                <w:rFonts w:hint="eastAsia"/>
                <w:bCs/>
                <w:color w:val="auto"/>
                <w:sz w:val="21"/>
                <w:szCs w:val="21"/>
                <w:lang w:eastAsia="zh-CN"/>
              </w:rPr>
              <w:t>：</w:t>
            </w:r>
            <w:r>
              <w:rPr>
                <w:rFonts w:hint="default"/>
                <w:bCs/>
                <w:color w:val="auto"/>
                <w:sz w:val="21"/>
                <w:szCs w:val="21"/>
              </w:rPr>
              <w:t>SO</w:t>
            </w:r>
            <w:r>
              <w:rPr>
                <w:rFonts w:hint="default"/>
                <w:bCs/>
                <w:color w:val="auto"/>
                <w:sz w:val="21"/>
                <w:szCs w:val="21"/>
                <w:vertAlign w:val="subscript"/>
              </w:rPr>
              <w:t>2</w:t>
            </w:r>
            <w:r>
              <w:rPr>
                <w:rFonts w:hint="default"/>
                <w:color w:val="auto"/>
                <w:sz w:val="21"/>
                <w:szCs w:val="21"/>
              </w:rPr>
              <w:t>、</w:t>
            </w:r>
            <w:r>
              <w:rPr>
                <w:rFonts w:hint="default"/>
                <w:bCs/>
                <w:color w:val="auto"/>
                <w:sz w:val="21"/>
                <w:szCs w:val="21"/>
              </w:rPr>
              <w:t>NO</w:t>
            </w:r>
            <w:r>
              <w:rPr>
                <w:rFonts w:hint="default"/>
                <w:bCs/>
                <w:color w:val="auto"/>
                <w:sz w:val="21"/>
                <w:szCs w:val="21"/>
                <w:vertAlign w:val="subscript"/>
              </w:rPr>
              <w:t>2</w:t>
            </w:r>
            <w:r>
              <w:rPr>
                <w:rFonts w:hint="default"/>
                <w:color w:val="auto"/>
                <w:sz w:val="21"/>
                <w:szCs w:val="21"/>
              </w:rPr>
              <w:t>、</w:t>
            </w:r>
            <w:r>
              <w:rPr>
                <w:rFonts w:hint="default"/>
                <w:bCs/>
                <w:color w:val="auto"/>
                <w:sz w:val="21"/>
                <w:szCs w:val="21"/>
              </w:rPr>
              <w:t>PM</w:t>
            </w:r>
            <w:r>
              <w:rPr>
                <w:rFonts w:hint="default"/>
                <w:bCs/>
                <w:color w:val="auto"/>
                <w:sz w:val="21"/>
                <w:szCs w:val="21"/>
                <w:vertAlign w:val="subscript"/>
              </w:rPr>
              <w:t>10</w:t>
            </w:r>
            <w:r>
              <w:rPr>
                <w:rFonts w:hint="default"/>
                <w:color w:val="auto"/>
                <w:sz w:val="21"/>
                <w:szCs w:val="21"/>
              </w:rPr>
              <w:t>和</w:t>
            </w:r>
            <w:r>
              <w:rPr>
                <w:rFonts w:hint="default"/>
                <w:bCs/>
                <w:color w:val="auto"/>
                <w:sz w:val="21"/>
                <w:szCs w:val="21"/>
              </w:rPr>
              <w:t>PM</w:t>
            </w:r>
            <w:r>
              <w:rPr>
                <w:rFonts w:hint="default"/>
                <w:bCs/>
                <w:color w:val="auto"/>
                <w:sz w:val="21"/>
                <w:szCs w:val="21"/>
                <w:vertAlign w:val="subscript"/>
              </w:rPr>
              <w:t>2.5</w:t>
            </w:r>
            <w:r>
              <w:rPr>
                <w:rFonts w:hint="default"/>
                <w:color w:val="auto"/>
                <w:sz w:val="21"/>
                <w:szCs w:val="21"/>
              </w:rPr>
              <w:t>为平均浓度，</w:t>
            </w:r>
            <w:r>
              <w:rPr>
                <w:rFonts w:hint="default"/>
                <w:bCs/>
                <w:color w:val="auto"/>
                <w:sz w:val="21"/>
                <w:szCs w:val="21"/>
              </w:rPr>
              <w:t>CO</w:t>
            </w:r>
            <w:r>
              <w:rPr>
                <w:rFonts w:hint="default"/>
                <w:color w:val="auto"/>
                <w:sz w:val="21"/>
                <w:szCs w:val="21"/>
              </w:rPr>
              <w:t>为日均值第</w:t>
            </w:r>
            <w:r>
              <w:rPr>
                <w:rFonts w:hint="default"/>
                <w:bCs/>
                <w:color w:val="auto"/>
                <w:sz w:val="21"/>
                <w:szCs w:val="21"/>
              </w:rPr>
              <w:t>95</w:t>
            </w:r>
            <w:r>
              <w:rPr>
                <w:rFonts w:hint="default"/>
                <w:color w:val="auto"/>
                <w:sz w:val="21"/>
                <w:szCs w:val="21"/>
              </w:rPr>
              <w:t>百分位数，</w:t>
            </w:r>
            <w:r>
              <w:rPr>
                <w:rFonts w:hint="default"/>
                <w:bCs/>
                <w:color w:val="auto"/>
                <w:sz w:val="21"/>
                <w:szCs w:val="21"/>
              </w:rPr>
              <w:t>O</w:t>
            </w:r>
            <w:r>
              <w:rPr>
                <w:rFonts w:hint="default"/>
                <w:bCs/>
                <w:color w:val="auto"/>
                <w:sz w:val="21"/>
                <w:szCs w:val="21"/>
                <w:vertAlign w:val="subscript"/>
              </w:rPr>
              <w:t>3</w:t>
            </w:r>
            <w:r>
              <w:rPr>
                <w:rFonts w:hint="default"/>
                <w:color w:val="auto"/>
                <w:sz w:val="21"/>
                <w:szCs w:val="21"/>
              </w:rPr>
              <w:t>为日最大</w:t>
            </w:r>
            <w:r>
              <w:rPr>
                <w:rFonts w:hint="default"/>
                <w:bCs/>
                <w:color w:val="auto"/>
                <w:sz w:val="21"/>
                <w:szCs w:val="21"/>
              </w:rPr>
              <w:t>8</w:t>
            </w:r>
            <w:r>
              <w:rPr>
                <w:rFonts w:hint="default"/>
                <w:color w:val="auto"/>
                <w:sz w:val="21"/>
                <w:szCs w:val="21"/>
              </w:rPr>
              <w:t>小时值第</w:t>
            </w:r>
            <w:r>
              <w:rPr>
                <w:rFonts w:hint="default"/>
                <w:bCs/>
                <w:color w:val="auto"/>
                <w:sz w:val="21"/>
                <w:szCs w:val="21"/>
              </w:rPr>
              <w:t>90</w:t>
            </w:r>
            <w:r>
              <w:rPr>
                <w:rFonts w:hint="default"/>
                <w:color w:val="auto"/>
                <w:sz w:val="21"/>
                <w:szCs w:val="21"/>
              </w:rPr>
              <w:t>百分位数，CO浓度单位为mg/m</w:t>
            </w:r>
            <w:r>
              <w:rPr>
                <w:rFonts w:hint="default"/>
                <w:color w:val="auto"/>
                <w:sz w:val="21"/>
                <w:szCs w:val="21"/>
                <w:vertAlign w:val="superscript"/>
              </w:rPr>
              <w:t>3</w:t>
            </w:r>
            <w:r>
              <w:rPr>
                <w:rFonts w:hint="default"/>
                <w:color w:val="auto"/>
                <w:sz w:val="21"/>
                <w:szCs w:val="21"/>
              </w:rPr>
              <w:t>，其他浓度单位均为μg/m</w:t>
            </w:r>
            <w:r>
              <w:rPr>
                <w:rFonts w:hint="default"/>
                <w:color w:val="auto"/>
                <w:sz w:val="21"/>
                <w:szCs w:val="21"/>
                <w:vertAlign w:val="superscript"/>
              </w:rPr>
              <w:t>3</w:t>
            </w:r>
            <w:r>
              <w:rPr>
                <w:rFonts w:hint="default"/>
                <w:color w:val="auto"/>
                <w:sz w:val="21"/>
                <w:szCs w:val="21"/>
              </w:rPr>
              <w:t>。</w:t>
            </w:r>
          </w:p>
          <w:p w14:paraId="37E69637">
            <w:pPr>
              <w:spacing w:line="360" w:lineRule="auto"/>
              <w:ind w:firstLine="480" w:firstLineChars="200"/>
              <w:rPr>
                <w:rFonts w:ascii="Times New Roman" w:hAnsi="Times New Roman"/>
                <w:color w:val="auto"/>
                <w:sz w:val="24"/>
                <w:szCs w:val="24"/>
                <w:highlight w:val="none"/>
              </w:rPr>
            </w:pPr>
            <w:r>
              <w:rPr>
                <w:rFonts w:hint="eastAsia" w:ascii="宋体" w:hAnsi="宋体" w:cs="宋体"/>
                <w:color w:val="auto"/>
                <w:sz w:val="24"/>
                <w:szCs w:val="24"/>
                <w:highlight w:val="none"/>
              </w:rPr>
              <w:t>②</w:t>
            </w:r>
            <w:r>
              <w:rPr>
                <w:rFonts w:ascii="Times New Roman" w:hAnsi="Times New Roman"/>
                <w:color w:val="auto"/>
                <w:sz w:val="24"/>
                <w:szCs w:val="24"/>
                <w:highlight w:val="none"/>
              </w:rPr>
              <w:t>区域特征污染物现状调查</w:t>
            </w:r>
          </w:p>
          <w:p w14:paraId="67129492">
            <w:pPr>
              <w:spacing w:line="360" w:lineRule="auto"/>
              <w:ind w:firstLine="480" w:firstLineChars="200"/>
              <w:rPr>
                <w:color w:val="auto"/>
                <w:sz w:val="24"/>
                <w:highlight w:val="none"/>
              </w:rPr>
            </w:pPr>
            <w:r>
              <w:rPr>
                <w:rFonts w:ascii="Times New Roman" w:hAnsi="Times New Roman"/>
                <w:color w:val="auto"/>
                <w:sz w:val="24"/>
                <w:szCs w:val="24"/>
                <w:highlight w:val="none"/>
              </w:rPr>
              <w:t>为了解项目所在区域环境空气质量状况，</w:t>
            </w:r>
            <w:r>
              <w:rPr>
                <w:rFonts w:hint="eastAsia"/>
                <w:color w:val="auto"/>
                <w:sz w:val="24"/>
                <w:szCs w:val="24"/>
                <w:highlight w:val="none"/>
                <w:lang w:val="en-US" w:eastAsia="zh-CN"/>
              </w:rPr>
              <w:t>委托福建丰创检测技术有限公司</w:t>
            </w:r>
            <w:r>
              <w:rPr>
                <w:rFonts w:hint="eastAsia" w:ascii="Times New Roman" w:hAnsi="Times New Roman"/>
                <w:color w:val="auto"/>
                <w:sz w:val="24"/>
                <w:szCs w:val="24"/>
                <w:highlight w:val="none"/>
                <w:lang w:val="en-US" w:eastAsia="zh-CN"/>
              </w:rPr>
              <w:t>于202</w:t>
            </w:r>
            <w:r>
              <w:rPr>
                <w:rFonts w:hint="eastAsia"/>
                <w:color w:val="auto"/>
                <w:sz w:val="24"/>
                <w:szCs w:val="24"/>
                <w:highlight w:val="none"/>
                <w:lang w:val="en-US" w:eastAsia="zh-CN"/>
              </w:rPr>
              <w:t>5</w:t>
            </w:r>
            <w:r>
              <w:rPr>
                <w:rFonts w:hint="eastAsia" w:ascii="Times New Roman" w:hAnsi="Times New Roman"/>
                <w:color w:val="auto"/>
                <w:sz w:val="24"/>
                <w:szCs w:val="24"/>
                <w:highlight w:val="none"/>
                <w:lang w:val="en-US" w:eastAsia="zh-CN"/>
              </w:rPr>
              <w:t>年6月</w:t>
            </w:r>
            <w:r>
              <w:rPr>
                <w:rFonts w:hint="eastAsia"/>
                <w:color w:val="auto"/>
                <w:sz w:val="24"/>
                <w:szCs w:val="24"/>
                <w:highlight w:val="none"/>
                <w:lang w:val="en-US" w:eastAsia="zh-CN"/>
              </w:rPr>
              <w:t>20</w:t>
            </w:r>
            <w:r>
              <w:rPr>
                <w:rFonts w:hint="eastAsia" w:ascii="Times New Roman" w:hAnsi="Times New Roman"/>
                <w:color w:val="auto"/>
                <w:sz w:val="24"/>
                <w:szCs w:val="24"/>
                <w:highlight w:val="none"/>
                <w:lang w:val="en-US" w:eastAsia="zh-CN"/>
              </w:rPr>
              <w:t>日～</w:t>
            </w:r>
            <w:r>
              <w:rPr>
                <w:rFonts w:hint="eastAsia"/>
                <w:color w:val="auto"/>
                <w:sz w:val="24"/>
                <w:szCs w:val="24"/>
                <w:highlight w:val="none"/>
                <w:lang w:val="en-US" w:eastAsia="zh-CN"/>
              </w:rPr>
              <w:t>22</w:t>
            </w:r>
            <w:r>
              <w:rPr>
                <w:rFonts w:hint="eastAsia" w:ascii="Times New Roman" w:hAnsi="Times New Roman"/>
                <w:color w:val="auto"/>
                <w:sz w:val="24"/>
                <w:szCs w:val="24"/>
                <w:highlight w:val="none"/>
                <w:lang w:val="en-US" w:eastAsia="zh-CN"/>
              </w:rPr>
              <w:t>日</w:t>
            </w:r>
            <w:r>
              <w:rPr>
                <w:rFonts w:hint="eastAsia"/>
                <w:color w:val="auto"/>
                <w:sz w:val="24"/>
                <w:szCs w:val="24"/>
                <w:highlight w:val="none"/>
                <w:lang w:val="en-US" w:eastAsia="zh-CN"/>
              </w:rPr>
              <w:t>对厂区东南侧民居进行</w:t>
            </w:r>
            <w:r>
              <w:rPr>
                <w:color w:val="auto"/>
                <w:sz w:val="24"/>
                <w:highlight w:val="none"/>
              </w:rPr>
              <w:t>区域环境空气质量现状监测数据。具体现状监测调查情况如下：</w:t>
            </w:r>
          </w:p>
          <w:p w14:paraId="2D2C03F2">
            <w:pPr>
              <w:spacing w:line="360" w:lineRule="auto"/>
              <w:ind w:firstLine="480" w:firstLineChars="200"/>
              <w:rPr>
                <w:color w:val="auto"/>
                <w:sz w:val="24"/>
                <w:highlight w:val="none"/>
              </w:rPr>
            </w:pPr>
            <w:r>
              <w:rPr>
                <w:rFonts w:hint="eastAsia"/>
                <w:color w:val="auto"/>
                <w:sz w:val="24"/>
                <w:highlight w:val="none"/>
              </w:rPr>
              <w:t>A</w:t>
            </w:r>
            <w:r>
              <w:rPr>
                <w:color w:val="auto"/>
                <w:sz w:val="24"/>
                <w:highlight w:val="none"/>
              </w:rPr>
              <w:t>监测点位：</w:t>
            </w:r>
            <w:r>
              <w:rPr>
                <w:rFonts w:hint="eastAsia"/>
                <w:color w:val="auto"/>
                <w:sz w:val="24"/>
                <w:highlight w:val="none"/>
                <w:lang w:val="en-US" w:eastAsia="zh-CN"/>
              </w:rPr>
              <w:t>G1厂界下风向</w:t>
            </w:r>
            <w:r>
              <w:rPr>
                <w:color w:val="auto"/>
                <w:sz w:val="24"/>
                <w:highlight w:val="none"/>
              </w:rPr>
              <w:t>。具体位置见</w:t>
            </w:r>
            <w:r>
              <w:rPr>
                <w:rFonts w:hint="eastAsia"/>
                <w:color w:val="auto"/>
                <w:sz w:val="24"/>
                <w:highlight w:val="none"/>
                <w:lang w:val="en-US" w:eastAsia="zh-CN"/>
              </w:rPr>
              <w:t>下表</w:t>
            </w:r>
            <w:r>
              <w:rPr>
                <w:color w:val="auto"/>
                <w:sz w:val="24"/>
                <w:highlight w:val="none"/>
              </w:rPr>
              <w:t>，监测点位见</w:t>
            </w:r>
            <w:r>
              <w:rPr>
                <w:rFonts w:hint="eastAsia"/>
                <w:color w:val="auto"/>
                <w:sz w:val="24"/>
                <w:highlight w:val="none"/>
              </w:rPr>
              <w:t>附</w:t>
            </w:r>
            <w:r>
              <w:rPr>
                <w:rFonts w:hint="eastAsia"/>
                <w:color w:val="auto"/>
                <w:sz w:val="24"/>
                <w:highlight w:val="none"/>
                <w:lang w:val="en-US" w:eastAsia="zh-CN"/>
              </w:rPr>
              <w:t>件9</w:t>
            </w:r>
            <w:r>
              <w:rPr>
                <w:color w:val="auto"/>
                <w:sz w:val="24"/>
                <w:highlight w:val="none"/>
              </w:rPr>
              <w:t>。</w:t>
            </w:r>
          </w:p>
          <w:p w14:paraId="678FA244">
            <w:pPr>
              <w:numPr>
                <w:ilvl w:val="0"/>
                <w:numId w:val="8"/>
              </w:numPr>
              <w:spacing w:before="120" w:beforeLines="50"/>
              <w:jc w:val="center"/>
              <w:rPr>
                <w:rFonts w:ascii="Times New Roman" w:hAnsi="Times New Roman"/>
                <w:b/>
                <w:color w:val="auto"/>
                <w:sz w:val="24"/>
                <w:szCs w:val="24"/>
                <w:highlight w:val="none"/>
              </w:rPr>
            </w:pPr>
            <w:bookmarkStart w:id="12" w:name="_Ref136870252"/>
            <w:r>
              <w:rPr>
                <w:rFonts w:ascii="Times New Roman" w:hAnsi="Times New Roman"/>
                <w:b/>
                <w:color w:val="auto"/>
                <w:sz w:val="24"/>
                <w:szCs w:val="24"/>
                <w:highlight w:val="none"/>
              </w:rPr>
              <w:t>大气环境现状监测点位及监测时间一览表</w:t>
            </w:r>
            <w:bookmarkEnd w:id="12"/>
          </w:p>
          <w:tbl>
            <w:tblPr>
              <w:tblStyle w:val="29"/>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82"/>
              <w:gridCol w:w="1554"/>
              <w:gridCol w:w="1546"/>
              <w:gridCol w:w="2006"/>
              <w:gridCol w:w="2291"/>
            </w:tblGrid>
            <w:tr w14:paraId="76DF92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84" w:type="dxa"/>
                  <w:tcBorders>
                    <w:tl2br w:val="nil"/>
                    <w:tr2bl w:val="nil"/>
                  </w:tcBorders>
                  <w:noWrap w:val="0"/>
                  <w:vAlign w:val="center"/>
                </w:tcPr>
                <w:p w14:paraId="4ADF3C15">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编号</w:t>
                  </w:r>
                </w:p>
              </w:tc>
              <w:tc>
                <w:tcPr>
                  <w:tcW w:w="1560" w:type="dxa"/>
                  <w:tcBorders>
                    <w:tl2br w:val="nil"/>
                    <w:tr2bl w:val="nil"/>
                  </w:tcBorders>
                  <w:noWrap w:val="0"/>
                  <w:vAlign w:val="center"/>
                </w:tcPr>
                <w:p w14:paraId="7E3BDF0C">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监测点位</w:t>
                  </w:r>
                </w:p>
              </w:tc>
              <w:tc>
                <w:tcPr>
                  <w:tcW w:w="1552" w:type="dxa"/>
                  <w:tcBorders>
                    <w:tl2br w:val="nil"/>
                    <w:tr2bl w:val="nil"/>
                  </w:tcBorders>
                  <w:noWrap w:val="0"/>
                  <w:vAlign w:val="center"/>
                </w:tcPr>
                <w:p w14:paraId="6D79A794">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相对方位</w:t>
                  </w:r>
                </w:p>
              </w:tc>
              <w:tc>
                <w:tcPr>
                  <w:tcW w:w="2013" w:type="dxa"/>
                  <w:tcBorders>
                    <w:tl2br w:val="nil"/>
                    <w:tr2bl w:val="nil"/>
                  </w:tcBorders>
                  <w:noWrap w:val="0"/>
                  <w:vAlign w:val="center"/>
                </w:tcPr>
                <w:p w14:paraId="0BCE86A4">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相对本厂址的距离</w:t>
                  </w:r>
                </w:p>
              </w:tc>
              <w:tc>
                <w:tcPr>
                  <w:tcW w:w="2297" w:type="dxa"/>
                  <w:tcBorders>
                    <w:tl2br w:val="nil"/>
                    <w:tr2bl w:val="nil"/>
                  </w:tcBorders>
                  <w:noWrap w:val="0"/>
                  <w:vAlign w:val="center"/>
                </w:tcPr>
                <w:p w14:paraId="061D8CA1">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监测时间</w:t>
                  </w:r>
                </w:p>
              </w:tc>
            </w:tr>
            <w:tr w14:paraId="37B20E6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84" w:type="dxa"/>
                  <w:tcBorders>
                    <w:tl2br w:val="nil"/>
                    <w:tr2bl w:val="nil"/>
                  </w:tcBorders>
                  <w:noWrap w:val="0"/>
                  <w:vAlign w:val="center"/>
                </w:tcPr>
                <w:p w14:paraId="284B41DE">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G1</w:t>
                  </w:r>
                </w:p>
              </w:tc>
              <w:tc>
                <w:tcPr>
                  <w:tcW w:w="1560" w:type="dxa"/>
                  <w:tcBorders>
                    <w:tl2br w:val="nil"/>
                    <w:tr2bl w:val="nil"/>
                  </w:tcBorders>
                  <w:noWrap w:val="0"/>
                  <w:vAlign w:val="center"/>
                </w:tcPr>
                <w:p w14:paraId="15573EED">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厂区东南方向民居</w:t>
                  </w:r>
                </w:p>
              </w:tc>
              <w:tc>
                <w:tcPr>
                  <w:tcW w:w="1552" w:type="dxa"/>
                  <w:tcBorders>
                    <w:tl2br w:val="nil"/>
                    <w:tr2bl w:val="nil"/>
                  </w:tcBorders>
                  <w:noWrap w:val="0"/>
                  <w:vAlign w:val="center"/>
                </w:tcPr>
                <w:p w14:paraId="12FC8AF8">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厂区东南侧</w:t>
                  </w:r>
                </w:p>
              </w:tc>
              <w:tc>
                <w:tcPr>
                  <w:tcW w:w="2013" w:type="dxa"/>
                  <w:tcBorders>
                    <w:tl2br w:val="nil"/>
                    <w:tr2bl w:val="nil"/>
                  </w:tcBorders>
                  <w:noWrap w:val="0"/>
                  <w:vAlign w:val="center"/>
                </w:tcPr>
                <w:p w14:paraId="7366358E">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100m</w:t>
                  </w:r>
                </w:p>
              </w:tc>
              <w:tc>
                <w:tcPr>
                  <w:tcW w:w="2297" w:type="dxa"/>
                  <w:tcBorders>
                    <w:tl2br w:val="nil"/>
                    <w:tr2bl w:val="nil"/>
                  </w:tcBorders>
                  <w:noWrap w:val="0"/>
                  <w:vAlign w:val="center"/>
                </w:tcPr>
                <w:p w14:paraId="28F2A84C">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202</w:t>
                  </w:r>
                  <w:r>
                    <w:rPr>
                      <w:rFonts w:hint="eastAsia" w:eastAsia="宋体" w:cs="Times New Roman"/>
                      <w:color w:val="auto"/>
                      <w:sz w:val="21"/>
                      <w:szCs w:val="21"/>
                      <w:highlight w:val="none"/>
                      <w:lang w:val="en-US" w:eastAsia="zh-CN"/>
                    </w:rPr>
                    <w:t>5.6.20</w:t>
                  </w:r>
                  <w:r>
                    <w:rPr>
                      <w:rFonts w:hint="default" w:ascii="Times New Roman" w:hAnsi="Times New Roman" w:eastAsia="宋体" w:cs="Times New Roman"/>
                      <w:color w:val="auto"/>
                      <w:sz w:val="21"/>
                      <w:szCs w:val="21"/>
                      <w:highlight w:val="none"/>
                    </w:rPr>
                    <w:t>～202</w:t>
                  </w:r>
                  <w:r>
                    <w:rPr>
                      <w:rFonts w:hint="eastAsia" w:eastAsia="宋体" w:cs="Times New Roman"/>
                      <w:color w:val="auto"/>
                      <w:sz w:val="21"/>
                      <w:szCs w:val="21"/>
                      <w:highlight w:val="none"/>
                      <w:lang w:val="en-US" w:eastAsia="zh-CN"/>
                    </w:rPr>
                    <w:t>4.6.22</w:t>
                  </w:r>
                </w:p>
              </w:tc>
            </w:tr>
          </w:tbl>
          <w:p w14:paraId="4D896543">
            <w:pPr>
              <w:pStyle w:val="172"/>
              <w:ind w:firstLine="480"/>
              <w:rPr>
                <w:color w:val="auto"/>
                <w:highlight w:val="none"/>
              </w:rPr>
            </w:pPr>
            <w:r>
              <w:rPr>
                <w:rFonts w:hint="eastAsia"/>
                <w:color w:val="auto"/>
                <w:highlight w:val="none"/>
              </w:rPr>
              <w:t>B</w:t>
            </w:r>
            <w:r>
              <w:rPr>
                <w:color w:val="auto"/>
                <w:highlight w:val="none"/>
              </w:rPr>
              <w:t>监测项目</w:t>
            </w:r>
          </w:p>
          <w:p w14:paraId="75425081">
            <w:pPr>
              <w:pStyle w:val="172"/>
              <w:ind w:firstLine="480"/>
              <w:rPr>
                <w:color w:val="auto"/>
                <w:highlight w:val="none"/>
              </w:rPr>
            </w:pPr>
            <w:r>
              <w:rPr>
                <w:rFonts w:hint="eastAsia"/>
                <w:color w:val="auto"/>
                <w:highlight w:val="none"/>
              </w:rPr>
              <w:t>监测</w:t>
            </w:r>
            <w:r>
              <w:rPr>
                <w:color w:val="auto"/>
                <w:highlight w:val="none"/>
              </w:rPr>
              <w:t>因子：</w:t>
            </w:r>
            <w:r>
              <w:rPr>
                <w:rFonts w:hint="eastAsia"/>
                <w:color w:val="auto"/>
                <w:highlight w:val="none"/>
                <w:lang w:val="en-US" w:eastAsia="zh-CN"/>
              </w:rPr>
              <w:t>TSP</w:t>
            </w:r>
            <w:r>
              <w:rPr>
                <w:color w:val="auto"/>
                <w:highlight w:val="none"/>
              </w:rPr>
              <w:t>。</w:t>
            </w:r>
          </w:p>
          <w:p w14:paraId="57773214">
            <w:pPr>
              <w:pStyle w:val="172"/>
              <w:ind w:firstLine="480"/>
              <w:rPr>
                <w:color w:val="auto"/>
                <w:highlight w:val="none"/>
              </w:rPr>
            </w:pPr>
            <w:r>
              <w:rPr>
                <w:rFonts w:hint="eastAsia" w:cs="宋体"/>
                <w:color w:val="auto"/>
                <w:highlight w:val="none"/>
              </w:rPr>
              <w:t>C</w:t>
            </w:r>
            <w:r>
              <w:rPr>
                <w:color w:val="auto"/>
                <w:highlight w:val="none"/>
              </w:rPr>
              <w:t>监测方法</w:t>
            </w:r>
          </w:p>
          <w:p w14:paraId="0E5437D7">
            <w:pPr>
              <w:pStyle w:val="172"/>
              <w:ind w:firstLine="480"/>
              <w:rPr>
                <w:color w:val="auto"/>
                <w:highlight w:val="none"/>
              </w:rPr>
            </w:pPr>
            <w:r>
              <w:rPr>
                <w:color w:val="auto"/>
                <w:highlight w:val="none"/>
              </w:rPr>
              <w:t>各监测项目的具体监测分析方法及检出限见</w:t>
            </w:r>
            <w:r>
              <w:rPr>
                <w:rFonts w:hint="eastAsia"/>
                <w:color w:val="auto"/>
                <w:highlight w:val="none"/>
                <w:lang w:val="en-US" w:eastAsia="zh-CN"/>
              </w:rPr>
              <w:t>下表</w:t>
            </w:r>
            <w:r>
              <w:rPr>
                <w:color w:val="auto"/>
                <w:highlight w:val="none"/>
              </w:rPr>
              <w:t>。</w:t>
            </w:r>
          </w:p>
          <w:p w14:paraId="7A3B7B54">
            <w:pPr>
              <w:numPr>
                <w:ilvl w:val="0"/>
                <w:numId w:val="8"/>
              </w:numPr>
              <w:spacing w:before="120" w:beforeLines="50"/>
              <w:jc w:val="center"/>
              <w:rPr>
                <w:rFonts w:ascii="Times New Roman" w:hAnsi="Times New Roman"/>
                <w:b/>
                <w:color w:val="auto"/>
                <w:sz w:val="24"/>
                <w:szCs w:val="24"/>
                <w:highlight w:val="none"/>
              </w:rPr>
            </w:pPr>
            <w:bookmarkStart w:id="13" w:name="_Ref136031075"/>
            <w:r>
              <w:rPr>
                <w:rFonts w:ascii="Times New Roman" w:hAnsi="Times New Roman"/>
                <w:b/>
                <w:color w:val="auto"/>
                <w:sz w:val="24"/>
                <w:szCs w:val="24"/>
                <w:highlight w:val="none"/>
              </w:rPr>
              <w:t>环境空气监测分析方法</w:t>
            </w:r>
            <w:bookmarkEnd w:id="13"/>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199"/>
              <w:gridCol w:w="4180"/>
              <w:gridCol w:w="1974"/>
            </w:tblGrid>
            <w:tr w14:paraId="52D665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59" w:type="pct"/>
                  <w:vMerge w:val="restart"/>
                  <w:tcBorders>
                    <w:tl2br w:val="nil"/>
                    <w:tr2bl w:val="nil"/>
                  </w:tcBorders>
                  <w:noWrap w:val="0"/>
                  <w:vAlign w:val="center"/>
                </w:tcPr>
                <w:p w14:paraId="1EDA55D1">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724" w:type="pct"/>
                  <w:tcBorders>
                    <w:tl2br w:val="nil"/>
                    <w:tr2bl w:val="nil"/>
                  </w:tcBorders>
                  <w:noWrap w:val="0"/>
                  <w:vAlign w:val="center"/>
                </w:tcPr>
                <w:p w14:paraId="2515C731">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2524" w:type="pct"/>
                  <w:tcBorders>
                    <w:tl2br w:val="nil"/>
                    <w:tr2bl w:val="nil"/>
                  </w:tcBorders>
                  <w:noWrap w:val="0"/>
                  <w:vAlign w:val="center"/>
                </w:tcPr>
                <w:p w14:paraId="55F6A403">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检测方法</w:t>
                  </w:r>
                </w:p>
              </w:tc>
              <w:tc>
                <w:tcPr>
                  <w:tcW w:w="1192" w:type="pct"/>
                  <w:tcBorders>
                    <w:tl2br w:val="nil"/>
                    <w:tr2bl w:val="nil"/>
                  </w:tcBorders>
                  <w:noWrap w:val="0"/>
                  <w:vAlign w:val="center"/>
                </w:tcPr>
                <w:p w14:paraId="4239E060">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检出限</w:t>
                  </w:r>
                </w:p>
              </w:tc>
            </w:tr>
            <w:tr w14:paraId="6A1900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pct"/>
                  <w:vMerge w:val="continue"/>
                  <w:tcBorders>
                    <w:tl2br w:val="nil"/>
                    <w:tr2bl w:val="nil"/>
                  </w:tcBorders>
                  <w:noWrap w:val="0"/>
                  <w:vAlign w:val="center"/>
                </w:tcPr>
                <w:p w14:paraId="2381B2C9">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p>
              </w:tc>
              <w:tc>
                <w:tcPr>
                  <w:tcW w:w="724" w:type="pct"/>
                  <w:tcBorders>
                    <w:tl2br w:val="nil"/>
                    <w:tr2bl w:val="nil"/>
                  </w:tcBorders>
                  <w:noWrap w:val="0"/>
                  <w:vAlign w:val="center"/>
                </w:tcPr>
                <w:p w14:paraId="7D07DADC">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TSP</w:t>
                  </w:r>
                </w:p>
              </w:tc>
              <w:tc>
                <w:tcPr>
                  <w:tcW w:w="2524" w:type="pct"/>
                  <w:tcBorders>
                    <w:tl2br w:val="nil"/>
                    <w:tr2bl w:val="nil"/>
                  </w:tcBorders>
                  <w:noWrap w:val="0"/>
                  <w:vAlign w:val="center"/>
                </w:tcPr>
                <w:p w14:paraId="444FDFC5">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环境空气 总悬浮颗粒物的测定 重量法</w:t>
                  </w:r>
                </w:p>
                <w:p w14:paraId="05B9D563">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HJ 1263-2022</w:t>
                  </w:r>
                </w:p>
              </w:tc>
              <w:tc>
                <w:tcPr>
                  <w:tcW w:w="1192" w:type="pct"/>
                  <w:tcBorders>
                    <w:tl2br w:val="nil"/>
                    <w:tr2bl w:val="nil"/>
                  </w:tcBorders>
                  <w:noWrap w:val="0"/>
                  <w:vAlign w:val="center"/>
                </w:tcPr>
                <w:p w14:paraId="43434D2F">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0.07m</w:t>
                  </w:r>
                  <w:r>
                    <w:rPr>
                      <w:rFonts w:hint="eastAsia" w:eastAsia="宋体" w:cs="Times New Roman"/>
                      <w:color w:val="auto"/>
                      <w:sz w:val="21"/>
                      <w:szCs w:val="21"/>
                      <w:highlight w:val="none"/>
                      <w:lang w:val="en-US" w:eastAsia="zh-CN"/>
                    </w:rPr>
                    <w:t>g</w:t>
                  </w:r>
                  <w:r>
                    <w:rPr>
                      <w:rFonts w:hint="eastAsia" w:ascii="Times New Roman" w:hAnsi="Times New Roman" w:eastAsia="宋体" w:cs="宋体"/>
                      <w:color w:val="auto"/>
                      <w:highlight w:val="none"/>
                    </w:rPr>
                    <w:t>/m</w:t>
                  </w:r>
                  <w:r>
                    <w:rPr>
                      <w:rFonts w:hint="eastAsia" w:ascii="Times New Roman" w:hAnsi="Times New Roman" w:eastAsia="宋体" w:cs="宋体"/>
                      <w:color w:val="auto"/>
                      <w:highlight w:val="none"/>
                      <w:vertAlign w:val="superscript"/>
                    </w:rPr>
                    <w:t>3</w:t>
                  </w:r>
                </w:p>
              </w:tc>
            </w:tr>
          </w:tbl>
          <w:p w14:paraId="41FFB780">
            <w:pPr>
              <w:pStyle w:val="172"/>
              <w:ind w:firstLine="480"/>
              <w:rPr>
                <w:color w:val="auto"/>
                <w:highlight w:val="none"/>
              </w:rPr>
            </w:pPr>
            <w:r>
              <w:rPr>
                <w:rFonts w:hint="eastAsia"/>
                <w:color w:val="auto"/>
                <w:highlight w:val="none"/>
              </w:rPr>
              <w:t>D</w:t>
            </w:r>
            <w:r>
              <w:rPr>
                <w:color w:val="auto"/>
                <w:highlight w:val="none"/>
              </w:rPr>
              <w:t>监测结果</w:t>
            </w:r>
          </w:p>
          <w:p w14:paraId="79DF1C14">
            <w:pPr>
              <w:pStyle w:val="172"/>
              <w:ind w:firstLine="480"/>
              <w:rPr>
                <w:color w:val="auto"/>
                <w:highlight w:val="none"/>
              </w:rPr>
            </w:pPr>
            <w:r>
              <w:rPr>
                <w:color w:val="auto"/>
                <w:highlight w:val="none"/>
              </w:rPr>
              <w:t>项目环境空气监测结果见</w:t>
            </w:r>
            <w:r>
              <w:rPr>
                <w:rFonts w:hint="eastAsia"/>
                <w:color w:val="auto"/>
                <w:highlight w:val="none"/>
                <w:lang w:val="en-US" w:eastAsia="zh-CN"/>
              </w:rPr>
              <w:t>下表</w:t>
            </w:r>
            <w:r>
              <w:rPr>
                <w:color w:val="auto"/>
                <w:highlight w:val="none"/>
              </w:rPr>
              <w:t>。</w:t>
            </w:r>
          </w:p>
          <w:p w14:paraId="39EA6FF1">
            <w:pPr>
              <w:numPr>
                <w:ilvl w:val="0"/>
                <w:numId w:val="8"/>
              </w:numPr>
              <w:spacing w:before="120" w:beforeLines="5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大气污染特征因子监测结果统计</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1231"/>
              <w:gridCol w:w="973"/>
              <w:gridCol w:w="1902"/>
              <w:gridCol w:w="1466"/>
              <w:gridCol w:w="1409"/>
              <w:gridCol w:w="1298"/>
            </w:tblGrid>
            <w:tr w14:paraId="12DF9D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1250" w:type="dxa"/>
                  <w:vMerge w:val="restart"/>
                  <w:noWrap w:val="0"/>
                  <w:vAlign w:val="center"/>
                </w:tcPr>
                <w:p w14:paraId="3FFDAA3A">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监测因子</w:t>
                  </w:r>
                </w:p>
              </w:tc>
              <w:tc>
                <w:tcPr>
                  <w:tcW w:w="990" w:type="dxa"/>
                  <w:vMerge w:val="restart"/>
                  <w:noWrap w:val="0"/>
                  <w:vAlign w:val="center"/>
                </w:tcPr>
                <w:p w14:paraId="00E929AD">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测点</w:t>
                  </w:r>
                </w:p>
                <w:p w14:paraId="4658A8F8">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编号</w:t>
                  </w:r>
                </w:p>
              </w:tc>
              <w:tc>
                <w:tcPr>
                  <w:tcW w:w="4840" w:type="dxa"/>
                  <w:gridSpan w:val="3"/>
                  <w:noWrap w:val="0"/>
                  <w:vAlign w:val="center"/>
                </w:tcPr>
                <w:p w14:paraId="3123EACC">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1h平均</w:t>
                  </w:r>
                  <w:r>
                    <w:rPr>
                      <w:rFonts w:hint="eastAsia" w:ascii="Times New Roman" w:hAnsi="Times New Roman" w:eastAsia="宋体" w:cs="Times New Roman"/>
                      <w:color w:val="auto"/>
                      <w:sz w:val="21"/>
                      <w:szCs w:val="21"/>
                      <w:highlight w:val="none"/>
                      <w:lang w:val="en-US" w:eastAsia="zh-CN"/>
                    </w:rPr>
                    <w:t>/日均值</w:t>
                  </w:r>
                </w:p>
              </w:tc>
              <w:tc>
                <w:tcPr>
                  <w:tcW w:w="1309" w:type="dxa"/>
                  <w:vMerge w:val="restart"/>
                  <w:noWrap w:val="0"/>
                  <w:vAlign w:val="center"/>
                </w:tcPr>
                <w:p w14:paraId="7736CA8A">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标准值</w:t>
                  </w:r>
                </w:p>
              </w:tc>
            </w:tr>
            <w:tr w14:paraId="2B392F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1250" w:type="dxa"/>
                  <w:vMerge w:val="continue"/>
                  <w:noWrap w:val="0"/>
                  <w:vAlign w:val="center"/>
                </w:tcPr>
                <w:p w14:paraId="2E417ED3">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p>
              </w:tc>
              <w:tc>
                <w:tcPr>
                  <w:tcW w:w="990" w:type="dxa"/>
                  <w:vMerge w:val="continue"/>
                  <w:noWrap w:val="0"/>
                  <w:vAlign w:val="center"/>
                </w:tcPr>
                <w:p w14:paraId="0509E1DD">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p>
              </w:tc>
              <w:tc>
                <w:tcPr>
                  <w:tcW w:w="1921" w:type="dxa"/>
                  <w:noWrap w:val="0"/>
                  <w:vAlign w:val="center"/>
                </w:tcPr>
                <w:p w14:paraId="7ED8718C">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浓度范围（mg/m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486" w:type="dxa"/>
                  <w:noWrap w:val="0"/>
                  <w:vAlign w:val="center"/>
                </w:tcPr>
                <w:p w14:paraId="19820F8F">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超标率（%）</w:t>
                  </w:r>
                </w:p>
              </w:tc>
              <w:tc>
                <w:tcPr>
                  <w:tcW w:w="1433" w:type="dxa"/>
                  <w:noWrap w:val="0"/>
                  <w:vAlign w:val="center"/>
                </w:tcPr>
                <w:p w14:paraId="6FBADDF7">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最大污染指数</w:t>
                  </w:r>
                </w:p>
              </w:tc>
              <w:tc>
                <w:tcPr>
                  <w:tcW w:w="1309" w:type="dxa"/>
                  <w:vMerge w:val="continue"/>
                  <w:noWrap w:val="0"/>
                  <w:vAlign w:val="center"/>
                </w:tcPr>
                <w:p w14:paraId="60F982BE">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rPr>
                  </w:pPr>
                </w:p>
              </w:tc>
            </w:tr>
            <w:tr w14:paraId="702177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250" w:type="dxa"/>
                  <w:noWrap w:val="0"/>
                  <w:vAlign w:val="center"/>
                </w:tcPr>
                <w:p w14:paraId="25679863">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TSP</w:t>
                  </w:r>
                  <w:r>
                    <w:rPr>
                      <w:rFonts w:hint="eastAsia" w:ascii="Times New Roman" w:hAnsi="Times New Roman" w:eastAsia="宋体" w:cs="Times New Roman"/>
                      <w:color w:val="auto"/>
                      <w:sz w:val="21"/>
                      <w:szCs w:val="21"/>
                      <w:highlight w:val="none"/>
                      <w:lang w:val="en-US" w:eastAsia="zh-CN"/>
                    </w:rPr>
                    <w:t>（日均值）</w:t>
                  </w:r>
                </w:p>
              </w:tc>
              <w:tc>
                <w:tcPr>
                  <w:tcW w:w="990" w:type="dxa"/>
                  <w:noWrap w:val="0"/>
                  <w:vAlign w:val="center"/>
                </w:tcPr>
                <w:p w14:paraId="71521BDF">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民居</w:t>
                  </w:r>
                </w:p>
              </w:tc>
              <w:tc>
                <w:tcPr>
                  <w:tcW w:w="1921" w:type="dxa"/>
                  <w:shd w:val="clear" w:color="auto" w:fill="auto"/>
                  <w:noWrap w:val="0"/>
                  <w:vAlign w:val="center"/>
                </w:tcPr>
                <w:p w14:paraId="2939699C">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w:t>
                  </w:r>
                </w:p>
              </w:tc>
              <w:tc>
                <w:tcPr>
                  <w:tcW w:w="1486" w:type="dxa"/>
                  <w:shd w:val="clear" w:color="auto" w:fill="auto"/>
                  <w:noWrap w:val="0"/>
                  <w:vAlign w:val="center"/>
                </w:tcPr>
                <w:p w14:paraId="69942657">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w:t>
                  </w:r>
                </w:p>
              </w:tc>
              <w:tc>
                <w:tcPr>
                  <w:tcW w:w="1433" w:type="dxa"/>
                  <w:shd w:val="clear" w:color="auto" w:fill="auto"/>
                  <w:noWrap w:val="0"/>
                  <w:vAlign w:val="center"/>
                </w:tcPr>
                <w:p w14:paraId="602644B0">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sz w:val="21"/>
                      <w:szCs w:val="21"/>
                      <w:highlight w:val="none"/>
                      <w:lang w:val="en-US" w:eastAsia="zh-CN"/>
                    </w:rPr>
                    <w:t>*.**</w:t>
                  </w:r>
                </w:p>
              </w:tc>
              <w:tc>
                <w:tcPr>
                  <w:tcW w:w="1309" w:type="dxa"/>
                  <w:shd w:val="clear" w:color="auto" w:fill="auto"/>
                  <w:noWrap w:val="0"/>
                  <w:vAlign w:val="center"/>
                </w:tcPr>
                <w:p w14:paraId="2F83A5B4">
                  <w:pPr>
                    <w:pStyle w:val="173"/>
                    <w:keepNext w:val="0"/>
                    <w:keepLines w:val="0"/>
                    <w:pageBreakBefore w:val="0"/>
                    <w:widowControl/>
                    <w:kinsoku/>
                    <w:wordWrap/>
                    <w:overflowPunct/>
                    <w:topLinePunct w:val="0"/>
                    <w:autoSpaceDE w:val="0"/>
                    <w:autoSpaceDN w:val="0"/>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0.3</w:t>
                  </w:r>
                  <w:r>
                    <w:rPr>
                      <w:rFonts w:hint="eastAsia" w:ascii="Times New Roman" w:hAnsi="Times New Roman" w:eastAsia="宋体" w:cs="Times New Roman"/>
                      <w:color w:val="auto"/>
                      <w:sz w:val="21"/>
                      <w:szCs w:val="21"/>
                      <w:highlight w:val="none"/>
                    </w:rPr>
                    <w:t>mg/m</w:t>
                  </w:r>
                  <w:r>
                    <w:rPr>
                      <w:rFonts w:hint="eastAsia" w:ascii="Times New Roman" w:hAnsi="Times New Roman" w:eastAsia="宋体" w:cs="Times New Roman"/>
                      <w:color w:val="auto"/>
                      <w:sz w:val="21"/>
                      <w:szCs w:val="21"/>
                      <w:highlight w:val="none"/>
                      <w:vertAlign w:val="superscript"/>
                    </w:rPr>
                    <w:t>3</w:t>
                  </w:r>
                </w:p>
              </w:tc>
            </w:tr>
          </w:tbl>
          <w:p w14:paraId="04A53EDF">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由上表可知，项目所在区域TSP符合《环境空气质</w:t>
            </w:r>
            <w:bookmarkStart w:id="18" w:name="_GoBack"/>
            <w:bookmarkEnd w:id="18"/>
            <w:r>
              <w:rPr>
                <w:rFonts w:hint="eastAsia" w:ascii="Times New Roman" w:hAnsi="Times New Roman"/>
                <w:color w:val="auto"/>
                <w:sz w:val="24"/>
                <w:szCs w:val="24"/>
                <w:highlight w:val="none"/>
              </w:rPr>
              <w:t>量标准》（GB3095-2012）标准限值要求。因此项目所在区域环境空气质量较好。</w:t>
            </w:r>
          </w:p>
          <w:p w14:paraId="61315956">
            <w:pPr>
              <w:spacing w:line="360" w:lineRule="auto"/>
              <w:jc w:val="left"/>
              <w:outlineLvl w:val="2"/>
              <w:rPr>
                <w:rFonts w:ascii="Times New Roman" w:hAnsi="Times New Roman"/>
                <w:b/>
                <w:bCs/>
                <w:color w:val="auto"/>
                <w:sz w:val="24"/>
                <w:szCs w:val="24"/>
              </w:rPr>
            </w:pPr>
            <w:r>
              <w:rPr>
                <w:rFonts w:ascii="Times New Roman" w:hAnsi="Times New Roman"/>
                <w:b/>
                <w:bCs/>
                <w:color w:val="auto"/>
                <w:sz w:val="24"/>
                <w:szCs w:val="24"/>
              </w:rPr>
              <w:t>3.1.2水环境质量现状</w:t>
            </w:r>
          </w:p>
          <w:p w14:paraId="4AF9151F">
            <w:pPr>
              <w:spacing w:line="360" w:lineRule="auto"/>
              <w:ind w:firstLine="480" w:firstLineChars="200"/>
              <w:jc w:val="left"/>
              <w:outlineLvl w:val="2"/>
              <w:rPr>
                <w:rFonts w:ascii="Times New Roman" w:hAnsi="Times New Roman"/>
                <w:color w:val="auto"/>
                <w:sz w:val="24"/>
                <w:szCs w:val="24"/>
              </w:rPr>
            </w:pPr>
            <w:r>
              <w:rPr>
                <w:rFonts w:ascii="Times New Roman" w:hAnsi="Times New Roman"/>
                <w:color w:val="auto"/>
                <w:sz w:val="24"/>
                <w:szCs w:val="24"/>
              </w:rPr>
              <w:t>（1）水环境质量</w:t>
            </w:r>
          </w:p>
          <w:p w14:paraId="4EA81CEC">
            <w:pPr>
              <w:spacing w:line="360" w:lineRule="auto"/>
              <w:ind w:firstLine="480" w:firstLineChars="200"/>
              <w:rPr>
                <w:rFonts w:ascii="Times New Roman" w:hAnsi="Times New Roman"/>
                <w:color w:val="auto"/>
                <w:sz w:val="24"/>
                <w:szCs w:val="24"/>
              </w:rPr>
            </w:pPr>
            <w:r>
              <w:rPr>
                <w:rFonts w:hint="default" w:ascii="Times New Roman" w:hAnsi="Times New Roman" w:eastAsia="宋体" w:cs="Times New Roman"/>
                <w:color w:val="auto"/>
                <w:sz w:val="24"/>
                <w:lang w:val="en-US" w:eastAsia="zh-CN"/>
              </w:rPr>
              <w:t>本项目周边流域为</w:t>
            </w:r>
            <w:r>
              <w:rPr>
                <w:rFonts w:hint="eastAsia" w:cs="Times New Roman"/>
                <w:color w:val="auto"/>
                <w:sz w:val="24"/>
                <w:lang w:val="en-US" w:eastAsia="zh-CN"/>
              </w:rPr>
              <w:t>大澜溪</w:t>
            </w:r>
            <w:r>
              <w:rPr>
                <w:rFonts w:hint="default" w:ascii="Times New Roman" w:hAnsi="Times New Roman" w:eastAsia="宋体" w:cs="Times New Roman"/>
                <w:color w:val="auto"/>
                <w:sz w:val="24"/>
                <w:lang w:val="en-US" w:eastAsia="zh-CN"/>
              </w:rPr>
              <w:t>。根据《福建省人民政府关于宁德市地表水环境功能区划定方案的批复》（闽政文</w:t>
            </w:r>
            <w:r>
              <w:rPr>
                <w:rFonts w:hint="eastAsia" w:cs="Times New Roman"/>
                <w:color w:val="auto"/>
                <w:sz w:val="24"/>
                <w:lang w:val="en-US" w:eastAsia="zh-CN"/>
              </w:rPr>
              <w:t>〔2012〕187号</w:t>
            </w: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属于</w:t>
            </w:r>
            <w:r>
              <w:rPr>
                <w:rFonts w:hint="default" w:ascii="Times New Roman" w:hAnsi="Times New Roman" w:eastAsia="宋体" w:cs="Times New Roman"/>
                <w:color w:val="auto"/>
                <w:sz w:val="24"/>
                <w:lang w:val="en-US" w:eastAsia="zh-CN"/>
              </w:rPr>
              <w:t>Ⅲ类水环境功能区，水质执行《地表水环境质量标准》（GB3838-2002）中Ⅲ类标准，</w:t>
            </w:r>
            <w:r>
              <w:rPr>
                <w:rFonts w:ascii="Times New Roman" w:hAnsi="Times New Roman"/>
                <w:color w:val="auto"/>
                <w:sz w:val="24"/>
                <w:szCs w:val="24"/>
              </w:rPr>
              <w:t>具体见</w:t>
            </w:r>
            <w:r>
              <w:rPr>
                <w:rFonts w:hint="eastAsia"/>
                <w:color w:val="auto"/>
                <w:sz w:val="24"/>
                <w:szCs w:val="24"/>
                <w:lang w:val="en-US" w:eastAsia="zh-CN"/>
              </w:rPr>
              <w:t>下表</w:t>
            </w:r>
            <w:r>
              <w:rPr>
                <w:rFonts w:ascii="Times New Roman" w:hAnsi="Times New Roman"/>
                <w:color w:val="auto"/>
                <w:sz w:val="24"/>
                <w:szCs w:val="24"/>
              </w:rPr>
              <w:t>。</w:t>
            </w:r>
          </w:p>
          <w:p w14:paraId="4050A16D">
            <w:pPr>
              <w:numPr>
                <w:ilvl w:val="0"/>
                <w:numId w:val="8"/>
              </w:numPr>
              <w:spacing w:before="120" w:beforeLines="50"/>
              <w:jc w:val="center"/>
              <w:rPr>
                <w:rFonts w:ascii="Times New Roman" w:hAnsi="Times New Roman"/>
                <w:b/>
                <w:color w:val="auto"/>
                <w:sz w:val="24"/>
                <w:szCs w:val="24"/>
              </w:rPr>
            </w:pPr>
            <w:bookmarkStart w:id="14" w:name="_Ref443550075"/>
            <w:r>
              <w:rPr>
                <w:rFonts w:ascii="Times New Roman" w:hAnsi="Times New Roman"/>
                <w:b/>
                <w:color w:val="auto"/>
                <w:sz w:val="24"/>
                <w:szCs w:val="24"/>
              </w:rPr>
              <w:t>《地表水环境质量标准》（GB3838-2002）（摘录）</w:t>
            </w:r>
            <w:bookmarkEnd w:id="14"/>
            <w:r>
              <w:rPr>
                <w:rFonts w:ascii="Times New Roman" w:hAnsi="Times New Roman"/>
                <w:b/>
                <w:color w:val="auto"/>
                <w:sz w:val="24"/>
                <w:szCs w:val="24"/>
              </w:rPr>
              <w:t xml:space="preserve">  单位：mg/L</w:t>
            </w:r>
          </w:p>
          <w:tbl>
            <w:tblPr>
              <w:tblStyle w:val="30"/>
              <w:tblW w:w="8279" w:type="dxa"/>
              <w:tblInd w:w="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68"/>
              <w:gridCol w:w="1443"/>
              <w:gridCol w:w="2550"/>
              <w:gridCol w:w="2218"/>
            </w:tblGrid>
            <w:tr w14:paraId="6FB1C8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68" w:type="dxa"/>
                  <w:tcBorders>
                    <w:tl2br w:val="nil"/>
                    <w:tr2bl w:val="nil"/>
                  </w:tcBorders>
                  <w:noWrap w:val="0"/>
                  <w:vAlign w:val="center"/>
                </w:tcPr>
                <w:p w14:paraId="1B622A3B">
                  <w:pPr>
                    <w:keepNext w:val="0"/>
                    <w:keepLines w:val="0"/>
                    <w:pageBreakBefore w:val="0"/>
                    <w:kinsoku/>
                    <w:overflowPunct/>
                    <w:bidi w:val="0"/>
                    <w:adjustRightInd/>
                    <w:snapToGrid/>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标准名称</w:t>
                  </w:r>
                </w:p>
              </w:tc>
              <w:tc>
                <w:tcPr>
                  <w:tcW w:w="1443" w:type="dxa"/>
                  <w:tcBorders>
                    <w:tl2br w:val="nil"/>
                    <w:tr2bl w:val="nil"/>
                  </w:tcBorders>
                  <w:noWrap w:val="0"/>
                  <w:vAlign w:val="center"/>
                </w:tcPr>
                <w:p w14:paraId="1A9B7101">
                  <w:pPr>
                    <w:keepNext w:val="0"/>
                    <w:keepLines w:val="0"/>
                    <w:pageBreakBefore w:val="0"/>
                    <w:kinsoku/>
                    <w:overflowPunct/>
                    <w:bidi w:val="0"/>
                    <w:adjustRightInd/>
                    <w:snapToGrid/>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适用类别</w:t>
                  </w:r>
                </w:p>
              </w:tc>
              <w:tc>
                <w:tcPr>
                  <w:tcW w:w="4768" w:type="dxa"/>
                  <w:gridSpan w:val="2"/>
                  <w:tcBorders>
                    <w:tl2br w:val="nil"/>
                    <w:tr2bl w:val="nil"/>
                  </w:tcBorders>
                  <w:noWrap w:val="0"/>
                  <w:vAlign w:val="center"/>
                </w:tcPr>
                <w:p w14:paraId="5174C0DE">
                  <w:pPr>
                    <w:keepNext w:val="0"/>
                    <w:keepLines w:val="0"/>
                    <w:pageBreakBefore w:val="0"/>
                    <w:kinsoku/>
                    <w:overflowPunct/>
                    <w:bidi w:val="0"/>
                    <w:adjustRightInd/>
                    <w:snapToGrid/>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标准限值</w:t>
                  </w:r>
                </w:p>
              </w:tc>
            </w:tr>
            <w:tr w14:paraId="32636B1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68" w:type="dxa"/>
                  <w:vMerge w:val="restart"/>
                  <w:tcBorders>
                    <w:tl2br w:val="nil"/>
                    <w:tr2bl w:val="nil"/>
                  </w:tcBorders>
                  <w:noWrap w:val="0"/>
                  <w:vAlign w:val="center"/>
                </w:tcPr>
                <w:p w14:paraId="5315B4A3">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GB3838-2002《地表水环境质量标准》</w:t>
                  </w:r>
                </w:p>
              </w:tc>
              <w:tc>
                <w:tcPr>
                  <w:tcW w:w="1443" w:type="dxa"/>
                  <w:vMerge w:val="restart"/>
                  <w:tcBorders>
                    <w:tl2br w:val="nil"/>
                    <w:tr2bl w:val="nil"/>
                  </w:tcBorders>
                  <w:noWrap w:val="0"/>
                  <w:vAlign w:val="center"/>
                </w:tcPr>
                <w:p w14:paraId="1703E073">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Ⅲ类</w:t>
                  </w:r>
                </w:p>
              </w:tc>
              <w:tc>
                <w:tcPr>
                  <w:tcW w:w="2550" w:type="dxa"/>
                  <w:tcBorders>
                    <w:tl2br w:val="nil"/>
                    <w:tr2bl w:val="nil"/>
                  </w:tcBorders>
                  <w:noWrap w:val="0"/>
                  <w:vAlign w:val="center"/>
                </w:tcPr>
                <w:p w14:paraId="45B9428C">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参数名称</w:t>
                  </w:r>
                </w:p>
              </w:tc>
              <w:tc>
                <w:tcPr>
                  <w:tcW w:w="2218" w:type="dxa"/>
                  <w:tcBorders>
                    <w:tl2br w:val="nil"/>
                    <w:tr2bl w:val="nil"/>
                  </w:tcBorders>
                  <w:noWrap w:val="0"/>
                  <w:vAlign w:val="center"/>
                </w:tcPr>
                <w:p w14:paraId="6CA59451">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浓度限制</w:t>
                  </w:r>
                </w:p>
              </w:tc>
            </w:tr>
            <w:tr w14:paraId="6C1128A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68" w:type="dxa"/>
                  <w:vMerge w:val="continue"/>
                  <w:tcBorders>
                    <w:tl2br w:val="nil"/>
                    <w:tr2bl w:val="nil"/>
                  </w:tcBorders>
                  <w:noWrap w:val="0"/>
                  <w:vAlign w:val="center"/>
                </w:tcPr>
                <w:p w14:paraId="7428F1B7">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43" w:type="dxa"/>
                  <w:vMerge w:val="continue"/>
                  <w:tcBorders>
                    <w:tl2br w:val="nil"/>
                    <w:tr2bl w:val="nil"/>
                  </w:tcBorders>
                  <w:noWrap w:val="0"/>
                  <w:vAlign w:val="center"/>
                </w:tcPr>
                <w:p w14:paraId="41CB281B">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2550" w:type="dxa"/>
                  <w:tcBorders>
                    <w:tl2br w:val="nil"/>
                    <w:tr2bl w:val="nil"/>
                  </w:tcBorders>
                  <w:noWrap w:val="0"/>
                  <w:vAlign w:val="center"/>
                </w:tcPr>
                <w:p w14:paraId="72DC83D5">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pH</w:t>
                  </w:r>
                </w:p>
              </w:tc>
              <w:tc>
                <w:tcPr>
                  <w:tcW w:w="2218" w:type="dxa"/>
                  <w:tcBorders>
                    <w:tl2br w:val="nil"/>
                    <w:tr2bl w:val="nil"/>
                  </w:tcBorders>
                  <w:noWrap w:val="0"/>
                  <w:vAlign w:val="center"/>
                </w:tcPr>
                <w:p w14:paraId="3404CB3D">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6~9（无量纲）</w:t>
                  </w:r>
                </w:p>
              </w:tc>
            </w:tr>
            <w:tr w14:paraId="08D38F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68" w:type="dxa"/>
                  <w:vMerge w:val="continue"/>
                  <w:tcBorders>
                    <w:tl2br w:val="nil"/>
                    <w:tr2bl w:val="nil"/>
                  </w:tcBorders>
                  <w:noWrap w:val="0"/>
                  <w:vAlign w:val="center"/>
                </w:tcPr>
                <w:p w14:paraId="5F7C64AA">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43" w:type="dxa"/>
                  <w:vMerge w:val="continue"/>
                  <w:tcBorders>
                    <w:tl2br w:val="nil"/>
                    <w:tr2bl w:val="nil"/>
                  </w:tcBorders>
                  <w:noWrap w:val="0"/>
                  <w:vAlign w:val="center"/>
                </w:tcPr>
                <w:p w14:paraId="551A4625">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2550" w:type="dxa"/>
                  <w:tcBorders>
                    <w:tl2br w:val="nil"/>
                    <w:tr2bl w:val="nil"/>
                  </w:tcBorders>
                  <w:noWrap w:val="0"/>
                  <w:vAlign w:val="center"/>
                </w:tcPr>
                <w:p w14:paraId="691F40B8">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高锰酸钾盐指数</w:t>
                  </w:r>
                </w:p>
              </w:tc>
              <w:tc>
                <w:tcPr>
                  <w:tcW w:w="2218" w:type="dxa"/>
                  <w:tcBorders>
                    <w:tl2br w:val="nil"/>
                    <w:tr2bl w:val="nil"/>
                  </w:tcBorders>
                  <w:noWrap w:val="0"/>
                  <w:vAlign w:val="center"/>
                </w:tcPr>
                <w:p w14:paraId="3D9D0588">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≤6mg/L</w:t>
                  </w:r>
                </w:p>
              </w:tc>
            </w:tr>
            <w:tr w14:paraId="52A0A0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68" w:type="dxa"/>
                  <w:vMerge w:val="continue"/>
                  <w:tcBorders>
                    <w:tl2br w:val="nil"/>
                    <w:tr2bl w:val="nil"/>
                  </w:tcBorders>
                  <w:noWrap w:val="0"/>
                  <w:vAlign w:val="center"/>
                </w:tcPr>
                <w:p w14:paraId="4D27C6EE">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43" w:type="dxa"/>
                  <w:vMerge w:val="continue"/>
                  <w:tcBorders>
                    <w:tl2br w:val="nil"/>
                    <w:tr2bl w:val="nil"/>
                  </w:tcBorders>
                  <w:noWrap w:val="0"/>
                  <w:vAlign w:val="center"/>
                </w:tcPr>
                <w:p w14:paraId="188675DF">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2550" w:type="dxa"/>
                  <w:tcBorders>
                    <w:tl2br w:val="nil"/>
                    <w:tr2bl w:val="nil"/>
                  </w:tcBorders>
                  <w:noWrap w:val="0"/>
                  <w:vAlign w:val="center"/>
                </w:tcPr>
                <w:p w14:paraId="23F1EBC9">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化学需氧量（COD）</w:t>
                  </w:r>
                </w:p>
              </w:tc>
              <w:tc>
                <w:tcPr>
                  <w:tcW w:w="2218" w:type="dxa"/>
                  <w:tcBorders>
                    <w:tl2br w:val="nil"/>
                    <w:tr2bl w:val="nil"/>
                  </w:tcBorders>
                  <w:noWrap w:val="0"/>
                  <w:vAlign w:val="center"/>
                </w:tcPr>
                <w:p w14:paraId="1066481E">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≤20mg/L</w:t>
                  </w:r>
                </w:p>
              </w:tc>
            </w:tr>
            <w:tr w14:paraId="70C395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68" w:type="dxa"/>
                  <w:vMerge w:val="continue"/>
                  <w:tcBorders>
                    <w:tl2br w:val="nil"/>
                    <w:tr2bl w:val="nil"/>
                  </w:tcBorders>
                  <w:noWrap w:val="0"/>
                  <w:vAlign w:val="center"/>
                </w:tcPr>
                <w:p w14:paraId="11A26A82">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43" w:type="dxa"/>
                  <w:vMerge w:val="continue"/>
                  <w:tcBorders>
                    <w:tl2br w:val="nil"/>
                    <w:tr2bl w:val="nil"/>
                  </w:tcBorders>
                  <w:noWrap w:val="0"/>
                  <w:vAlign w:val="center"/>
                </w:tcPr>
                <w:p w14:paraId="18E6E871">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2550" w:type="dxa"/>
                  <w:tcBorders>
                    <w:tl2br w:val="nil"/>
                    <w:tr2bl w:val="nil"/>
                  </w:tcBorders>
                  <w:noWrap w:val="0"/>
                  <w:vAlign w:val="center"/>
                </w:tcPr>
                <w:p w14:paraId="507B039A">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五日生化需氧量（BOD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vertAlign w:val="baseline"/>
                      <w:lang w:val="en-US" w:eastAsia="zh-CN"/>
                    </w:rPr>
                    <w:t>）</w:t>
                  </w:r>
                </w:p>
              </w:tc>
              <w:tc>
                <w:tcPr>
                  <w:tcW w:w="2218" w:type="dxa"/>
                  <w:tcBorders>
                    <w:tl2br w:val="nil"/>
                    <w:tr2bl w:val="nil"/>
                  </w:tcBorders>
                  <w:noWrap w:val="0"/>
                  <w:vAlign w:val="center"/>
                </w:tcPr>
                <w:p w14:paraId="5B8199FA">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≤4mg/L</w:t>
                  </w:r>
                </w:p>
              </w:tc>
            </w:tr>
            <w:tr w14:paraId="620DF8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68" w:type="dxa"/>
                  <w:vMerge w:val="continue"/>
                  <w:tcBorders>
                    <w:tl2br w:val="nil"/>
                    <w:tr2bl w:val="nil"/>
                  </w:tcBorders>
                  <w:noWrap w:val="0"/>
                  <w:vAlign w:val="center"/>
                </w:tcPr>
                <w:p w14:paraId="2D6BCAF6">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43" w:type="dxa"/>
                  <w:vMerge w:val="continue"/>
                  <w:tcBorders>
                    <w:tl2br w:val="nil"/>
                    <w:tr2bl w:val="nil"/>
                  </w:tcBorders>
                  <w:noWrap w:val="0"/>
                  <w:vAlign w:val="center"/>
                </w:tcPr>
                <w:p w14:paraId="40E741C3">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2550" w:type="dxa"/>
                  <w:tcBorders>
                    <w:tl2br w:val="nil"/>
                    <w:tr2bl w:val="nil"/>
                  </w:tcBorders>
                  <w:noWrap w:val="0"/>
                  <w:vAlign w:val="center"/>
                </w:tcPr>
                <w:p w14:paraId="3E35E47D">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氨氮（NH</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vertAlign w:val="baseline"/>
                      <w:lang w:val="en-US" w:eastAsia="zh-CN"/>
                    </w:rPr>
                    <w:t>-N）</w:t>
                  </w:r>
                </w:p>
              </w:tc>
              <w:tc>
                <w:tcPr>
                  <w:tcW w:w="2218" w:type="dxa"/>
                  <w:tcBorders>
                    <w:tl2br w:val="nil"/>
                    <w:tr2bl w:val="nil"/>
                  </w:tcBorders>
                  <w:noWrap w:val="0"/>
                  <w:vAlign w:val="center"/>
                </w:tcPr>
                <w:p w14:paraId="1CC8DB77">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≤10mg/L</w:t>
                  </w:r>
                </w:p>
              </w:tc>
            </w:tr>
            <w:tr w14:paraId="478085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68" w:type="dxa"/>
                  <w:vMerge w:val="continue"/>
                  <w:tcBorders>
                    <w:tl2br w:val="nil"/>
                    <w:tr2bl w:val="nil"/>
                  </w:tcBorders>
                  <w:noWrap w:val="0"/>
                  <w:vAlign w:val="center"/>
                </w:tcPr>
                <w:p w14:paraId="61E6A9A5">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43" w:type="dxa"/>
                  <w:vMerge w:val="continue"/>
                  <w:tcBorders>
                    <w:tl2br w:val="nil"/>
                    <w:tr2bl w:val="nil"/>
                  </w:tcBorders>
                  <w:noWrap w:val="0"/>
                  <w:vAlign w:val="center"/>
                </w:tcPr>
                <w:p w14:paraId="5593C583">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2550" w:type="dxa"/>
                  <w:tcBorders>
                    <w:tl2br w:val="nil"/>
                    <w:tr2bl w:val="nil"/>
                  </w:tcBorders>
                  <w:noWrap w:val="0"/>
                  <w:vAlign w:val="center"/>
                </w:tcPr>
                <w:p w14:paraId="1873FC70">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石油类</w:t>
                  </w:r>
                </w:p>
              </w:tc>
              <w:tc>
                <w:tcPr>
                  <w:tcW w:w="2218" w:type="dxa"/>
                  <w:tcBorders>
                    <w:tl2br w:val="nil"/>
                    <w:tr2bl w:val="nil"/>
                  </w:tcBorders>
                  <w:noWrap w:val="0"/>
                  <w:vAlign w:val="center"/>
                </w:tcPr>
                <w:p w14:paraId="59988915">
                  <w:pPr>
                    <w:keepNext w:val="0"/>
                    <w:keepLines w:val="0"/>
                    <w:pageBreakBefore w:val="0"/>
                    <w:kinsoku/>
                    <w:overflowPunct/>
                    <w:bidi w:val="0"/>
                    <w:adjustRightInd/>
                    <w:snapToGrid/>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≤0.05mg/L</w:t>
                  </w:r>
                </w:p>
              </w:tc>
            </w:tr>
          </w:tbl>
          <w:p w14:paraId="52EE2D61">
            <w:pPr>
              <w:jc w:val="center"/>
              <w:rPr>
                <w:rFonts w:ascii="Times New Roman" w:hAnsi="Times New Roman"/>
                <w:b/>
                <w:color w:val="auto"/>
                <w:sz w:val="24"/>
              </w:rPr>
            </w:pPr>
          </w:p>
          <w:p w14:paraId="15C5A723">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（2）水环境质量现状</w:t>
            </w:r>
          </w:p>
          <w:p w14:paraId="47CA67BC">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根据《宁德市环境质量概要2023年度》，2023年，全市主要流域水质总体优良。Ⅰ类～Ⅲ类水质比例为100%，Ⅰ类～Ⅱ类水质比例62.2%。全市9个县</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市、区</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14个集中式生活饮用水水源地，均为地表水水源</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其中河流型5个，湖库型9个</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，水质达标率为100%，其中，Ⅰ类～Ⅲ类水质比例100%，Ⅰ类～Ⅱ类水质比例75.0%.</w:t>
            </w:r>
          </w:p>
          <w:p w14:paraId="3AFA6C31">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全市54个小流域水质监测断面，Ⅰ类-Ⅲ类水质比例为92.6%。其中，Ⅰ类-Ⅱ类水质比例46.3%，Ⅲ类水质比例43.6%，Ⅳ类水质比例7.4%，无Ⅴ类水质断面；劣Ⅴ类水质比例为0，同比下降1.9个百分点。</w:t>
            </w:r>
          </w:p>
          <w:p w14:paraId="0381C5A7">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因此评价认为项目区域</w:t>
            </w:r>
            <w:r>
              <w:rPr>
                <w:rFonts w:hint="eastAsia" w:cs="Times New Roman"/>
                <w:color w:val="auto"/>
                <w:sz w:val="24"/>
                <w:lang w:val="en-US" w:eastAsia="zh-CN"/>
              </w:rPr>
              <w:t>大澜溪</w:t>
            </w:r>
            <w:r>
              <w:rPr>
                <w:rFonts w:hint="eastAsia" w:ascii="Times New Roman" w:hAnsi="Times New Roman" w:eastAsia="宋体" w:cs="Times New Roman"/>
                <w:color w:val="auto"/>
                <w:sz w:val="24"/>
                <w:lang w:val="en-US" w:eastAsia="zh-CN"/>
              </w:rPr>
              <w:t>水环境质量良好，可以满足《地表水环境质量标准》（GB3838-2002）中Ⅲ类标准。</w:t>
            </w:r>
          </w:p>
          <w:p w14:paraId="0248B1CF">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3.1.3声环境质量现状</w:t>
            </w:r>
          </w:p>
          <w:p w14:paraId="158A5193">
            <w:pPr>
              <w:autoSpaceDE w:val="0"/>
              <w:autoSpaceDN w:val="0"/>
              <w:adjustRightInd w:val="0"/>
              <w:snapToGrid w:val="0"/>
              <w:spacing w:line="360" w:lineRule="auto"/>
              <w:ind w:firstLine="480" w:firstLineChars="200"/>
              <w:jc w:val="left"/>
              <w:textAlignment w:val="baseline"/>
              <w:rPr>
                <w:rFonts w:ascii="Times New Roman" w:hAnsi="Times New Roman"/>
                <w:color w:val="auto"/>
                <w:sz w:val="24"/>
                <w:szCs w:val="24"/>
              </w:rPr>
            </w:pPr>
            <w:r>
              <w:rPr>
                <w:rFonts w:ascii="Times New Roman" w:hAnsi="Times New Roman"/>
                <w:color w:val="auto"/>
                <w:sz w:val="24"/>
                <w:szCs w:val="24"/>
              </w:rPr>
              <w:t>（1）声环境质量标准</w:t>
            </w:r>
          </w:p>
          <w:p w14:paraId="0CFC3B7C">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项目位于</w:t>
            </w:r>
            <w:r>
              <w:rPr>
                <w:rFonts w:ascii="Times New Roman" w:hAnsi="Times New Roman"/>
                <w:color w:val="auto"/>
                <w:sz w:val="24"/>
                <w:szCs w:val="24"/>
              </w:rPr>
              <w:fldChar w:fldCharType="begin"/>
            </w:r>
            <w:r>
              <w:rPr>
                <w:rFonts w:ascii="Times New Roman" w:hAnsi="Times New Roman"/>
                <w:color w:val="auto"/>
                <w:sz w:val="24"/>
                <w:szCs w:val="24"/>
              </w:rPr>
              <w:instrText xml:space="preserve"> REF 建设地点 \h  \* MERGEFORMAT </w:instrText>
            </w:r>
            <w:r>
              <w:rPr>
                <w:rFonts w:ascii="Times New Roman" w:hAnsi="Times New Roman"/>
                <w:color w:val="auto"/>
                <w:sz w:val="24"/>
                <w:szCs w:val="24"/>
              </w:rPr>
              <w:fldChar w:fldCharType="separate"/>
            </w:r>
            <w:r>
              <w:rPr>
                <w:rFonts w:hint="eastAsia"/>
                <w:color w:val="auto"/>
                <w:sz w:val="24"/>
                <w:szCs w:val="24"/>
                <w:lang w:eastAsia="zh-CN"/>
              </w:rPr>
              <w:t>福建省福鼎市前岐镇照澜村罗六36号</w:t>
            </w:r>
            <w:r>
              <w:rPr>
                <w:rFonts w:ascii="Times New Roman" w:hAnsi="Times New Roman"/>
                <w:color w:val="auto"/>
                <w:sz w:val="24"/>
                <w:szCs w:val="24"/>
              </w:rPr>
              <w:fldChar w:fldCharType="end"/>
            </w:r>
            <w:r>
              <w:rPr>
                <w:rFonts w:ascii="Times New Roman" w:hAnsi="Times New Roman"/>
                <w:color w:val="auto"/>
                <w:sz w:val="24"/>
                <w:szCs w:val="24"/>
              </w:rPr>
              <w:t>，区域声环境执行《声环境质量标准》</w:t>
            </w:r>
            <w:r>
              <w:rPr>
                <w:rFonts w:hint="eastAsia"/>
                <w:color w:val="auto"/>
                <w:sz w:val="24"/>
                <w:szCs w:val="24"/>
                <w:lang w:eastAsia="zh-CN"/>
              </w:rPr>
              <w:t>（</w:t>
            </w:r>
            <w:r>
              <w:rPr>
                <w:rFonts w:ascii="Times New Roman" w:hAnsi="Times New Roman"/>
                <w:color w:val="auto"/>
                <w:sz w:val="24"/>
                <w:szCs w:val="24"/>
              </w:rPr>
              <w:t>GB3096-2008</w:t>
            </w:r>
            <w:r>
              <w:rPr>
                <w:rFonts w:hint="eastAsia"/>
                <w:color w:val="auto"/>
                <w:sz w:val="24"/>
                <w:szCs w:val="24"/>
                <w:lang w:eastAsia="zh-CN"/>
              </w:rPr>
              <w:t>）</w:t>
            </w:r>
            <w:r>
              <w:rPr>
                <w:rFonts w:ascii="Times New Roman" w:hAnsi="Times New Roman"/>
                <w:color w:val="auto"/>
                <w:sz w:val="24"/>
                <w:szCs w:val="24"/>
              </w:rPr>
              <w:t>中</w:t>
            </w:r>
            <w:r>
              <w:rPr>
                <w:rFonts w:hint="eastAsia"/>
                <w:color w:val="auto"/>
                <w:sz w:val="24"/>
                <w:szCs w:val="24"/>
                <w:lang w:val="en-US" w:eastAsia="zh-CN"/>
              </w:rPr>
              <w:t>2</w:t>
            </w:r>
            <w:r>
              <w:rPr>
                <w:rFonts w:ascii="Times New Roman" w:hAnsi="Times New Roman"/>
                <w:color w:val="auto"/>
                <w:sz w:val="24"/>
                <w:szCs w:val="24"/>
              </w:rPr>
              <w:t>类区标准</w:t>
            </w:r>
            <w:r>
              <w:rPr>
                <w:rFonts w:ascii="Times New Roman" w:hAnsi="Times New Roman"/>
                <w:bCs/>
                <w:color w:val="auto"/>
                <w:sz w:val="24"/>
                <w:szCs w:val="24"/>
              </w:rPr>
              <w:t>，</w:t>
            </w:r>
            <w:r>
              <w:rPr>
                <w:rFonts w:ascii="Times New Roman" w:hAnsi="Times New Roman"/>
                <w:color w:val="auto"/>
                <w:sz w:val="24"/>
                <w:szCs w:val="24"/>
              </w:rPr>
              <w:t>详见下表：</w:t>
            </w:r>
          </w:p>
          <w:p w14:paraId="4A60C346">
            <w:pPr>
              <w:spacing w:line="360" w:lineRule="auto"/>
              <w:ind w:firstLine="480" w:firstLineChars="200"/>
              <w:rPr>
                <w:rFonts w:ascii="Times New Roman" w:hAnsi="Times New Roman"/>
                <w:color w:val="auto"/>
                <w:sz w:val="24"/>
                <w:szCs w:val="24"/>
              </w:rPr>
            </w:pPr>
          </w:p>
          <w:p w14:paraId="422AB2A9">
            <w:pPr>
              <w:numPr>
                <w:ilvl w:val="0"/>
                <w:numId w:val="8"/>
              </w:numPr>
              <w:spacing w:before="120" w:beforeLines="50"/>
              <w:jc w:val="center"/>
              <w:rPr>
                <w:rFonts w:ascii="Times New Roman" w:hAnsi="Times New Roman"/>
                <w:b/>
                <w:color w:val="auto"/>
                <w:sz w:val="24"/>
                <w:szCs w:val="24"/>
              </w:rPr>
            </w:pPr>
            <w:r>
              <w:rPr>
                <w:rFonts w:ascii="Times New Roman" w:hAnsi="Times New Roman"/>
                <w:b/>
                <w:color w:val="auto"/>
                <w:sz w:val="24"/>
                <w:szCs w:val="24"/>
              </w:rPr>
              <w:t>声环境质量标准</w:t>
            </w:r>
            <w:r>
              <w:rPr>
                <w:rFonts w:hint="eastAsia"/>
                <w:b/>
                <w:color w:val="auto"/>
                <w:sz w:val="24"/>
                <w:szCs w:val="24"/>
                <w:lang w:eastAsia="zh-CN"/>
              </w:rPr>
              <w:t>（</w:t>
            </w:r>
            <w:r>
              <w:rPr>
                <w:rFonts w:ascii="Times New Roman" w:hAnsi="Times New Roman"/>
                <w:b/>
                <w:color w:val="auto"/>
                <w:sz w:val="24"/>
                <w:szCs w:val="24"/>
              </w:rPr>
              <w:t>GB3096-2008</w:t>
            </w:r>
            <w:r>
              <w:rPr>
                <w:rFonts w:hint="eastAsia"/>
                <w:b/>
                <w:color w:val="auto"/>
                <w:sz w:val="24"/>
                <w:szCs w:val="24"/>
                <w:lang w:eastAsia="zh-CN"/>
              </w:rPr>
              <w:t>）</w:t>
            </w:r>
            <w:r>
              <w:rPr>
                <w:rFonts w:ascii="Times New Roman" w:hAnsi="Times New Roman"/>
                <w:b/>
                <w:color w:val="auto"/>
                <w:sz w:val="24"/>
                <w:szCs w:val="24"/>
              </w:rPr>
              <w:t xml:space="preserve">  单位：dB（A）</w:t>
            </w:r>
          </w:p>
          <w:tbl>
            <w:tblPr>
              <w:tblStyle w:val="29"/>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90"/>
              <w:gridCol w:w="1483"/>
              <w:gridCol w:w="1787"/>
              <w:gridCol w:w="2119"/>
            </w:tblGrid>
            <w:tr w14:paraId="36AE9B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98" w:type="dxa"/>
                  <w:tcBorders>
                    <w:tl2br w:val="nil"/>
                    <w:tr2bl w:val="nil"/>
                  </w:tcBorders>
                  <w:noWrap w:val="0"/>
                  <w:vAlign w:val="center"/>
                </w:tcPr>
                <w:p w14:paraId="2BFE3F18">
                  <w:pPr>
                    <w:jc w:val="center"/>
                    <w:rPr>
                      <w:rFonts w:hint="default" w:ascii="Times New Roman" w:hAnsi="Times New Roman" w:cs="Times New Roman"/>
                      <w:color w:val="auto"/>
                      <w:szCs w:val="21"/>
                    </w:rPr>
                  </w:pPr>
                  <w:r>
                    <w:rPr>
                      <w:rFonts w:hint="default" w:ascii="Times New Roman" w:hAnsi="Times New Roman" w:cs="Times New Roman"/>
                      <w:color w:val="auto"/>
                      <w:szCs w:val="21"/>
                    </w:rPr>
                    <w:t>执行标准</w:t>
                  </w:r>
                </w:p>
              </w:tc>
              <w:tc>
                <w:tcPr>
                  <w:tcW w:w="5419" w:type="dxa"/>
                  <w:gridSpan w:val="3"/>
                  <w:tcBorders>
                    <w:tl2br w:val="nil"/>
                    <w:tr2bl w:val="nil"/>
                  </w:tcBorders>
                  <w:noWrap w:val="0"/>
                  <w:vAlign w:val="center"/>
                </w:tcPr>
                <w:p w14:paraId="1AB2F6F2">
                  <w:pPr>
                    <w:jc w:val="center"/>
                    <w:rPr>
                      <w:rFonts w:hint="default" w:ascii="Times New Roman" w:hAnsi="Times New Roman" w:cs="Times New Roman"/>
                      <w:color w:val="auto"/>
                      <w:szCs w:val="21"/>
                    </w:rPr>
                  </w:pPr>
                  <w:r>
                    <w:rPr>
                      <w:rFonts w:hint="default" w:ascii="Times New Roman" w:hAnsi="Times New Roman" w:cs="Times New Roman"/>
                      <w:color w:val="auto"/>
                      <w:szCs w:val="21"/>
                    </w:rPr>
                    <w:t>标准限值</w:t>
                  </w:r>
                </w:p>
              </w:tc>
            </w:tr>
            <w:tr w14:paraId="195E3A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98" w:type="dxa"/>
                  <w:vMerge w:val="restart"/>
                  <w:tcBorders>
                    <w:tl2br w:val="nil"/>
                    <w:tr2bl w:val="nil"/>
                  </w:tcBorders>
                  <w:noWrap w:val="0"/>
                  <w:vAlign w:val="center"/>
                </w:tcPr>
                <w:p w14:paraId="341694D3">
                  <w:pPr>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《声环境质量标准》（GB3096-2008）</w:t>
                  </w:r>
                </w:p>
              </w:tc>
              <w:tc>
                <w:tcPr>
                  <w:tcW w:w="1491" w:type="dxa"/>
                  <w:vMerge w:val="restart"/>
                  <w:tcBorders>
                    <w:tl2br w:val="nil"/>
                    <w:tr2bl w:val="nil"/>
                  </w:tcBorders>
                  <w:noWrap w:val="0"/>
                  <w:vAlign w:val="center"/>
                </w:tcPr>
                <w:p w14:paraId="19F76171">
                  <w:pPr>
                    <w:jc w:val="center"/>
                    <w:rPr>
                      <w:rFonts w:hint="default" w:ascii="Times New Roman" w:hAnsi="Times New Roman" w:cs="Times New Roman"/>
                      <w:color w:val="auto"/>
                      <w:szCs w:val="21"/>
                    </w:rPr>
                  </w:pPr>
                  <w:r>
                    <w:rPr>
                      <w:rFonts w:hint="eastAsia" w:cs="Times New Roman"/>
                      <w:color w:val="auto"/>
                      <w:szCs w:val="21"/>
                      <w:lang w:val="en-US" w:eastAsia="zh-CN"/>
                    </w:rPr>
                    <w:t>2</w:t>
                  </w:r>
                  <w:r>
                    <w:rPr>
                      <w:rFonts w:hint="default" w:ascii="Times New Roman" w:hAnsi="Times New Roman" w:cs="Times New Roman"/>
                      <w:color w:val="auto"/>
                      <w:szCs w:val="21"/>
                    </w:rPr>
                    <w:t>类</w:t>
                  </w:r>
                </w:p>
              </w:tc>
              <w:tc>
                <w:tcPr>
                  <w:tcW w:w="1797" w:type="dxa"/>
                  <w:tcBorders>
                    <w:tl2br w:val="nil"/>
                    <w:tr2bl w:val="nil"/>
                  </w:tcBorders>
                  <w:noWrap w:val="0"/>
                  <w:vAlign w:val="center"/>
                </w:tcPr>
                <w:p w14:paraId="6A999927">
                  <w:pPr>
                    <w:jc w:val="center"/>
                    <w:rPr>
                      <w:rFonts w:hint="default" w:ascii="Times New Roman" w:hAnsi="Times New Roman" w:cs="Times New Roman"/>
                      <w:color w:val="auto"/>
                      <w:szCs w:val="21"/>
                    </w:rPr>
                  </w:pPr>
                  <w:r>
                    <w:rPr>
                      <w:rFonts w:hint="default" w:ascii="Times New Roman" w:hAnsi="Times New Roman" w:cs="Times New Roman"/>
                      <w:color w:val="auto"/>
                      <w:szCs w:val="21"/>
                    </w:rPr>
                    <w:t>昼间</w:t>
                  </w:r>
                </w:p>
              </w:tc>
              <w:tc>
                <w:tcPr>
                  <w:tcW w:w="2131" w:type="dxa"/>
                  <w:tcBorders>
                    <w:tl2br w:val="nil"/>
                    <w:tr2bl w:val="nil"/>
                  </w:tcBorders>
                  <w:noWrap w:val="0"/>
                  <w:vAlign w:val="center"/>
                </w:tcPr>
                <w:p w14:paraId="1D305B7A">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60</w:t>
                  </w:r>
                </w:p>
              </w:tc>
            </w:tr>
            <w:tr w14:paraId="194BF6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98" w:type="dxa"/>
                  <w:vMerge w:val="continue"/>
                  <w:tcBorders>
                    <w:tl2br w:val="nil"/>
                    <w:tr2bl w:val="nil"/>
                  </w:tcBorders>
                  <w:noWrap w:val="0"/>
                  <w:vAlign w:val="center"/>
                </w:tcPr>
                <w:p w14:paraId="4C1452F6">
                  <w:pPr>
                    <w:jc w:val="center"/>
                    <w:rPr>
                      <w:rFonts w:hint="default" w:ascii="Times New Roman" w:hAnsi="Times New Roman" w:cs="Times New Roman"/>
                      <w:color w:val="auto"/>
                      <w:szCs w:val="21"/>
                    </w:rPr>
                  </w:pPr>
                </w:p>
              </w:tc>
              <w:tc>
                <w:tcPr>
                  <w:tcW w:w="1491" w:type="dxa"/>
                  <w:vMerge w:val="continue"/>
                  <w:tcBorders>
                    <w:tl2br w:val="nil"/>
                    <w:tr2bl w:val="nil"/>
                  </w:tcBorders>
                  <w:noWrap w:val="0"/>
                  <w:vAlign w:val="center"/>
                </w:tcPr>
                <w:p w14:paraId="25DEBA63">
                  <w:pPr>
                    <w:jc w:val="center"/>
                    <w:rPr>
                      <w:rFonts w:hint="default" w:ascii="Times New Roman" w:hAnsi="Times New Roman" w:cs="Times New Roman"/>
                      <w:color w:val="auto"/>
                      <w:szCs w:val="21"/>
                    </w:rPr>
                  </w:pPr>
                </w:p>
              </w:tc>
              <w:tc>
                <w:tcPr>
                  <w:tcW w:w="1797" w:type="dxa"/>
                  <w:tcBorders>
                    <w:tl2br w:val="nil"/>
                    <w:tr2bl w:val="nil"/>
                  </w:tcBorders>
                  <w:noWrap w:val="0"/>
                  <w:vAlign w:val="center"/>
                </w:tcPr>
                <w:p w14:paraId="40545B09">
                  <w:pPr>
                    <w:jc w:val="center"/>
                    <w:rPr>
                      <w:rFonts w:hint="default" w:ascii="Times New Roman" w:hAnsi="Times New Roman" w:cs="Times New Roman"/>
                      <w:color w:val="auto"/>
                      <w:szCs w:val="21"/>
                    </w:rPr>
                  </w:pPr>
                  <w:r>
                    <w:rPr>
                      <w:rFonts w:hint="default" w:ascii="Times New Roman" w:hAnsi="Times New Roman" w:cs="Times New Roman"/>
                      <w:color w:val="auto"/>
                      <w:szCs w:val="21"/>
                    </w:rPr>
                    <w:t>夜间</w:t>
                  </w:r>
                </w:p>
              </w:tc>
              <w:tc>
                <w:tcPr>
                  <w:tcW w:w="2131" w:type="dxa"/>
                  <w:tcBorders>
                    <w:tl2br w:val="nil"/>
                    <w:tr2bl w:val="nil"/>
                  </w:tcBorders>
                  <w:noWrap w:val="0"/>
                  <w:vAlign w:val="center"/>
                </w:tcPr>
                <w:p w14:paraId="63717A73">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50</w:t>
                  </w:r>
                </w:p>
              </w:tc>
            </w:tr>
          </w:tbl>
          <w:p w14:paraId="1E709D72">
            <w:pPr>
              <w:autoSpaceDE w:val="0"/>
              <w:autoSpaceDN w:val="0"/>
              <w:adjustRightInd w:val="0"/>
              <w:snapToGrid w:val="0"/>
              <w:spacing w:line="360" w:lineRule="auto"/>
              <w:ind w:firstLine="480" w:firstLineChars="200"/>
              <w:textAlignment w:val="baseline"/>
              <w:rPr>
                <w:rFonts w:ascii="Times New Roman" w:hAnsi="Times New Roman"/>
                <w:color w:val="auto"/>
                <w:kern w:val="0"/>
                <w:sz w:val="24"/>
                <w:szCs w:val="24"/>
              </w:rPr>
            </w:pPr>
            <w:r>
              <w:rPr>
                <w:rFonts w:ascii="Times New Roman" w:hAnsi="Times New Roman"/>
                <w:color w:val="auto"/>
                <w:kern w:val="0"/>
                <w:sz w:val="24"/>
                <w:szCs w:val="24"/>
              </w:rPr>
              <w:t>（2）声环境质量现状</w:t>
            </w:r>
          </w:p>
          <w:p w14:paraId="1A119CEF">
            <w:pPr>
              <w:pStyle w:val="157"/>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color w:val="auto"/>
              </w:rPr>
            </w:pPr>
            <w:r>
              <w:rPr>
                <w:rFonts w:hint="eastAsia"/>
                <w:color w:val="auto"/>
              </w:rPr>
              <w:t>根据生态环境部环境工程评估中心“《建设项目环境影响报告表》内容、格式及编制技术指南常见问题解答”：“厂界外周边50米范围内存在声环境保护目标的建设项目，应监测声环境质量现状，监测点位为声环境保护目标处。厂界外周边50米范围内无声环境保护目标的建设项目，不再要求提供声环境质量现状监测数据。”</w:t>
            </w:r>
          </w:p>
          <w:p w14:paraId="61261DA2">
            <w:pPr>
              <w:pStyle w:val="153"/>
              <w:keepNext w:val="0"/>
              <w:keepLines w:val="0"/>
              <w:pageBreakBefore w:val="0"/>
              <w:widowControl w:val="0"/>
              <w:kinsoku/>
              <w:wordWrap/>
              <w:overflowPunct/>
              <w:topLinePunct w:val="0"/>
              <w:autoSpaceDE/>
              <w:autoSpaceDN/>
              <w:bidi w:val="0"/>
              <w:adjustRightInd/>
              <w:snapToGrid/>
              <w:ind w:firstLine="480"/>
              <w:textAlignment w:val="auto"/>
              <w:rPr>
                <w:rFonts w:hint="eastAsia"/>
                <w:color w:val="auto"/>
              </w:rPr>
            </w:pPr>
            <w:r>
              <w:rPr>
                <w:rFonts w:hint="eastAsia"/>
                <w:color w:val="auto"/>
              </w:rPr>
              <w:t>根据现场踏勘可知，项目周边50米范围内无声环境保护目标，可不进行声环境质量现状的监测。</w:t>
            </w:r>
          </w:p>
          <w:p w14:paraId="1A7D28BB">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3.1.4生态环境质量现状</w:t>
            </w:r>
          </w:p>
          <w:p w14:paraId="154D63AD">
            <w:pPr>
              <w:autoSpaceDE w:val="0"/>
              <w:autoSpaceDN w:val="0"/>
              <w:adjustRightInd w:val="0"/>
              <w:snapToGrid w:val="0"/>
              <w:spacing w:line="360" w:lineRule="auto"/>
              <w:ind w:firstLine="480" w:firstLineChars="200"/>
              <w:textAlignment w:val="baseline"/>
              <w:rPr>
                <w:rFonts w:ascii="Times New Roman" w:hAnsi="Times New Roman"/>
                <w:color w:val="auto"/>
                <w:kern w:val="0"/>
                <w:sz w:val="24"/>
                <w:szCs w:val="24"/>
              </w:rPr>
            </w:pPr>
            <w:r>
              <w:rPr>
                <w:rFonts w:ascii="Times New Roman" w:hAnsi="Times New Roman"/>
                <w:color w:val="auto"/>
                <w:kern w:val="0"/>
                <w:sz w:val="24"/>
                <w:szCs w:val="24"/>
              </w:rPr>
              <w:t>项目位于</w:t>
            </w:r>
            <w:r>
              <w:rPr>
                <w:rFonts w:ascii="Times New Roman" w:hAnsi="Times New Roman"/>
                <w:color w:val="auto"/>
                <w:sz w:val="24"/>
                <w:szCs w:val="24"/>
              </w:rPr>
              <w:fldChar w:fldCharType="begin"/>
            </w:r>
            <w:r>
              <w:rPr>
                <w:rFonts w:ascii="Times New Roman" w:hAnsi="Times New Roman"/>
                <w:color w:val="auto"/>
                <w:sz w:val="24"/>
                <w:szCs w:val="24"/>
              </w:rPr>
              <w:instrText xml:space="preserve"> REF 建设地点 \h  \* MERGEFORMAT </w:instrText>
            </w:r>
            <w:r>
              <w:rPr>
                <w:rFonts w:ascii="Times New Roman" w:hAnsi="Times New Roman"/>
                <w:color w:val="auto"/>
                <w:sz w:val="24"/>
                <w:szCs w:val="24"/>
              </w:rPr>
              <w:fldChar w:fldCharType="separate"/>
            </w:r>
            <w:r>
              <w:rPr>
                <w:rFonts w:hint="eastAsia"/>
                <w:color w:val="auto"/>
                <w:sz w:val="24"/>
                <w:szCs w:val="24"/>
                <w:lang w:eastAsia="zh-CN"/>
              </w:rPr>
              <w:t>福建省福鼎市前岐镇照澜村罗六36号</w:t>
            </w:r>
            <w:r>
              <w:rPr>
                <w:rFonts w:ascii="Times New Roman" w:hAnsi="Times New Roman"/>
                <w:color w:val="auto"/>
                <w:sz w:val="24"/>
                <w:szCs w:val="24"/>
              </w:rPr>
              <w:fldChar w:fldCharType="end"/>
            </w:r>
            <w:r>
              <w:rPr>
                <w:rFonts w:ascii="Times New Roman" w:hAnsi="Times New Roman"/>
                <w:color w:val="auto"/>
                <w:kern w:val="0"/>
                <w:sz w:val="24"/>
                <w:szCs w:val="24"/>
              </w:rPr>
              <w:t>，且项目周边没有生态保护目标，因此，项目不对生态现状进行评价。</w:t>
            </w:r>
          </w:p>
          <w:p w14:paraId="6F6886D0">
            <w:pPr>
              <w:spacing w:before="120" w:beforeLines="50" w:line="360" w:lineRule="auto"/>
              <w:jc w:val="left"/>
              <w:outlineLvl w:val="2"/>
              <w:rPr>
                <w:rFonts w:hint="eastAsia" w:ascii="Times New Roman" w:hAnsi="Times New Roman" w:eastAsia="宋体" w:cs="Times New Roman"/>
                <w:b/>
                <w:color w:val="auto"/>
                <w:sz w:val="24"/>
                <w:szCs w:val="24"/>
                <w:lang w:val="zh-CN"/>
              </w:rPr>
            </w:pPr>
            <w:r>
              <w:rPr>
                <w:rFonts w:ascii="Times New Roman" w:hAnsi="Times New Roman" w:eastAsia="宋体" w:cs="Times New Roman"/>
                <w:b/>
                <w:color w:val="auto"/>
                <w:sz w:val="24"/>
                <w:szCs w:val="24"/>
                <w:lang w:val="zh-CN"/>
              </w:rPr>
              <w:t>3.</w:t>
            </w:r>
            <w:r>
              <w:rPr>
                <w:rFonts w:hint="eastAsia" w:ascii="Times New Roman" w:hAnsi="Times New Roman" w:eastAsia="宋体" w:cs="Times New Roman"/>
                <w:b/>
                <w:color w:val="auto"/>
                <w:sz w:val="24"/>
                <w:szCs w:val="24"/>
                <w:lang w:val="zh-CN"/>
              </w:rPr>
              <w:t>1.</w:t>
            </w:r>
            <w:r>
              <w:rPr>
                <w:rFonts w:hint="eastAsia" w:ascii="Times New Roman" w:hAnsi="Times New Roman" w:eastAsia="宋体" w:cs="Times New Roman"/>
                <w:b/>
                <w:color w:val="auto"/>
                <w:sz w:val="24"/>
                <w:szCs w:val="24"/>
                <w:lang w:val="en-US" w:eastAsia="zh-CN"/>
              </w:rPr>
              <w:t>5</w:t>
            </w:r>
            <w:r>
              <w:rPr>
                <w:rFonts w:ascii="Times New Roman" w:hAnsi="Times New Roman" w:eastAsia="宋体" w:cs="Times New Roman"/>
                <w:b/>
                <w:color w:val="auto"/>
                <w:sz w:val="24"/>
                <w:szCs w:val="24"/>
                <w:lang w:val="zh-CN"/>
              </w:rPr>
              <w:t xml:space="preserve">  </w:t>
            </w:r>
            <w:r>
              <w:rPr>
                <w:rFonts w:hint="eastAsia" w:ascii="Times New Roman" w:hAnsi="Times New Roman" w:eastAsia="宋体" w:cs="Times New Roman"/>
                <w:b/>
                <w:color w:val="auto"/>
                <w:sz w:val="24"/>
                <w:szCs w:val="24"/>
                <w:lang w:val="zh-CN"/>
              </w:rPr>
              <w:t>地下水、土壤现状调查与评价</w:t>
            </w:r>
          </w:p>
          <w:p w14:paraId="19F40892">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szCs w:val="22"/>
                <w:lang w:val="en-US" w:eastAsia="zh-CN"/>
              </w:rPr>
            </w:pPr>
            <w:r>
              <w:rPr>
                <w:rFonts w:ascii="Times New Roman" w:hAnsi="Times New Roman" w:eastAsia="宋体" w:cs="Times New Roman"/>
                <w:color w:val="auto"/>
                <w:kern w:val="0"/>
                <w:sz w:val="24"/>
                <w:szCs w:val="22"/>
                <w:lang w:val="en-US" w:eastAsia="zh-CN"/>
              </w:rPr>
              <w:t>根据《建设项目环境影响报告表编制技术指南</w:t>
            </w:r>
            <w:r>
              <w:rPr>
                <w:rFonts w:hint="eastAsia" w:ascii="Times New Roman" w:hAnsi="Times New Roman" w:eastAsia="宋体" w:cs="Times New Roman"/>
                <w:color w:val="auto"/>
                <w:kern w:val="0"/>
                <w:sz w:val="24"/>
                <w:szCs w:val="22"/>
                <w:lang w:val="en-US" w:eastAsia="zh-CN"/>
              </w:rPr>
              <w:t>（</w:t>
            </w:r>
            <w:r>
              <w:rPr>
                <w:rFonts w:ascii="Times New Roman" w:hAnsi="Times New Roman" w:eastAsia="宋体" w:cs="Times New Roman"/>
                <w:color w:val="auto"/>
                <w:kern w:val="0"/>
                <w:sz w:val="24"/>
                <w:szCs w:val="22"/>
                <w:lang w:val="en-US" w:eastAsia="zh-CN"/>
              </w:rPr>
              <w:t>污染影响类</w:t>
            </w:r>
            <w:r>
              <w:rPr>
                <w:rFonts w:hint="eastAsia" w:ascii="Times New Roman" w:hAnsi="Times New Roman" w:eastAsia="宋体" w:cs="Times New Roman"/>
                <w:color w:val="auto"/>
                <w:kern w:val="0"/>
                <w:sz w:val="24"/>
                <w:szCs w:val="22"/>
                <w:lang w:val="en-US" w:eastAsia="zh-CN"/>
              </w:rPr>
              <w:t>）（</w:t>
            </w:r>
            <w:r>
              <w:rPr>
                <w:rFonts w:ascii="Times New Roman" w:hAnsi="Times New Roman" w:eastAsia="宋体" w:cs="Times New Roman"/>
                <w:color w:val="auto"/>
                <w:kern w:val="0"/>
                <w:sz w:val="24"/>
                <w:szCs w:val="22"/>
                <w:lang w:val="en-US" w:eastAsia="zh-CN"/>
              </w:rPr>
              <w:t>试行</w:t>
            </w:r>
            <w:r>
              <w:rPr>
                <w:rFonts w:hint="eastAsia" w:ascii="Times New Roman" w:hAnsi="Times New Roman" w:eastAsia="宋体" w:cs="Times New Roman"/>
                <w:color w:val="auto"/>
                <w:kern w:val="0"/>
                <w:sz w:val="24"/>
                <w:szCs w:val="22"/>
                <w:lang w:val="en-US" w:eastAsia="zh-CN"/>
              </w:rPr>
              <w:t>）</w:t>
            </w:r>
            <w:r>
              <w:rPr>
                <w:rFonts w:ascii="Times New Roman" w:hAnsi="Times New Roman" w:eastAsia="宋体" w:cs="Times New Roman"/>
                <w:color w:val="auto"/>
                <w:kern w:val="0"/>
                <w:sz w:val="24"/>
                <w:szCs w:val="22"/>
                <w:lang w:val="en-US" w:eastAsia="zh-CN"/>
              </w:rPr>
              <w:t>》， 地下水、土壤环境原则上不开展环境质量现状调查，且本项目不存在土壤、地下水环境污染途径，此次评价不开展土壤及地下水环境质量现状调查。</w:t>
            </w:r>
          </w:p>
          <w:p w14:paraId="2EA40EAA">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szCs w:val="22"/>
                <w:lang w:val="en-US" w:eastAsia="zh-CN"/>
              </w:rPr>
            </w:pPr>
          </w:p>
          <w:p w14:paraId="690FA875">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szCs w:val="22"/>
                <w:lang w:val="en-US" w:eastAsia="zh-CN"/>
              </w:rPr>
            </w:pPr>
          </w:p>
          <w:p w14:paraId="0B197017">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szCs w:val="22"/>
                <w:lang w:val="en-US" w:eastAsia="zh-CN"/>
              </w:rPr>
            </w:pPr>
          </w:p>
          <w:p w14:paraId="0E4FB88B">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szCs w:val="22"/>
                <w:lang w:val="en-US" w:eastAsia="zh-CN"/>
              </w:rPr>
            </w:pPr>
          </w:p>
          <w:p w14:paraId="092358D5">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szCs w:val="22"/>
                <w:lang w:val="en-US" w:eastAsia="zh-CN"/>
              </w:rPr>
            </w:pPr>
          </w:p>
          <w:p w14:paraId="631EBBB4">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szCs w:val="22"/>
                <w:lang w:val="en-US" w:eastAsia="zh-CN"/>
              </w:rPr>
            </w:pPr>
          </w:p>
          <w:p w14:paraId="72D061F3">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szCs w:val="22"/>
                <w:lang w:val="en-US" w:eastAsia="zh-CN"/>
              </w:rPr>
            </w:pPr>
          </w:p>
          <w:p w14:paraId="0E77D23A">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szCs w:val="22"/>
                <w:lang w:val="en-US" w:eastAsia="zh-CN"/>
              </w:rPr>
            </w:pPr>
          </w:p>
        </w:tc>
      </w:tr>
      <w:tr w14:paraId="1A19A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17" w:type="dxa"/>
            <w:noWrap w:val="0"/>
            <w:vAlign w:val="center"/>
          </w:tcPr>
          <w:p w14:paraId="327EB055">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环境</w:t>
            </w:r>
          </w:p>
          <w:p w14:paraId="47FFCE53">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保护</w:t>
            </w:r>
          </w:p>
          <w:p w14:paraId="0EAE961C">
            <w:pPr>
              <w:adjustRightInd w:val="0"/>
              <w:snapToGrid w:val="0"/>
              <w:jc w:val="center"/>
              <w:rPr>
                <w:rFonts w:ascii="Times New Roman" w:hAnsi="Times New Roman"/>
                <w:color w:val="auto"/>
                <w:kern w:val="0"/>
                <w:szCs w:val="21"/>
              </w:rPr>
            </w:pPr>
            <w:r>
              <w:rPr>
                <w:rFonts w:ascii="Times New Roman" w:hAnsi="Times New Roman"/>
                <w:color w:val="auto"/>
                <w:kern w:val="0"/>
                <w:sz w:val="24"/>
                <w:szCs w:val="24"/>
              </w:rPr>
              <w:t>目标</w:t>
            </w:r>
          </w:p>
        </w:tc>
        <w:tc>
          <w:tcPr>
            <w:tcW w:w="8244" w:type="dxa"/>
            <w:noWrap w:val="0"/>
            <w:vAlign w:val="center"/>
          </w:tcPr>
          <w:p w14:paraId="7B62F661">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3.2环境保护目标</w:t>
            </w:r>
          </w:p>
          <w:p w14:paraId="67D3B270">
            <w:pPr>
              <w:adjustRightInd w:val="0"/>
              <w:snapToGrid w:val="0"/>
              <w:spacing w:line="360" w:lineRule="auto"/>
              <w:ind w:firstLine="480" w:firstLineChars="200"/>
              <w:jc w:val="left"/>
              <w:rPr>
                <w:rFonts w:ascii="Times New Roman" w:hAnsi="Times New Roman"/>
                <w:color w:val="auto"/>
                <w:kern w:val="0"/>
                <w:sz w:val="24"/>
                <w:szCs w:val="24"/>
              </w:rPr>
            </w:pPr>
            <w:r>
              <w:rPr>
                <w:rFonts w:ascii="Times New Roman" w:hAnsi="Times New Roman"/>
                <w:color w:val="auto"/>
                <w:kern w:val="0"/>
                <w:sz w:val="24"/>
                <w:szCs w:val="24"/>
              </w:rPr>
              <w:t>项目环境保护目标详见下表：</w:t>
            </w:r>
          </w:p>
          <w:p w14:paraId="483A11AA">
            <w:pPr>
              <w:numPr>
                <w:ilvl w:val="0"/>
                <w:numId w:val="8"/>
              </w:numPr>
              <w:jc w:val="center"/>
              <w:rPr>
                <w:rFonts w:ascii="Times New Roman" w:hAnsi="Times New Roman"/>
                <w:b/>
                <w:color w:val="auto"/>
                <w:sz w:val="24"/>
                <w:szCs w:val="24"/>
              </w:rPr>
            </w:pPr>
            <w:bookmarkStart w:id="15" w:name="_Ref496021953"/>
            <w:r>
              <w:rPr>
                <w:rFonts w:ascii="Times New Roman" w:hAnsi="Times New Roman"/>
                <w:b/>
                <w:color w:val="auto"/>
                <w:sz w:val="24"/>
                <w:szCs w:val="24"/>
              </w:rPr>
              <w:t>项目敏感目标情况表</w:t>
            </w:r>
            <w:bookmarkEnd w:id="15"/>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96"/>
              <w:gridCol w:w="1153"/>
              <w:gridCol w:w="681"/>
              <w:gridCol w:w="800"/>
              <w:gridCol w:w="1943"/>
              <w:gridCol w:w="2406"/>
            </w:tblGrid>
            <w:tr w14:paraId="592252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pct"/>
                  <w:tcBorders>
                    <w:tl2br w:val="nil"/>
                    <w:tr2bl w:val="nil"/>
                  </w:tcBorders>
                  <w:noWrap w:val="0"/>
                  <w:vAlign w:val="center"/>
                </w:tcPr>
                <w:p w14:paraId="06E9ECF6">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环境要素</w:t>
                  </w:r>
                </w:p>
              </w:tc>
              <w:tc>
                <w:tcPr>
                  <w:tcW w:w="715" w:type="pct"/>
                  <w:tcBorders>
                    <w:tl2br w:val="nil"/>
                    <w:tr2bl w:val="nil"/>
                  </w:tcBorders>
                  <w:noWrap w:val="0"/>
                  <w:vAlign w:val="center"/>
                </w:tcPr>
                <w:p w14:paraId="409CD9A9">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环境保护</w:t>
                  </w:r>
                </w:p>
                <w:p w14:paraId="279C2916">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目标</w:t>
                  </w:r>
                </w:p>
              </w:tc>
              <w:tc>
                <w:tcPr>
                  <w:tcW w:w="429" w:type="pct"/>
                  <w:tcBorders>
                    <w:tl2br w:val="nil"/>
                    <w:tr2bl w:val="nil"/>
                  </w:tcBorders>
                  <w:noWrap w:val="0"/>
                  <w:vAlign w:val="center"/>
                </w:tcPr>
                <w:p w14:paraId="36C4EBF6">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相对位置</w:t>
                  </w:r>
                </w:p>
              </w:tc>
              <w:tc>
                <w:tcPr>
                  <w:tcW w:w="392" w:type="pct"/>
                  <w:tcBorders>
                    <w:tl2br w:val="nil"/>
                    <w:tr2bl w:val="nil"/>
                  </w:tcBorders>
                  <w:noWrap w:val="0"/>
                  <w:vAlign w:val="center"/>
                </w:tcPr>
                <w:p w14:paraId="1230CB74">
                  <w:pPr>
                    <w:tabs>
                      <w:tab w:val="center" w:pos="4153"/>
                      <w:tab w:val="right" w:pos="8306"/>
                    </w:tabs>
                    <w:suppressAutoHyphens/>
                    <w:snapToGrid w:val="0"/>
                    <w:jc w:val="center"/>
                    <w:rPr>
                      <w:rFonts w:hint="eastAsia" w:ascii="Times New Roman" w:hAnsi="Times New Roman" w:eastAsia="宋体"/>
                      <w:color w:val="auto"/>
                      <w:szCs w:val="21"/>
                      <w:lang w:eastAsia="zh-CN"/>
                    </w:rPr>
                  </w:pPr>
                  <w:r>
                    <w:rPr>
                      <w:rFonts w:ascii="Times New Roman" w:hAnsi="Times New Roman"/>
                      <w:color w:val="auto"/>
                      <w:szCs w:val="21"/>
                    </w:rPr>
                    <w:t>距离</w:t>
                  </w:r>
                  <w:r>
                    <w:rPr>
                      <w:rFonts w:hint="eastAsia"/>
                      <w:color w:val="auto"/>
                      <w:szCs w:val="21"/>
                      <w:lang w:eastAsia="zh-CN"/>
                    </w:rPr>
                    <w:t>（</w:t>
                  </w:r>
                  <w:r>
                    <w:rPr>
                      <w:rFonts w:hint="eastAsia"/>
                      <w:color w:val="auto"/>
                      <w:szCs w:val="21"/>
                      <w:lang w:val="en-US" w:eastAsia="zh-CN"/>
                    </w:rPr>
                    <w:t>m</w:t>
                  </w:r>
                  <w:r>
                    <w:rPr>
                      <w:rFonts w:hint="eastAsia"/>
                      <w:color w:val="auto"/>
                      <w:szCs w:val="21"/>
                      <w:lang w:eastAsia="zh-CN"/>
                    </w:rPr>
                    <w:t>）</w:t>
                  </w:r>
                </w:p>
              </w:tc>
              <w:tc>
                <w:tcPr>
                  <w:tcW w:w="1191" w:type="pct"/>
                  <w:tcBorders>
                    <w:tl2br w:val="nil"/>
                    <w:tr2bl w:val="nil"/>
                  </w:tcBorders>
                  <w:noWrap w:val="0"/>
                  <w:vAlign w:val="center"/>
                </w:tcPr>
                <w:p w14:paraId="00755914">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规模</w:t>
                  </w:r>
                </w:p>
              </w:tc>
              <w:tc>
                <w:tcPr>
                  <w:tcW w:w="1470" w:type="pct"/>
                  <w:tcBorders>
                    <w:tl2br w:val="nil"/>
                    <w:tr2bl w:val="nil"/>
                  </w:tcBorders>
                  <w:noWrap w:val="0"/>
                  <w:vAlign w:val="center"/>
                </w:tcPr>
                <w:p w14:paraId="26736B70">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保护级别</w:t>
                  </w:r>
                </w:p>
              </w:tc>
            </w:tr>
            <w:tr w14:paraId="7193DE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pct"/>
                  <w:vMerge w:val="restart"/>
                  <w:tcBorders>
                    <w:tl2br w:val="nil"/>
                    <w:tr2bl w:val="nil"/>
                  </w:tcBorders>
                  <w:noWrap w:val="0"/>
                  <w:vAlign w:val="center"/>
                </w:tcPr>
                <w:p w14:paraId="56256111">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大气环境</w:t>
                  </w:r>
                </w:p>
              </w:tc>
              <w:tc>
                <w:tcPr>
                  <w:tcW w:w="715" w:type="pct"/>
                  <w:tcBorders>
                    <w:tl2br w:val="nil"/>
                    <w:tr2bl w:val="nil"/>
                  </w:tcBorders>
                  <w:shd w:val="clear" w:color="auto" w:fill="auto"/>
                  <w:noWrap w:val="0"/>
                  <w:vAlign w:val="center"/>
                </w:tcPr>
                <w:p w14:paraId="3D3482AC">
                  <w:pPr>
                    <w:pStyle w:val="242"/>
                    <w:rPr>
                      <w:rFonts w:hint="default" w:ascii="Times New Roman" w:hAnsi="Times New Roman" w:eastAsia="宋体" w:cs="Times New Roman"/>
                      <w:iCs/>
                      <w:color w:val="auto"/>
                      <w:sz w:val="21"/>
                      <w:szCs w:val="21"/>
                      <w:lang w:val="en-US" w:eastAsia="zh-CN" w:bidi="ar-SA"/>
                    </w:rPr>
                  </w:pPr>
                  <w:r>
                    <w:rPr>
                      <w:rFonts w:hint="eastAsia" w:cs="Times New Roman"/>
                      <w:iCs/>
                      <w:color w:val="auto"/>
                      <w:sz w:val="21"/>
                      <w:szCs w:val="21"/>
                      <w:lang w:val="en-US" w:eastAsia="zh-CN" w:bidi="ar-SA"/>
                    </w:rPr>
                    <w:t>周边零散居民</w:t>
                  </w:r>
                </w:p>
              </w:tc>
              <w:tc>
                <w:tcPr>
                  <w:tcW w:w="429" w:type="pct"/>
                  <w:tcBorders>
                    <w:tl2br w:val="nil"/>
                    <w:tr2bl w:val="nil"/>
                  </w:tcBorders>
                  <w:shd w:val="clear" w:color="auto" w:fill="auto"/>
                  <w:noWrap w:val="0"/>
                  <w:vAlign w:val="center"/>
                </w:tcPr>
                <w:p w14:paraId="4F8DC6E0">
                  <w:pPr>
                    <w:pStyle w:val="242"/>
                    <w:rPr>
                      <w:rFonts w:hint="default" w:ascii="Times New Roman" w:hAnsi="Times New Roman" w:eastAsia="宋体" w:cs="Times New Roman"/>
                      <w:iCs/>
                      <w:color w:val="auto"/>
                      <w:sz w:val="21"/>
                      <w:szCs w:val="21"/>
                      <w:lang w:val="en-US" w:eastAsia="zh-CN" w:bidi="ar-SA"/>
                    </w:rPr>
                  </w:pPr>
                  <w:r>
                    <w:rPr>
                      <w:rFonts w:hint="eastAsia"/>
                      <w:color w:val="auto"/>
                      <w:lang w:val="en-US" w:eastAsia="zh-CN"/>
                    </w:rPr>
                    <w:t>E</w:t>
                  </w:r>
                  <w:r>
                    <w:rPr>
                      <w:rFonts w:hint="eastAsia"/>
                      <w:color w:val="auto"/>
                    </w:rPr>
                    <w:t xml:space="preserve"> </w:t>
                  </w:r>
                </w:p>
              </w:tc>
              <w:tc>
                <w:tcPr>
                  <w:tcW w:w="392" w:type="pct"/>
                  <w:tcBorders>
                    <w:tl2br w:val="nil"/>
                    <w:tr2bl w:val="nil"/>
                  </w:tcBorders>
                  <w:noWrap w:val="0"/>
                  <w:vAlign w:val="center"/>
                </w:tcPr>
                <w:p w14:paraId="2E645E06">
                  <w:pPr>
                    <w:jc w:val="center"/>
                    <w:rPr>
                      <w:rFonts w:hint="default" w:ascii="Times New Roman" w:hAnsi="Times New Roman" w:eastAsia="宋体"/>
                      <w:color w:val="auto"/>
                      <w:szCs w:val="21"/>
                      <w:lang w:val="en-US" w:eastAsia="zh-CN"/>
                    </w:rPr>
                  </w:pPr>
                  <w:r>
                    <w:rPr>
                      <w:rFonts w:hint="eastAsia"/>
                      <w:color w:val="auto"/>
                      <w:szCs w:val="21"/>
                      <w:lang w:val="en-US" w:eastAsia="zh-CN"/>
                    </w:rPr>
                    <w:t>100</w:t>
                  </w:r>
                </w:p>
              </w:tc>
              <w:tc>
                <w:tcPr>
                  <w:tcW w:w="1191" w:type="pct"/>
                  <w:tcBorders>
                    <w:tl2br w:val="nil"/>
                    <w:tr2bl w:val="nil"/>
                  </w:tcBorders>
                  <w:noWrap w:val="0"/>
                  <w:vAlign w:val="center"/>
                </w:tcPr>
                <w:p w14:paraId="6F12341F">
                  <w:pPr>
                    <w:jc w:val="center"/>
                    <w:rPr>
                      <w:rFonts w:hint="default" w:ascii="Times New Roman" w:hAnsi="Times New Roman"/>
                      <w:bCs/>
                      <w:color w:val="auto"/>
                      <w:szCs w:val="21"/>
                      <w:lang w:val="en-US"/>
                    </w:rPr>
                  </w:pPr>
                  <w:r>
                    <w:rPr>
                      <w:rFonts w:hint="eastAsia"/>
                      <w:bCs/>
                      <w:color w:val="auto"/>
                      <w:szCs w:val="21"/>
                      <w:lang w:val="en-US" w:eastAsia="zh-CN"/>
                    </w:rPr>
                    <w:t>散户</w:t>
                  </w:r>
                  <w:r>
                    <w:rPr>
                      <w:rFonts w:ascii="Times New Roman" w:hAnsi="Times New Roman"/>
                      <w:bCs/>
                      <w:color w:val="auto"/>
                      <w:szCs w:val="21"/>
                    </w:rPr>
                    <w:t>，</w:t>
                  </w:r>
                  <w:r>
                    <w:rPr>
                      <w:rFonts w:hint="eastAsia" w:ascii="Times New Roman" w:hAnsi="Times New Roman"/>
                      <w:bCs/>
                      <w:color w:val="auto"/>
                      <w:szCs w:val="21"/>
                      <w:lang w:val="en-US" w:eastAsia="zh-CN"/>
                    </w:rPr>
                    <w:t>约</w:t>
                  </w:r>
                  <w:r>
                    <w:rPr>
                      <w:rFonts w:hint="eastAsia"/>
                      <w:bCs/>
                      <w:color w:val="auto"/>
                      <w:szCs w:val="21"/>
                      <w:lang w:val="en-US" w:eastAsia="zh-CN"/>
                    </w:rPr>
                    <w:t>10</w:t>
                  </w:r>
                  <w:r>
                    <w:rPr>
                      <w:rFonts w:hint="eastAsia" w:ascii="Times New Roman" w:hAnsi="Times New Roman"/>
                      <w:bCs/>
                      <w:color w:val="auto"/>
                      <w:szCs w:val="21"/>
                      <w:lang w:val="en-US" w:eastAsia="zh-CN"/>
                    </w:rPr>
                    <w:t>人</w:t>
                  </w:r>
                </w:p>
              </w:tc>
              <w:tc>
                <w:tcPr>
                  <w:tcW w:w="1470" w:type="pct"/>
                  <w:vMerge w:val="restart"/>
                  <w:tcBorders>
                    <w:tl2br w:val="nil"/>
                    <w:tr2bl w:val="nil"/>
                  </w:tcBorders>
                  <w:noWrap w:val="0"/>
                  <w:vAlign w:val="center"/>
                </w:tcPr>
                <w:p w14:paraId="24EC2963">
                  <w:pPr>
                    <w:tabs>
                      <w:tab w:val="center" w:pos="4153"/>
                      <w:tab w:val="right" w:pos="8306"/>
                    </w:tabs>
                    <w:suppressAutoHyphens/>
                    <w:snapToGrid w:val="0"/>
                    <w:jc w:val="both"/>
                    <w:rPr>
                      <w:rFonts w:ascii="Times New Roman" w:hAnsi="Times New Roman"/>
                      <w:color w:val="auto"/>
                      <w:szCs w:val="21"/>
                    </w:rPr>
                  </w:pPr>
                  <w:r>
                    <w:rPr>
                      <w:rFonts w:ascii="Times New Roman" w:hAnsi="Times New Roman"/>
                      <w:color w:val="auto"/>
                      <w:szCs w:val="21"/>
                    </w:rPr>
                    <w:t>《环境空气质量标准》</w:t>
                  </w:r>
                  <w:r>
                    <w:rPr>
                      <w:rFonts w:hint="eastAsia"/>
                      <w:color w:val="auto"/>
                      <w:szCs w:val="21"/>
                      <w:lang w:eastAsia="zh-CN"/>
                    </w:rPr>
                    <w:t>（</w:t>
                  </w:r>
                  <w:r>
                    <w:rPr>
                      <w:rFonts w:ascii="Times New Roman" w:hAnsi="Times New Roman"/>
                      <w:color w:val="auto"/>
                      <w:szCs w:val="21"/>
                    </w:rPr>
                    <w:t>GB3095-1996</w:t>
                  </w:r>
                  <w:r>
                    <w:rPr>
                      <w:rFonts w:hint="eastAsia"/>
                      <w:color w:val="auto"/>
                      <w:szCs w:val="21"/>
                      <w:lang w:eastAsia="zh-CN"/>
                    </w:rPr>
                    <w:t>）</w:t>
                  </w:r>
                  <w:r>
                    <w:rPr>
                      <w:rFonts w:ascii="Times New Roman" w:hAnsi="Times New Roman"/>
                      <w:color w:val="auto"/>
                      <w:szCs w:val="21"/>
                    </w:rPr>
                    <w:t>二级标准</w:t>
                  </w:r>
                </w:p>
              </w:tc>
            </w:tr>
            <w:tr w14:paraId="02112BD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pct"/>
                  <w:vMerge w:val="continue"/>
                  <w:tcBorders>
                    <w:tl2br w:val="nil"/>
                    <w:tr2bl w:val="nil"/>
                  </w:tcBorders>
                  <w:noWrap w:val="0"/>
                  <w:vAlign w:val="center"/>
                </w:tcPr>
                <w:p w14:paraId="0277772F">
                  <w:pPr>
                    <w:tabs>
                      <w:tab w:val="center" w:pos="4153"/>
                      <w:tab w:val="right" w:pos="8306"/>
                    </w:tabs>
                    <w:suppressAutoHyphens/>
                    <w:snapToGrid w:val="0"/>
                    <w:jc w:val="center"/>
                    <w:rPr>
                      <w:rFonts w:ascii="Times New Roman" w:hAnsi="Times New Roman"/>
                      <w:color w:val="auto"/>
                      <w:szCs w:val="21"/>
                    </w:rPr>
                  </w:pPr>
                </w:p>
              </w:tc>
              <w:tc>
                <w:tcPr>
                  <w:tcW w:w="715" w:type="pct"/>
                  <w:tcBorders>
                    <w:tl2br w:val="nil"/>
                    <w:tr2bl w:val="nil"/>
                  </w:tcBorders>
                  <w:shd w:val="clear" w:color="auto" w:fill="auto"/>
                  <w:noWrap w:val="0"/>
                  <w:vAlign w:val="center"/>
                </w:tcPr>
                <w:p w14:paraId="4A8CE31D">
                  <w:pPr>
                    <w:pStyle w:val="242"/>
                    <w:rPr>
                      <w:rFonts w:hint="default" w:ascii="Times New Roman" w:hAnsi="Times New Roman" w:eastAsia="宋体" w:cs="Times New Roman"/>
                      <w:iCs/>
                      <w:color w:val="auto"/>
                      <w:sz w:val="21"/>
                      <w:szCs w:val="21"/>
                      <w:lang w:val="en-US" w:eastAsia="zh-CN" w:bidi="ar-SA"/>
                    </w:rPr>
                  </w:pPr>
                  <w:r>
                    <w:rPr>
                      <w:rFonts w:hint="eastAsia"/>
                      <w:color w:val="auto"/>
                      <w:lang w:val="en-US" w:eastAsia="zh-CN"/>
                    </w:rPr>
                    <w:t>照澜村</w:t>
                  </w:r>
                </w:p>
              </w:tc>
              <w:tc>
                <w:tcPr>
                  <w:tcW w:w="429" w:type="pct"/>
                  <w:tcBorders>
                    <w:tl2br w:val="nil"/>
                    <w:tr2bl w:val="nil"/>
                  </w:tcBorders>
                  <w:shd w:val="clear" w:color="auto" w:fill="auto"/>
                  <w:noWrap w:val="0"/>
                  <w:vAlign w:val="center"/>
                </w:tcPr>
                <w:p w14:paraId="49742E87">
                  <w:pPr>
                    <w:pStyle w:val="242"/>
                    <w:rPr>
                      <w:rFonts w:hint="eastAsia" w:ascii="Times New Roman" w:hAnsi="Times New Roman" w:eastAsia="宋体" w:cs="Times New Roman"/>
                      <w:iCs/>
                      <w:color w:val="auto"/>
                      <w:sz w:val="21"/>
                      <w:szCs w:val="21"/>
                      <w:lang w:val="en-US" w:eastAsia="zh-CN" w:bidi="ar-SA"/>
                    </w:rPr>
                  </w:pPr>
                  <w:r>
                    <w:rPr>
                      <w:rFonts w:hint="eastAsia"/>
                      <w:color w:val="auto"/>
                      <w:lang w:val="en-US" w:eastAsia="zh-CN"/>
                    </w:rPr>
                    <w:t>SE</w:t>
                  </w:r>
                  <w:r>
                    <w:rPr>
                      <w:rFonts w:hint="eastAsia"/>
                      <w:color w:val="auto"/>
                    </w:rPr>
                    <w:t xml:space="preserve"> </w:t>
                  </w:r>
                </w:p>
              </w:tc>
              <w:tc>
                <w:tcPr>
                  <w:tcW w:w="392" w:type="pct"/>
                  <w:tcBorders>
                    <w:tl2br w:val="nil"/>
                    <w:tr2bl w:val="nil"/>
                  </w:tcBorders>
                  <w:noWrap w:val="0"/>
                  <w:vAlign w:val="center"/>
                </w:tcPr>
                <w:p w14:paraId="30EB0D42">
                  <w:pPr>
                    <w:jc w:val="center"/>
                    <w:rPr>
                      <w:rFonts w:hint="default" w:ascii="Times New Roman" w:hAnsi="Times New Roman" w:eastAsia="宋体"/>
                      <w:color w:val="auto"/>
                      <w:szCs w:val="21"/>
                      <w:lang w:val="en-US" w:eastAsia="zh-CN"/>
                    </w:rPr>
                  </w:pPr>
                  <w:r>
                    <w:rPr>
                      <w:rFonts w:hint="eastAsia"/>
                      <w:color w:val="auto"/>
                      <w:szCs w:val="21"/>
                      <w:lang w:val="en-US" w:eastAsia="zh-CN"/>
                    </w:rPr>
                    <w:t>390</w:t>
                  </w:r>
                </w:p>
              </w:tc>
              <w:tc>
                <w:tcPr>
                  <w:tcW w:w="1191" w:type="pct"/>
                  <w:tcBorders>
                    <w:tl2br w:val="nil"/>
                    <w:tr2bl w:val="nil"/>
                  </w:tcBorders>
                  <w:noWrap w:val="0"/>
                  <w:vAlign w:val="center"/>
                </w:tcPr>
                <w:p w14:paraId="4E8DDDC0">
                  <w:pPr>
                    <w:jc w:val="center"/>
                    <w:rPr>
                      <w:rFonts w:hint="default" w:ascii="Times New Roman" w:hAnsi="Times New Roman" w:eastAsia="宋体"/>
                      <w:bCs/>
                      <w:color w:val="auto"/>
                      <w:szCs w:val="21"/>
                      <w:lang w:val="en-US" w:eastAsia="zh-CN"/>
                    </w:rPr>
                  </w:pPr>
                  <w:r>
                    <w:rPr>
                      <w:rFonts w:hint="eastAsia" w:ascii="Times New Roman" w:hAnsi="Times New Roman"/>
                      <w:bCs/>
                      <w:color w:val="auto"/>
                      <w:szCs w:val="21"/>
                      <w:lang w:val="en-US" w:eastAsia="zh-CN"/>
                    </w:rPr>
                    <w:t>行政村，约</w:t>
                  </w:r>
                  <w:r>
                    <w:rPr>
                      <w:rFonts w:hint="eastAsia"/>
                      <w:bCs/>
                      <w:color w:val="auto"/>
                      <w:szCs w:val="21"/>
                      <w:lang w:val="en-US" w:eastAsia="zh-CN"/>
                    </w:rPr>
                    <w:t>1750</w:t>
                  </w:r>
                  <w:r>
                    <w:rPr>
                      <w:rFonts w:hint="eastAsia" w:ascii="Times New Roman" w:hAnsi="Times New Roman"/>
                      <w:bCs/>
                      <w:color w:val="auto"/>
                      <w:szCs w:val="21"/>
                      <w:lang w:val="en-US" w:eastAsia="zh-CN"/>
                    </w:rPr>
                    <w:t>人</w:t>
                  </w:r>
                </w:p>
              </w:tc>
              <w:tc>
                <w:tcPr>
                  <w:tcW w:w="1470" w:type="pct"/>
                  <w:vMerge w:val="continue"/>
                  <w:tcBorders>
                    <w:tl2br w:val="nil"/>
                    <w:tr2bl w:val="nil"/>
                  </w:tcBorders>
                  <w:noWrap w:val="0"/>
                  <w:vAlign w:val="center"/>
                </w:tcPr>
                <w:p w14:paraId="20E5B5DC">
                  <w:pPr>
                    <w:tabs>
                      <w:tab w:val="center" w:pos="4153"/>
                      <w:tab w:val="right" w:pos="8306"/>
                    </w:tabs>
                    <w:suppressAutoHyphens/>
                    <w:snapToGrid w:val="0"/>
                    <w:jc w:val="both"/>
                    <w:rPr>
                      <w:rFonts w:ascii="Times New Roman" w:hAnsi="Times New Roman"/>
                      <w:color w:val="auto"/>
                      <w:szCs w:val="21"/>
                    </w:rPr>
                  </w:pPr>
                </w:p>
              </w:tc>
            </w:tr>
            <w:tr w14:paraId="01652D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pct"/>
                  <w:tcBorders>
                    <w:tl2br w:val="nil"/>
                    <w:tr2bl w:val="nil"/>
                  </w:tcBorders>
                  <w:noWrap w:val="0"/>
                  <w:vAlign w:val="center"/>
                </w:tcPr>
                <w:p w14:paraId="53FA94A8">
                  <w:pPr>
                    <w:tabs>
                      <w:tab w:val="center" w:pos="4153"/>
                      <w:tab w:val="right" w:pos="8306"/>
                    </w:tabs>
                    <w:suppressAutoHyphens/>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地表水环境</w:t>
                  </w:r>
                </w:p>
              </w:tc>
              <w:tc>
                <w:tcPr>
                  <w:tcW w:w="715" w:type="pct"/>
                  <w:tcBorders>
                    <w:tl2br w:val="nil"/>
                    <w:tr2bl w:val="nil"/>
                  </w:tcBorders>
                  <w:noWrap w:val="0"/>
                  <w:vAlign w:val="center"/>
                </w:tcPr>
                <w:p w14:paraId="59BF3C13">
                  <w:pPr>
                    <w:jc w:val="center"/>
                    <w:rPr>
                      <w:rFonts w:hint="default" w:ascii="Times New Roman" w:hAnsi="Times New Roman" w:eastAsia="宋体"/>
                      <w:color w:val="auto"/>
                      <w:szCs w:val="21"/>
                      <w:lang w:val="en-US" w:eastAsia="zh-CN"/>
                    </w:rPr>
                  </w:pPr>
                  <w:r>
                    <w:rPr>
                      <w:rFonts w:hint="eastAsia"/>
                      <w:color w:val="auto"/>
                      <w:lang w:val="en-US" w:eastAsia="zh-CN"/>
                    </w:rPr>
                    <w:t>大澜</w:t>
                  </w:r>
                  <w:r>
                    <w:rPr>
                      <w:rFonts w:hint="eastAsia"/>
                      <w:color w:val="auto"/>
                    </w:rPr>
                    <w:t>溪</w:t>
                  </w:r>
                </w:p>
              </w:tc>
              <w:tc>
                <w:tcPr>
                  <w:tcW w:w="429" w:type="pct"/>
                  <w:tcBorders>
                    <w:tl2br w:val="nil"/>
                    <w:tr2bl w:val="nil"/>
                  </w:tcBorders>
                  <w:noWrap w:val="0"/>
                  <w:vAlign w:val="center"/>
                </w:tcPr>
                <w:p w14:paraId="23B729FC">
                  <w:pPr>
                    <w:jc w:val="center"/>
                    <w:rPr>
                      <w:rFonts w:hint="default" w:ascii="Times New Roman" w:hAnsi="Times New Roman"/>
                      <w:bCs/>
                      <w:color w:val="auto"/>
                      <w:szCs w:val="21"/>
                      <w:lang w:val="en-US" w:eastAsia="zh-CN"/>
                    </w:rPr>
                  </w:pPr>
                  <w:r>
                    <w:rPr>
                      <w:rFonts w:hint="eastAsia"/>
                      <w:bCs/>
                      <w:color w:val="auto"/>
                      <w:szCs w:val="21"/>
                      <w:lang w:val="en-US" w:eastAsia="zh-CN"/>
                    </w:rPr>
                    <w:t>W</w:t>
                  </w:r>
                </w:p>
              </w:tc>
              <w:tc>
                <w:tcPr>
                  <w:tcW w:w="392" w:type="pct"/>
                  <w:tcBorders>
                    <w:tl2br w:val="nil"/>
                    <w:tr2bl w:val="nil"/>
                  </w:tcBorders>
                  <w:noWrap w:val="0"/>
                  <w:vAlign w:val="center"/>
                </w:tcPr>
                <w:p w14:paraId="09F0107A">
                  <w:pPr>
                    <w:jc w:val="center"/>
                    <w:rPr>
                      <w:rFonts w:hint="default" w:ascii="Times New Roman" w:hAnsi="Times New Roman"/>
                      <w:color w:val="auto"/>
                      <w:szCs w:val="21"/>
                      <w:lang w:val="en-US" w:eastAsia="zh-CN"/>
                    </w:rPr>
                  </w:pPr>
                  <w:r>
                    <w:rPr>
                      <w:rFonts w:hint="eastAsia"/>
                      <w:color w:val="auto"/>
                      <w:szCs w:val="21"/>
                      <w:lang w:val="en-US" w:eastAsia="zh-CN"/>
                    </w:rPr>
                    <w:t>30</w:t>
                  </w:r>
                </w:p>
              </w:tc>
              <w:tc>
                <w:tcPr>
                  <w:tcW w:w="1191" w:type="pct"/>
                  <w:tcBorders>
                    <w:tl2br w:val="nil"/>
                    <w:tr2bl w:val="nil"/>
                  </w:tcBorders>
                  <w:noWrap w:val="0"/>
                  <w:vAlign w:val="center"/>
                </w:tcPr>
                <w:p w14:paraId="0E472892">
                  <w:pPr>
                    <w:jc w:val="center"/>
                    <w:rPr>
                      <w:rFonts w:hint="default" w:ascii="Times New Roman" w:hAnsi="Times New Roman"/>
                      <w:bCs/>
                      <w:color w:val="auto"/>
                      <w:szCs w:val="21"/>
                      <w:lang w:val="en-US" w:eastAsia="zh-CN"/>
                    </w:rPr>
                  </w:pPr>
                  <w:r>
                    <w:rPr>
                      <w:rFonts w:hint="eastAsia"/>
                      <w:bCs/>
                      <w:color w:val="auto"/>
                      <w:szCs w:val="21"/>
                      <w:lang w:val="en-US" w:eastAsia="zh-CN"/>
                    </w:rPr>
                    <w:t>小</w:t>
                  </w:r>
                  <w:r>
                    <w:rPr>
                      <w:rFonts w:hint="eastAsia" w:ascii="Times New Roman" w:hAnsi="Times New Roman"/>
                      <w:bCs/>
                      <w:color w:val="auto"/>
                      <w:szCs w:val="21"/>
                      <w:lang w:val="en-US" w:eastAsia="zh-CN"/>
                    </w:rPr>
                    <w:t>河</w:t>
                  </w:r>
                </w:p>
              </w:tc>
              <w:tc>
                <w:tcPr>
                  <w:tcW w:w="1470" w:type="pct"/>
                  <w:tcBorders>
                    <w:tl2br w:val="nil"/>
                    <w:tr2bl w:val="nil"/>
                  </w:tcBorders>
                  <w:noWrap w:val="0"/>
                  <w:vAlign w:val="center"/>
                </w:tcPr>
                <w:p w14:paraId="5F8FFC4D">
                  <w:pPr>
                    <w:tabs>
                      <w:tab w:val="center" w:pos="4153"/>
                      <w:tab w:val="right" w:pos="8306"/>
                    </w:tabs>
                    <w:suppressAutoHyphens/>
                    <w:snapToGrid w:val="0"/>
                    <w:jc w:val="both"/>
                    <w:rPr>
                      <w:rFonts w:ascii="Times New Roman" w:hAnsi="Times New Roman"/>
                      <w:color w:val="auto"/>
                      <w:szCs w:val="21"/>
                    </w:rPr>
                  </w:pPr>
                  <w:r>
                    <w:rPr>
                      <w:rFonts w:hint="eastAsia" w:ascii="Times New Roman" w:hAnsi="Times New Roman"/>
                      <w:color w:val="auto"/>
                      <w:szCs w:val="21"/>
                    </w:rPr>
                    <w:t>《地表水环境质量标准》（GB3838-2002）中Ⅲ类标准</w:t>
                  </w:r>
                </w:p>
              </w:tc>
            </w:tr>
            <w:tr w14:paraId="5145A70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pct"/>
                  <w:tcBorders>
                    <w:tl2br w:val="nil"/>
                    <w:tr2bl w:val="nil"/>
                  </w:tcBorders>
                  <w:noWrap w:val="0"/>
                  <w:vAlign w:val="center"/>
                </w:tcPr>
                <w:p w14:paraId="30ADD8A4">
                  <w:pPr>
                    <w:tabs>
                      <w:tab w:val="center" w:pos="4153"/>
                      <w:tab w:val="right" w:pos="8306"/>
                    </w:tabs>
                    <w:suppressAutoHyphens/>
                    <w:snapToGrid w:val="0"/>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声环境</w:t>
                  </w:r>
                </w:p>
              </w:tc>
              <w:tc>
                <w:tcPr>
                  <w:tcW w:w="4198" w:type="pct"/>
                  <w:gridSpan w:val="5"/>
                  <w:tcBorders>
                    <w:tl2br w:val="nil"/>
                    <w:tr2bl w:val="nil"/>
                  </w:tcBorders>
                  <w:noWrap w:val="0"/>
                  <w:vAlign w:val="center"/>
                </w:tcPr>
                <w:p w14:paraId="30A69BCA">
                  <w:pPr>
                    <w:tabs>
                      <w:tab w:val="center" w:pos="4153"/>
                      <w:tab w:val="right" w:pos="8306"/>
                    </w:tabs>
                    <w:suppressAutoHyphens/>
                    <w:snapToGrid w:val="0"/>
                    <w:jc w:val="center"/>
                    <w:rPr>
                      <w:rFonts w:hint="eastAsia" w:ascii="Times New Roman" w:hAnsi="Times New Roman" w:eastAsia="宋体"/>
                      <w:color w:val="auto"/>
                      <w:szCs w:val="21"/>
                      <w:lang w:eastAsia="zh-CN"/>
                    </w:rPr>
                  </w:pPr>
                  <w:r>
                    <w:rPr>
                      <w:rFonts w:hint="eastAsia" w:ascii="Times New Roman" w:hAnsi="Times New Roman"/>
                      <w:bCs/>
                      <w:color w:val="auto"/>
                      <w:szCs w:val="21"/>
                      <w:lang w:val="en-US" w:eastAsia="zh-CN"/>
                    </w:rPr>
                    <w:t>无</w:t>
                  </w:r>
                </w:p>
              </w:tc>
            </w:tr>
            <w:tr w14:paraId="09BBDB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pct"/>
                  <w:tcBorders>
                    <w:tl2br w:val="nil"/>
                    <w:tr2bl w:val="nil"/>
                  </w:tcBorders>
                  <w:noWrap w:val="0"/>
                  <w:vAlign w:val="center"/>
                </w:tcPr>
                <w:p w14:paraId="59BB2A79">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地下水环境</w:t>
                  </w:r>
                </w:p>
              </w:tc>
              <w:tc>
                <w:tcPr>
                  <w:tcW w:w="4198" w:type="pct"/>
                  <w:gridSpan w:val="5"/>
                  <w:tcBorders>
                    <w:tl2br w:val="nil"/>
                    <w:tr2bl w:val="nil"/>
                  </w:tcBorders>
                  <w:noWrap w:val="0"/>
                  <w:vAlign w:val="center"/>
                </w:tcPr>
                <w:p w14:paraId="2BC4CB04">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无</w:t>
                  </w:r>
                </w:p>
              </w:tc>
            </w:tr>
            <w:tr w14:paraId="471D8A0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pct"/>
                  <w:tcBorders>
                    <w:tl2br w:val="nil"/>
                    <w:tr2bl w:val="nil"/>
                  </w:tcBorders>
                  <w:noWrap w:val="0"/>
                  <w:vAlign w:val="center"/>
                </w:tcPr>
                <w:p w14:paraId="29C21CFE">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生态环境</w:t>
                  </w:r>
                </w:p>
              </w:tc>
              <w:tc>
                <w:tcPr>
                  <w:tcW w:w="4198" w:type="pct"/>
                  <w:gridSpan w:val="5"/>
                  <w:tcBorders>
                    <w:tl2br w:val="nil"/>
                    <w:tr2bl w:val="nil"/>
                  </w:tcBorders>
                  <w:noWrap w:val="0"/>
                  <w:vAlign w:val="center"/>
                </w:tcPr>
                <w:p w14:paraId="2D29DBDE">
                  <w:pPr>
                    <w:tabs>
                      <w:tab w:val="center" w:pos="4153"/>
                      <w:tab w:val="right" w:pos="8306"/>
                    </w:tabs>
                    <w:suppressAutoHyphens/>
                    <w:snapToGrid w:val="0"/>
                    <w:jc w:val="center"/>
                    <w:rPr>
                      <w:rFonts w:ascii="Times New Roman" w:hAnsi="Times New Roman"/>
                      <w:color w:val="auto"/>
                      <w:szCs w:val="21"/>
                    </w:rPr>
                  </w:pPr>
                  <w:r>
                    <w:rPr>
                      <w:rFonts w:ascii="Times New Roman" w:hAnsi="Times New Roman"/>
                      <w:color w:val="auto"/>
                      <w:szCs w:val="21"/>
                    </w:rPr>
                    <w:t>无</w:t>
                  </w:r>
                </w:p>
              </w:tc>
            </w:tr>
          </w:tbl>
          <w:p w14:paraId="3018AE70">
            <w:pPr>
              <w:adjustRightInd w:val="0"/>
              <w:snapToGrid w:val="0"/>
              <w:spacing w:line="360" w:lineRule="auto"/>
              <w:ind w:firstLine="480" w:firstLineChars="200"/>
              <w:jc w:val="left"/>
              <w:rPr>
                <w:rFonts w:ascii="Times New Roman" w:hAnsi="Times New Roman"/>
                <w:color w:val="auto"/>
                <w:kern w:val="0"/>
                <w:sz w:val="24"/>
                <w:szCs w:val="24"/>
              </w:rPr>
            </w:pPr>
          </w:p>
        </w:tc>
      </w:tr>
      <w:tr w14:paraId="38126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17" w:type="dxa"/>
            <w:noWrap w:val="0"/>
            <w:vAlign w:val="center"/>
          </w:tcPr>
          <w:p w14:paraId="3C59D82B">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污染</w:t>
            </w:r>
          </w:p>
          <w:p w14:paraId="03A0A64F">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物排</w:t>
            </w:r>
          </w:p>
          <w:p w14:paraId="152C322B">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放控</w:t>
            </w:r>
          </w:p>
          <w:p w14:paraId="5F62DB8E">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制标</w:t>
            </w:r>
          </w:p>
          <w:p w14:paraId="4C6033C7">
            <w:pPr>
              <w:adjustRightInd w:val="0"/>
              <w:snapToGrid w:val="0"/>
              <w:jc w:val="center"/>
              <w:rPr>
                <w:rFonts w:ascii="Times New Roman" w:hAnsi="Times New Roman"/>
                <w:color w:val="auto"/>
                <w:kern w:val="0"/>
                <w:szCs w:val="21"/>
              </w:rPr>
            </w:pPr>
            <w:r>
              <w:rPr>
                <w:rFonts w:ascii="Times New Roman" w:hAnsi="Times New Roman"/>
                <w:color w:val="auto"/>
                <w:kern w:val="0"/>
                <w:sz w:val="24"/>
                <w:szCs w:val="24"/>
              </w:rPr>
              <w:t>准</w:t>
            </w:r>
          </w:p>
        </w:tc>
        <w:tc>
          <w:tcPr>
            <w:tcW w:w="8244" w:type="dxa"/>
            <w:noWrap w:val="0"/>
            <w:vAlign w:val="center"/>
          </w:tcPr>
          <w:p w14:paraId="6B23BBB9">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3.</w:t>
            </w:r>
            <w:r>
              <w:rPr>
                <w:rFonts w:hint="eastAsia" w:ascii="Times New Roman" w:hAnsi="Times New Roman"/>
                <w:b/>
                <w:color w:val="auto"/>
                <w:sz w:val="24"/>
                <w:szCs w:val="24"/>
                <w:lang w:val="en-US" w:eastAsia="zh-CN"/>
              </w:rPr>
              <w:t>3污染物排放控制标准</w:t>
            </w:r>
          </w:p>
          <w:p w14:paraId="411956AB">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3.3.1废水</w:t>
            </w:r>
          </w:p>
          <w:p w14:paraId="446EC58C">
            <w:pPr>
              <w:spacing w:line="360" w:lineRule="auto"/>
              <w:ind w:firstLine="500" w:firstLineChars="200"/>
              <w:rPr>
                <w:rFonts w:eastAsia="宋体"/>
                <w:color w:val="auto"/>
                <w:sz w:val="24"/>
                <w:szCs w:val="24"/>
              </w:rPr>
            </w:pPr>
            <w:r>
              <w:rPr>
                <w:rFonts w:hint="default" w:ascii="Times New Roman" w:hAnsi="Times New Roman" w:cs="Times New Roman"/>
                <w:color w:val="auto"/>
                <w:spacing w:val="5"/>
                <w:sz w:val="24"/>
                <w:szCs w:val="24"/>
              </w:rPr>
              <w:t>项目</w:t>
            </w:r>
            <w:r>
              <w:rPr>
                <w:rFonts w:hint="eastAsia" w:cs="Times New Roman"/>
                <w:color w:val="auto"/>
                <w:spacing w:val="5"/>
                <w:sz w:val="24"/>
                <w:szCs w:val="24"/>
                <w:lang w:val="en-US" w:eastAsia="zh-CN"/>
              </w:rPr>
              <w:t>无生产用水，生活污水经化粪池处理后用于周边山林地施肥。</w:t>
            </w:r>
          </w:p>
          <w:p w14:paraId="0BC3B003">
            <w:pPr>
              <w:spacing w:before="120" w:beforeLines="50" w:line="360" w:lineRule="auto"/>
              <w:jc w:val="left"/>
              <w:outlineLvl w:val="2"/>
              <w:rPr>
                <w:rFonts w:hint="default" w:ascii="Times New Roman" w:hAnsi="Times New Roman" w:cs="Times New Roman"/>
                <w:b/>
                <w:color w:val="auto"/>
                <w:sz w:val="24"/>
                <w:szCs w:val="24"/>
                <w:lang w:val="zh-CN"/>
              </w:rPr>
            </w:pPr>
            <w:r>
              <w:rPr>
                <w:rFonts w:hint="default" w:ascii="Times New Roman" w:hAnsi="Times New Roman" w:cs="Times New Roman"/>
                <w:b/>
                <w:color w:val="auto"/>
                <w:sz w:val="24"/>
                <w:szCs w:val="24"/>
                <w:lang w:val="zh-CN"/>
              </w:rPr>
              <w:t>3.3.2废气</w:t>
            </w:r>
          </w:p>
          <w:p w14:paraId="69D58658">
            <w:pPr>
              <w:pStyle w:val="153"/>
              <w:rPr>
                <w:rFonts w:hint="default" w:ascii="Times New Roman" w:hAnsi="Times New Roman" w:cs="Times New Roman"/>
                <w:color w:val="auto"/>
              </w:rPr>
            </w:pPr>
            <w:r>
              <w:rPr>
                <w:rFonts w:hint="default" w:ascii="Times New Roman" w:hAnsi="Times New Roman" w:cs="Times New Roman"/>
                <w:color w:val="auto"/>
              </w:rPr>
              <w:t>项目生产过程中破碎、制粉、筛分</w:t>
            </w:r>
            <w:r>
              <w:rPr>
                <w:rFonts w:hint="eastAsia" w:cs="Times New Roman"/>
                <w:color w:val="auto"/>
                <w:lang w:val="en-US" w:eastAsia="zh-CN"/>
              </w:rPr>
              <w:t>等加工工序</w:t>
            </w:r>
            <w:r>
              <w:rPr>
                <w:rFonts w:hint="default" w:ascii="Times New Roman" w:hAnsi="Times New Roman" w:cs="Times New Roman"/>
                <w:color w:val="auto"/>
              </w:rPr>
              <w:t>产生</w:t>
            </w:r>
            <w:r>
              <w:rPr>
                <w:rFonts w:hint="default" w:ascii="Times New Roman" w:hAnsi="Times New Roman" w:cs="Times New Roman"/>
                <w:color w:val="auto"/>
                <w:highlight w:val="none"/>
              </w:rPr>
              <w:t>的颗粒物</w:t>
            </w:r>
            <w:r>
              <w:rPr>
                <w:rFonts w:hint="default" w:ascii="Times New Roman" w:hAnsi="Times New Roman" w:cs="Times New Roman"/>
                <w:color w:val="auto"/>
              </w:rPr>
              <w:t>有组织排放执行《大气污染物综合排放标准》</w:t>
            </w:r>
            <w:r>
              <w:rPr>
                <w:rFonts w:hint="eastAsia" w:cs="Times New Roman"/>
                <w:color w:val="auto"/>
                <w:lang w:eastAsia="zh-CN"/>
              </w:rPr>
              <w:t>（</w:t>
            </w:r>
            <w:r>
              <w:rPr>
                <w:rFonts w:hint="default" w:ascii="Times New Roman" w:hAnsi="Times New Roman" w:cs="Times New Roman"/>
                <w:color w:val="auto"/>
              </w:rPr>
              <w:t>GB16297-1996</w:t>
            </w:r>
            <w:r>
              <w:rPr>
                <w:rFonts w:hint="eastAsia" w:cs="Times New Roman"/>
                <w:color w:val="auto"/>
                <w:lang w:eastAsia="zh-CN"/>
              </w:rPr>
              <w:t>）</w:t>
            </w:r>
            <w:r>
              <w:rPr>
                <w:rFonts w:hint="default" w:ascii="Times New Roman" w:hAnsi="Times New Roman" w:cs="Times New Roman"/>
                <w:color w:val="auto"/>
              </w:rPr>
              <w:t>表2 二级标准</w:t>
            </w:r>
            <w:r>
              <w:rPr>
                <w:rFonts w:hint="eastAsia" w:cs="Times New Roman"/>
                <w:color w:val="auto"/>
                <w:lang w:eastAsia="zh-CN"/>
              </w:rPr>
              <w:t>；</w:t>
            </w:r>
            <w:r>
              <w:rPr>
                <w:rFonts w:hint="eastAsia" w:cs="Times New Roman"/>
                <w:color w:val="auto"/>
                <w:lang w:val="en-US" w:eastAsia="zh-CN"/>
              </w:rPr>
              <w:t>天然气燃烧废气参照执行</w:t>
            </w:r>
            <w:r>
              <w:rPr>
                <w:rFonts w:hint="default" w:ascii="Times New Roman" w:hAnsi="Times New Roman" w:cs="Times New Roman"/>
                <w:color w:val="auto"/>
              </w:rPr>
              <w:t>《</w:t>
            </w:r>
            <w:r>
              <w:rPr>
                <w:rFonts w:hint="eastAsia" w:ascii="Times New Roman" w:hAnsi="Times New Roman" w:cs="Times New Roman"/>
                <w:color w:val="auto"/>
                <w:lang w:val="en-US" w:eastAsia="zh-CN"/>
              </w:rPr>
              <w:t>锅炉大气污染物排放标准</w:t>
            </w:r>
            <w:r>
              <w:rPr>
                <w:rFonts w:hint="default" w:ascii="Times New Roman" w:hAnsi="Times New Roman" w:cs="Times New Roman"/>
                <w:color w:val="auto"/>
              </w:rPr>
              <w:t>》（GB1</w:t>
            </w:r>
            <w:r>
              <w:rPr>
                <w:rFonts w:hint="eastAsia" w:ascii="Times New Roman" w:hAnsi="Times New Roman" w:cs="Times New Roman"/>
                <w:color w:val="auto"/>
                <w:lang w:val="en-US" w:eastAsia="zh-CN"/>
              </w:rPr>
              <w:t>3271</w:t>
            </w:r>
            <w:r>
              <w:rPr>
                <w:rFonts w:hint="default" w:ascii="Times New Roman" w:hAnsi="Times New Roman" w:cs="Times New Roman"/>
                <w:color w:val="auto"/>
              </w:rPr>
              <w:t>-</w:t>
            </w:r>
            <w:r>
              <w:rPr>
                <w:rFonts w:hint="eastAsia" w:ascii="Times New Roman" w:hAnsi="Times New Roman" w:cs="Times New Roman"/>
                <w:color w:val="auto"/>
                <w:lang w:val="en-US" w:eastAsia="zh-CN"/>
              </w:rPr>
              <w:t>2014</w:t>
            </w:r>
            <w:r>
              <w:rPr>
                <w:rFonts w:hint="default" w:ascii="Times New Roman" w:hAnsi="Times New Roman" w:cs="Times New Roman"/>
                <w:color w:val="auto"/>
              </w:rPr>
              <w:t>）表</w:t>
            </w:r>
            <w:r>
              <w:rPr>
                <w:rFonts w:hint="eastAsia" w:ascii="Times New Roman" w:hAnsi="Times New Roman" w:cs="Times New Roman"/>
                <w:color w:val="auto"/>
                <w:lang w:val="en-US" w:eastAsia="zh-CN"/>
              </w:rPr>
              <w:t>2大气污染物排放浓度限值</w:t>
            </w:r>
            <w:r>
              <w:rPr>
                <w:rFonts w:hint="eastAsia"/>
                <w:color w:val="auto"/>
                <w:lang w:eastAsia="zh-CN"/>
              </w:rPr>
              <w:t>；</w:t>
            </w:r>
            <w:r>
              <w:rPr>
                <w:rFonts w:hint="eastAsia" w:cs="Times New Roman"/>
                <w:color w:val="auto"/>
                <w:lang w:val="en-US" w:eastAsia="zh-CN"/>
              </w:rPr>
              <w:t>烘干尾气参照执行</w:t>
            </w:r>
            <w:r>
              <w:rPr>
                <w:rFonts w:hint="default" w:ascii="Times New Roman" w:hAnsi="Times New Roman" w:cs="Times New Roman"/>
                <w:color w:val="auto"/>
              </w:rPr>
              <w:t>《大气污染物综合排放标准》</w:t>
            </w:r>
            <w:r>
              <w:rPr>
                <w:rFonts w:hint="eastAsia" w:cs="Times New Roman"/>
                <w:color w:val="auto"/>
                <w:lang w:eastAsia="zh-CN"/>
              </w:rPr>
              <w:t>（</w:t>
            </w:r>
            <w:r>
              <w:rPr>
                <w:rFonts w:hint="default" w:ascii="Times New Roman" w:hAnsi="Times New Roman" w:cs="Times New Roman"/>
                <w:color w:val="auto"/>
              </w:rPr>
              <w:t>GB16297-1996</w:t>
            </w:r>
            <w:r>
              <w:rPr>
                <w:rFonts w:hint="eastAsia" w:cs="Times New Roman"/>
                <w:color w:val="auto"/>
                <w:lang w:eastAsia="zh-CN"/>
              </w:rPr>
              <w:t>）</w:t>
            </w:r>
            <w:r>
              <w:rPr>
                <w:rFonts w:hint="default" w:ascii="Times New Roman" w:hAnsi="Times New Roman" w:cs="Times New Roman"/>
                <w:color w:val="auto"/>
              </w:rPr>
              <w:t>表2 二级标准</w:t>
            </w:r>
            <w:r>
              <w:rPr>
                <w:rFonts w:hint="eastAsia" w:cs="Times New Roman"/>
                <w:color w:val="auto"/>
                <w:lang w:val="en-US" w:eastAsia="zh-CN"/>
              </w:rPr>
              <w:t>。</w:t>
            </w:r>
          </w:p>
          <w:p w14:paraId="1C4381EE">
            <w:pPr>
              <w:pStyle w:val="153"/>
              <w:rPr>
                <w:rFonts w:hint="default" w:ascii="Times New Roman" w:hAnsi="Times New Roman" w:cs="Times New Roman"/>
                <w:color w:val="auto"/>
              </w:rPr>
            </w:pPr>
            <w:r>
              <w:rPr>
                <w:rFonts w:hint="default" w:ascii="Times New Roman" w:hAnsi="Times New Roman" w:cs="Times New Roman"/>
                <w:color w:val="auto"/>
              </w:rPr>
              <w:t>厂界</w:t>
            </w:r>
            <w:r>
              <w:rPr>
                <w:rFonts w:hint="eastAsia" w:cs="Times New Roman"/>
                <w:color w:val="auto"/>
                <w:lang w:val="en-US" w:eastAsia="zh-CN"/>
              </w:rPr>
              <w:t>无组织颗粒物</w:t>
            </w:r>
            <w:r>
              <w:rPr>
                <w:rFonts w:hint="default" w:ascii="Times New Roman" w:hAnsi="Times New Roman" w:cs="Times New Roman"/>
                <w:color w:val="auto"/>
              </w:rPr>
              <w:t>执行《大气污染物综合排放标准》</w:t>
            </w:r>
            <w:r>
              <w:rPr>
                <w:rFonts w:hint="eastAsia" w:cs="Times New Roman"/>
                <w:color w:val="auto"/>
                <w:lang w:eastAsia="zh-CN"/>
              </w:rPr>
              <w:t>（</w:t>
            </w:r>
            <w:r>
              <w:rPr>
                <w:rFonts w:hint="default" w:ascii="Times New Roman" w:hAnsi="Times New Roman" w:cs="Times New Roman"/>
                <w:color w:val="auto"/>
              </w:rPr>
              <w:t>GB16297-1996</w:t>
            </w:r>
            <w:r>
              <w:rPr>
                <w:rFonts w:hint="eastAsia" w:cs="Times New Roman"/>
                <w:color w:val="auto"/>
                <w:lang w:eastAsia="zh-CN"/>
              </w:rPr>
              <w:t>）</w:t>
            </w:r>
            <w:r>
              <w:rPr>
                <w:rFonts w:hint="default" w:ascii="Times New Roman" w:hAnsi="Times New Roman" w:cs="Times New Roman"/>
                <w:color w:val="auto"/>
              </w:rPr>
              <w:t>中表 2 无组织排放监控浓度限值，具体标准值见表</w:t>
            </w:r>
            <w:r>
              <w:rPr>
                <w:rFonts w:hint="eastAsia" w:cs="Times New Roman"/>
                <w:color w:val="auto"/>
                <w:lang w:val="en-US" w:eastAsia="zh-CN"/>
              </w:rPr>
              <w:t>21~表22</w:t>
            </w:r>
            <w:r>
              <w:rPr>
                <w:rFonts w:hint="default" w:ascii="Times New Roman" w:hAnsi="Times New Roman" w:cs="Times New Roman"/>
                <w:color w:val="auto"/>
              </w:rPr>
              <w:t>。</w:t>
            </w:r>
          </w:p>
          <w:p w14:paraId="06CEEBB9">
            <w:pPr>
              <w:numPr>
                <w:ilvl w:val="0"/>
                <w:numId w:val="8"/>
              </w:numPr>
              <w:tabs>
                <w:tab w:val="left" w:pos="0"/>
              </w:tabs>
              <w:ind w:left="420" w:hanging="420"/>
              <w:jc w:val="center"/>
              <w:rPr>
                <w:rFonts w:ascii="Times New Roman" w:hAnsi="Times New Roman" w:eastAsia="宋体" w:cs="Times New Roman"/>
                <w:b/>
                <w:color w:val="auto"/>
                <w:sz w:val="24"/>
                <w:szCs w:val="24"/>
                <w:lang w:eastAsia="zh-CN"/>
              </w:rPr>
            </w:pP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大气</w:t>
            </w:r>
            <w:r>
              <w:rPr>
                <w:rFonts w:ascii="Times New Roman" w:hAnsi="Times New Roman" w:eastAsia="宋体" w:cs="Times New Roman"/>
                <w:b/>
                <w:color w:val="auto"/>
                <w:sz w:val="24"/>
                <w:szCs w:val="24"/>
              </w:rPr>
              <w:t>污染物综合排放标准》</w:t>
            </w:r>
            <w:r>
              <w:rPr>
                <w:rFonts w:hint="eastAsia" w:cs="Times New Roman"/>
                <w:b/>
                <w:color w:val="auto"/>
                <w:sz w:val="24"/>
                <w:szCs w:val="24"/>
                <w:lang w:eastAsia="zh-CN"/>
              </w:rPr>
              <w:t>（</w:t>
            </w:r>
            <w:r>
              <w:rPr>
                <w:rFonts w:hint="eastAsia" w:ascii="Times New Roman" w:hAnsi="Times New Roman" w:eastAsia="宋体" w:cs="Times New Roman"/>
                <w:b/>
                <w:color w:val="auto"/>
                <w:sz w:val="24"/>
                <w:szCs w:val="24"/>
              </w:rPr>
              <w:t>GB16297-1996</w:t>
            </w:r>
            <w:r>
              <w:rPr>
                <w:rFonts w:hint="eastAsia" w:cs="Times New Roman"/>
                <w:b/>
                <w:color w:val="auto"/>
                <w:sz w:val="24"/>
                <w:szCs w:val="24"/>
                <w:lang w:eastAsia="zh-CN"/>
              </w:rPr>
              <w:t>）</w:t>
            </w:r>
            <w:r>
              <w:rPr>
                <w:rFonts w:hint="eastAsia" w:ascii="Times New Roman" w:hAnsi="Times New Roman" w:eastAsia="宋体" w:cs="Times New Roman"/>
                <w:b/>
                <w:color w:val="auto"/>
                <w:sz w:val="24"/>
                <w:szCs w:val="24"/>
                <w:lang w:eastAsia="zh-CN"/>
              </w:rPr>
              <w:t>（摘录）</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1708"/>
              <w:gridCol w:w="1708"/>
              <w:gridCol w:w="1138"/>
              <w:gridCol w:w="1898"/>
            </w:tblGrid>
            <w:tr w14:paraId="72C44F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pct"/>
                  <w:vMerge w:val="restart"/>
                  <w:tcBorders>
                    <w:tl2br w:val="nil"/>
                    <w:tr2bl w:val="nil"/>
                  </w:tcBorders>
                  <w:noWrap w:val="0"/>
                  <w:vAlign w:val="center"/>
                </w:tcPr>
                <w:p w14:paraId="4F528F67">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污染物</w:t>
                  </w:r>
                </w:p>
              </w:tc>
              <w:tc>
                <w:tcPr>
                  <w:tcW w:w="1031" w:type="pct"/>
                  <w:vMerge w:val="restart"/>
                  <w:tcBorders>
                    <w:tl2br w:val="nil"/>
                    <w:tr2bl w:val="nil"/>
                  </w:tcBorders>
                  <w:noWrap w:val="0"/>
                  <w:vAlign w:val="center"/>
                </w:tcPr>
                <w:p w14:paraId="185A3BA5">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最高允许排放浓度（mg/m</w:t>
                  </w:r>
                  <w:r>
                    <w:rPr>
                      <w:rFonts w:ascii="Times New Roman" w:hAnsi="Times New Roman" w:eastAsia="宋体" w:cs="Times New Roman"/>
                      <w:color w:val="auto"/>
                      <w:vertAlign w:val="superscript"/>
                      <w:lang w:val="en-US" w:eastAsia="zh-CN"/>
                    </w:rPr>
                    <w:t>3</w:t>
                  </w:r>
                  <w:r>
                    <w:rPr>
                      <w:rFonts w:ascii="Times New Roman" w:hAnsi="Times New Roman" w:eastAsia="宋体" w:cs="Times New Roman"/>
                      <w:color w:val="auto"/>
                      <w:lang w:val="en-US" w:eastAsia="zh-CN"/>
                    </w:rPr>
                    <w:t>）</w:t>
                  </w:r>
                </w:p>
              </w:tc>
              <w:tc>
                <w:tcPr>
                  <w:tcW w:w="1718" w:type="pct"/>
                  <w:gridSpan w:val="2"/>
                  <w:tcBorders>
                    <w:tl2br w:val="nil"/>
                    <w:tr2bl w:val="nil"/>
                  </w:tcBorders>
                  <w:noWrap w:val="0"/>
                  <w:vAlign w:val="center"/>
                </w:tcPr>
                <w:p w14:paraId="4F830B8B">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最高允许排放速率（kg/h）</w:t>
                  </w:r>
                </w:p>
              </w:tc>
              <w:tc>
                <w:tcPr>
                  <w:tcW w:w="1146" w:type="pct"/>
                  <w:vMerge w:val="restart"/>
                  <w:tcBorders>
                    <w:tl2br w:val="nil"/>
                    <w:tr2bl w:val="nil"/>
                  </w:tcBorders>
                  <w:noWrap w:val="0"/>
                  <w:vAlign w:val="center"/>
                </w:tcPr>
                <w:p w14:paraId="05ABCD75">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无组织排放监控浓度限值</w:t>
                  </w:r>
                  <w:r>
                    <w:rPr>
                      <w:rFonts w:hint="eastAsia" w:cs="Times New Roman"/>
                      <w:color w:val="auto"/>
                      <w:lang w:val="en-US" w:eastAsia="zh-CN"/>
                    </w:rPr>
                    <w:t>（</w:t>
                  </w:r>
                  <w:r>
                    <w:rPr>
                      <w:rFonts w:ascii="Times New Roman" w:hAnsi="Times New Roman" w:eastAsia="宋体" w:cs="Times New Roman"/>
                      <w:color w:val="auto"/>
                      <w:lang w:val="en-US" w:eastAsia="zh-CN"/>
                    </w:rPr>
                    <w:t>mg/m</w:t>
                  </w:r>
                  <w:r>
                    <w:rPr>
                      <w:rFonts w:ascii="Times New Roman" w:hAnsi="Times New Roman" w:eastAsia="宋体" w:cs="Times New Roman"/>
                      <w:color w:val="auto"/>
                      <w:vertAlign w:val="superscript"/>
                      <w:lang w:val="en-US" w:eastAsia="zh-CN"/>
                    </w:rPr>
                    <w:t>3</w:t>
                  </w:r>
                  <w:r>
                    <w:rPr>
                      <w:rFonts w:hint="eastAsia" w:cs="Times New Roman"/>
                      <w:color w:val="auto"/>
                      <w:lang w:val="en-US" w:eastAsia="zh-CN"/>
                    </w:rPr>
                    <w:t>）</w:t>
                  </w:r>
                </w:p>
              </w:tc>
            </w:tr>
            <w:tr w14:paraId="6F7FFF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pct"/>
                  <w:vMerge w:val="continue"/>
                  <w:tcBorders>
                    <w:tl2br w:val="nil"/>
                    <w:tr2bl w:val="nil"/>
                  </w:tcBorders>
                  <w:noWrap w:val="0"/>
                  <w:vAlign w:val="center"/>
                </w:tcPr>
                <w:p w14:paraId="05D3F0FB">
                  <w:pPr>
                    <w:pStyle w:val="170"/>
                    <w:rPr>
                      <w:rFonts w:ascii="Times New Roman" w:hAnsi="Times New Roman" w:eastAsia="宋体" w:cs="Times New Roman"/>
                      <w:color w:val="auto"/>
                      <w:lang w:val="en-US" w:eastAsia="zh-CN"/>
                    </w:rPr>
                  </w:pPr>
                </w:p>
              </w:tc>
              <w:tc>
                <w:tcPr>
                  <w:tcW w:w="1031" w:type="pct"/>
                  <w:vMerge w:val="continue"/>
                  <w:tcBorders>
                    <w:tl2br w:val="nil"/>
                    <w:tr2bl w:val="nil"/>
                  </w:tcBorders>
                  <w:noWrap w:val="0"/>
                  <w:vAlign w:val="center"/>
                </w:tcPr>
                <w:p w14:paraId="621E44C7">
                  <w:pPr>
                    <w:pStyle w:val="170"/>
                    <w:rPr>
                      <w:rFonts w:ascii="Times New Roman" w:hAnsi="Times New Roman" w:eastAsia="宋体" w:cs="Times New Roman"/>
                      <w:color w:val="auto"/>
                      <w:lang w:val="en-US" w:eastAsia="zh-CN"/>
                    </w:rPr>
                  </w:pPr>
                </w:p>
              </w:tc>
              <w:tc>
                <w:tcPr>
                  <w:tcW w:w="1031" w:type="pct"/>
                  <w:tcBorders>
                    <w:tl2br w:val="nil"/>
                    <w:tr2bl w:val="nil"/>
                  </w:tcBorders>
                  <w:noWrap w:val="0"/>
                  <w:vAlign w:val="center"/>
                </w:tcPr>
                <w:p w14:paraId="7DA73B60">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排气筒（m）</w:t>
                  </w:r>
                </w:p>
              </w:tc>
              <w:tc>
                <w:tcPr>
                  <w:tcW w:w="687" w:type="pct"/>
                  <w:tcBorders>
                    <w:tl2br w:val="nil"/>
                    <w:tr2bl w:val="nil"/>
                  </w:tcBorders>
                  <w:noWrap w:val="0"/>
                  <w:vAlign w:val="center"/>
                </w:tcPr>
                <w:p w14:paraId="7C57D1AC">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二级</w:t>
                  </w:r>
                </w:p>
              </w:tc>
              <w:tc>
                <w:tcPr>
                  <w:tcW w:w="1146" w:type="pct"/>
                  <w:vMerge w:val="continue"/>
                  <w:tcBorders>
                    <w:tl2br w:val="nil"/>
                    <w:tr2bl w:val="nil"/>
                  </w:tcBorders>
                  <w:noWrap w:val="0"/>
                  <w:vAlign w:val="center"/>
                </w:tcPr>
                <w:p w14:paraId="2F179101">
                  <w:pPr>
                    <w:pStyle w:val="170"/>
                    <w:rPr>
                      <w:rFonts w:ascii="Times New Roman" w:hAnsi="Times New Roman" w:eastAsia="宋体" w:cs="Times New Roman"/>
                      <w:color w:val="auto"/>
                      <w:lang w:val="en-US" w:eastAsia="zh-CN"/>
                    </w:rPr>
                  </w:pPr>
                </w:p>
              </w:tc>
            </w:tr>
            <w:tr w14:paraId="34F7C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pct"/>
                  <w:tcBorders>
                    <w:tl2br w:val="nil"/>
                    <w:tr2bl w:val="nil"/>
                  </w:tcBorders>
                  <w:noWrap w:val="0"/>
                  <w:vAlign w:val="center"/>
                </w:tcPr>
                <w:p w14:paraId="092F7782">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颗粒物</w:t>
                  </w:r>
                </w:p>
              </w:tc>
              <w:tc>
                <w:tcPr>
                  <w:tcW w:w="1031" w:type="pct"/>
                  <w:tcBorders>
                    <w:tl2br w:val="nil"/>
                    <w:tr2bl w:val="nil"/>
                  </w:tcBorders>
                  <w:noWrap w:val="0"/>
                  <w:vAlign w:val="center"/>
                </w:tcPr>
                <w:p w14:paraId="1A945380">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120</w:t>
                  </w:r>
                </w:p>
              </w:tc>
              <w:tc>
                <w:tcPr>
                  <w:tcW w:w="1031" w:type="pct"/>
                  <w:tcBorders>
                    <w:tl2br w:val="nil"/>
                    <w:tr2bl w:val="nil"/>
                  </w:tcBorders>
                  <w:noWrap w:val="0"/>
                  <w:vAlign w:val="center"/>
                </w:tcPr>
                <w:p w14:paraId="4A7DDF66">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15</w:t>
                  </w:r>
                </w:p>
              </w:tc>
              <w:tc>
                <w:tcPr>
                  <w:tcW w:w="687" w:type="pct"/>
                  <w:tcBorders>
                    <w:tl2br w:val="nil"/>
                    <w:tr2bl w:val="nil"/>
                  </w:tcBorders>
                  <w:noWrap w:val="0"/>
                  <w:vAlign w:val="center"/>
                </w:tcPr>
                <w:p w14:paraId="153BBC9D">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3.5</w:t>
                  </w:r>
                </w:p>
              </w:tc>
              <w:tc>
                <w:tcPr>
                  <w:tcW w:w="1146" w:type="pct"/>
                  <w:tcBorders>
                    <w:tl2br w:val="nil"/>
                    <w:tr2bl w:val="nil"/>
                  </w:tcBorders>
                  <w:noWrap w:val="0"/>
                  <w:vAlign w:val="center"/>
                </w:tcPr>
                <w:p w14:paraId="2C774B40">
                  <w:pPr>
                    <w:pStyle w:val="170"/>
                    <w:rPr>
                      <w:rFonts w:ascii="Times New Roman" w:hAnsi="Times New Roman" w:eastAsia="宋体" w:cs="Times New Roman"/>
                      <w:color w:val="auto"/>
                      <w:lang w:val="en-US" w:eastAsia="zh-CN"/>
                    </w:rPr>
                  </w:pPr>
                  <w:r>
                    <w:rPr>
                      <w:rFonts w:ascii="Times New Roman" w:hAnsi="Times New Roman" w:eastAsia="宋体" w:cs="Times New Roman"/>
                      <w:color w:val="auto"/>
                      <w:lang w:val="en-US" w:eastAsia="zh-CN"/>
                    </w:rPr>
                    <w:t>1.0</w:t>
                  </w:r>
                </w:p>
              </w:tc>
            </w:tr>
          </w:tbl>
          <w:p w14:paraId="053E4E8C">
            <w:pPr>
              <w:numPr>
                <w:ilvl w:val="0"/>
                <w:numId w:val="0"/>
              </w:numPr>
              <w:tabs>
                <w:tab w:val="left" w:pos="0"/>
              </w:tabs>
              <w:ind w:leftChars="0"/>
              <w:jc w:val="both"/>
              <w:rPr>
                <w:rFonts w:hint="eastAsia" w:ascii="Times New Roman" w:hAnsi="Times New Roman" w:eastAsia="宋体" w:cs="Times New Roman"/>
                <w:b/>
                <w:color w:val="auto"/>
                <w:sz w:val="24"/>
                <w:szCs w:val="24"/>
              </w:rPr>
            </w:pPr>
          </w:p>
          <w:p w14:paraId="52DAB775">
            <w:pPr>
              <w:numPr>
                <w:ilvl w:val="0"/>
                <w:numId w:val="0"/>
              </w:numPr>
              <w:tabs>
                <w:tab w:val="left" w:pos="0"/>
              </w:tabs>
              <w:ind w:leftChars="0"/>
              <w:jc w:val="both"/>
              <w:rPr>
                <w:rFonts w:hint="eastAsia" w:ascii="Times New Roman" w:hAnsi="Times New Roman" w:eastAsia="宋体" w:cs="Times New Roman"/>
                <w:b/>
                <w:color w:val="auto"/>
                <w:sz w:val="24"/>
                <w:szCs w:val="24"/>
              </w:rPr>
            </w:pPr>
          </w:p>
          <w:p w14:paraId="0C41F454">
            <w:pPr>
              <w:numPr>
                <w:ilvl w:val="0"/>
                <w:numId w:val="8"/>
              </w:numPr>
              <w:tabs>
                <w:tab w:val="left" w:pos="0"/>
              </w:tabs>
              <w:ind w:left="420" w:hanging="420"/>
              <w:jc w:val="center"/>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 xml:space="preserve">《锅炉大气污染物排放标准》 </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b/>
                <w:color w:val="auto"/>
                <w:sz w:val="24"/>
                <w:szCs w:val="24"/>
              </w:rPr>
              <w:t>单位：mg/m</w:t>
            </w:r>
            <w:r>
              <w:rPr>
                <w:rFonts w:hint="eastAsia" w:ascii="Times New Roman" w:hAnsi="Times New Roman" w:eastAsia="宋体" w:cs="Times New Roman"/>
                <w:b/>
                <w:color w:val="auto"/>
                <w:sz w:val="24"/>
                <w:szCs w:val="24"/>
                <w:vertAlign w:val="superscript"/>
              </w:rPr>
              <w:t>3</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3424"/>
              <w:gridCol w:w="2141"/>
            </w:tblGrid>
            <w:tr w14:paraId="1E2583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pct"/>
                  <w:noWrap w:val="0"/>
                  <w:vAlign w:val="center"/>
                </w:tcPr>
                <w:p w14:paraId="231C195E">
                  <w:pPr>
                    <w:pStyle w:val="235"/>
                    <w:rPr>
                      <w:color w:val="auto"/>
                      <w:sz w:val="21"/>
                      <w:szCs w:val="21"/>
                    </w:rPr>
                  </w:pPr>
                  <w:r>
                    <w:rPr>
                      <w:color w:val="auto"/>
                      <w:sz w:val="21"/>
                      <w:szCs w:val="21"/>
                    </w:rPr>
                    <w:t>污染物项目</w:t>
                  </w:r>
                </w:p>
              </w:tc>
              <w:tc>
                <w:tcPr>
                  <w:tcW w:w="2068" w:type="pct"/>
                  <w:noWrap w:val="0"/>
                  <w:vAlign w:val="center"/>
                </w:tcPr>
                <w:p w14:paraId="65125813">
                  <w:pPr>
                    <w:pStyle w:val="235"/>
                    <w:rPr>
                      <w:color w:val="auto"/>
                      <w:sz w:val="21"/>
                      <w:szCs w:val="21"/>
                    </w:rPr>
                  </w:pPr>
                  <w:r>
                    <w:rPr>
                      <w:color w:val="auto"/>
                      <w:sz w:val="21"/>
                      <w:szCs w:val="21"/>
                    </w:rPr>
                    <w:t>新建</w:t>
                  </w:r>
                  <w:r>
                    <w:rPr>
                      <w:rFonts w:hint="eastAsia"/>
                      <w:color w:val="auto"/>
                      <w:sz w:val="21"/>
                      <w:szCs w:val="21"/>
                    </w:rPr>
                    <w:t>燃气</w:t>
                  </w:r>
                  <w:r>
                    <w:rPr>
                      <w:color w:val="auto"/>
                      <w:sz w:val="21"/>
                      <w:szCs w:val="21"/>
                    </w:rPr>
                    <w:t>锅炉</w:t>
                  </w:r>
                  <w:r>
                    <w:rPr>
                      <w:rFonts w:hint="eastAsia"/>
                      <w:color w:val="auto"/>
                      <w:sz w:val="21"/>
                      <w:szCs w:val="21"/>
                    </w:rPr>
                    <w:t>排放浓度</w:t>
                  </w:r>
                  <w:r>
                    <w:rPr>
                      <w:color w:val="auto"/>
                      <w:sz w:val="21"/>
                      <w:szCs w:val="21"/>
                    </w:rPr>
                    <w:t>限值</w:t>
                  </w:r>
                </w:p>
              </w:tc>
              <w:tc>
                <w:tcPr>
                  <w:tcW w:w="1293" w:type="pct"/>
                  <w:noWrap w:val="0"/>
                  <w:vAlign w:val="center"/>
                </w:tcPr>
                <w:p w14:paraId="49EDD516">
                  <w:pPr>
                    <w:pStyle w:val="235"/>
                    <w:rPr>
                      <w:color w:val="auto"/>
                      <w:sz w:val="21"/>
                      <w:szCs w:val="21"/>
                    </w:rPr>
                  </w:pPr>
                  <w:r>
                    <w:rPr>
                      <w:color w:val="auto"/>
                      <w:sz w:val="21"/>
                      <w:szCs w:val="21"/>
                    </w:rPr>
                    <w:t>污染物排放监控位置</w:t>
                  </w:r>
                </w:p>
              </w:tc>
            </w:tr>
            <w:tr w14:paraId="6A4D31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pct"/>
                  <w:noWrap w:val="0"/>
                  <w:vAlign w:val="center"/>
                </w:tcPr>
                <w:p w14:paraId="52373E2B">
                  <w:pPr>
                    <w:pStyle w:val="235"/>
                    <w:rPr>
                      <w:color w:val="auto"/>
                      <w:sz w:val="21"/>
                      <w:szCs w:val="21"/>
                    </w:rPr>
                  </w:pPr>
                  <w:r>
                    <w:rPr>
                      <w:color w:val="auto"/>
                      <w:sz w:val="21"/>
                      <w:szCs w:val="21"/>
                    </w:rPr>
                    <w:t>颗粒物</w:t>
                  </w:r>
                </w:p>
              </w:tc>
              <w:tc>
                <w:tcPr>
                  <w:tcW w:w="2068" w:type="pct"/>
                  <w:noWrap w:val="0"/>
                  <w:vAlign w:val="center"/>
                </w:tcPr>
                <w:p w14:paraId="5337EF73">
                  <w:pPr>
                    <w:pStyle w:val="235"/>
                    <w:rPr>
                      <w:color w:val="auto"/>
                      <w:sz w:val="21"/>
                      <w:szCs w:val="21"/>
                    </w:rPr>
                  </w:pPr>
                  <w:r>
                    <w:rPr>
                      <w:rFonts w:hint="eastAsia"/>
                      <w:color w:val="auto"/>
                      <w:sz w:val="21"/>
                      <w:szCs w:val="21"/>
                    </w:rPr>
                    <w:t>20</w:t>
                  </w:r>
                </w:p>
              </w:tc>
              <w:tc>
                <w:tcPr>
                  <w:tcW w:w="1293" w:type="pct"/>
                  <w:vMerge w:val="restart"/>
                  <w:noWrap w:val="0"/>
                  <w:vAlign w:val="center"/>
                </w:tcPr>
                <w:p w14:paraId="2580708D">
                  <w:pPr>
                    <w:pStyle w:val="235"/>
                    <w:rPr>
                      <w:color w:val="auto"/>
                      <w:sz w:val="21"/>
                      <w:szCs w:val="21"/>
                    </w:rPr>
                  </w:pPr>
                  <w:r>
                    <w:rPr>
                      <w:color w:val="auto"/>
                      <w:sz w:val="21"/>
                      <w:szCs w:val="21"/>
                    </w:rPr>
                    <w:t>烟囱或烟道</w:t>
                  </w:r>
                </w:p>
              </w:tc>
            </w:tr>
            <w:tr w14:paraId="230088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pct"/>
                  <w:noWrap w:val="0"/>
                  <w:vAlign w:val="center"/>
                </w:tcPr>
                <w:p w14:paraId="7ED58C00">
                  <w:pPr>
                    <w:pStyle w:val="235"/>
                    <w:rPr>
                      <w:rFonts w:ascii="Times New Roman" w:hAnsi="Times New Roman" w:eastAsia="宋体" w:cs="黑体"/>
                      <w:color w:val="auto"/>
                      <w:kern w:val="2"/>
                      <w:sz w:val="21"/>
                      <w:szCs w:val="21"/>
                      <w:lang w:val="en-US" w:eastAsia="zh-CN" w:bidi="ar-SA"/>
                    </w:rPr>
                  </w:pPr>
                  <w:r>
                    <w:rPr>
                      <w:color w:val="auto"/>
                      <w:sz w:val="21"/>
                      <w:szCs w:val="21"/>
                    </w:rPr>
                    <w:t>二氧化硫</w:t>
                  </w:r>
                </w:p>
              </w:tc>
              <w:tc>
                <w:tcPr>
                  <w:tcW w:w="2068" w:type="pct"/>
                  <w:noWrap w:val="0"/>
                  <w:vAlign w:val="center"/>
                </w:tcPr>
                <w:p w14:paraId="6B39FFA9">
                  <w:pPr>
                    <w:pStyle w:val="235"/>
                    <w:rPr>
                      <w:rFonts w:ascii="Times New Roman" w:hAnsi="Times New Roman" w:eastAsia="宋体" w:cs="黑体"/>
                      <w:color w:val="auto"/>
                      <w:kern w:val="2"/>
                      <w:sz w:val="21"/>
                      <w:szCs w:val="21"/>
                      <w:lang w:val="en-US" w:eastAsia="zh-CN" w:bidi="ar-SA"/>
                    </w:rPr>
                  </w:pPr>
                  <w:r>
                    <w:rPr>
                      <w:rFonts w:hint="eastAsia"/>
                      <w:color w:val="auto"/>
                      <w:sz w:val="21"/>
                      <w:szCs w:val="21"/>
                    </w:rPr>
                    <w:t>50</w:t>
                  </w:r>
                </w:p>
              </w:tc>
              <w:tc>
                <w:tcPr>
                  <w:tcW w:w="1293" w:type="pct"/>
                  <w:vMerge w:val="continue"/>
                  <w:noWrap w:val="0"/>
                  <w:vAlign w:val="center"/>
                </w:tcPr>
                <w:p w14:paraId="6380A210">
                  <w:pPr>
                    <w:pStyle w:val="235"/>
                    <w:rPr>
                      <w:color w:val="auto"/>
                      <w:sz w:val="21"/>
                      <w:szCs w:val="21"/>
                    </w:rPr>
                  </w:pPr>
                </w:p>
              </w:tc>
            </w:tr>
            <w:tr w14:paraId="730872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pct"/>
                  <w:noWrap w:val="0"/>
                  <w:vAlign w:val="center"/>
                </w:tcPr>
                <w:p w14:paraId="1AFE7C75">
                  <w:pPr>
                    <w:pStyle w:val="235"/>
                    <w:rPr>
                      <w:rFonts w:ascii="Times New Roman" w:hAnsi="Times New Roman" w:eastAsia="宋体" w:cs="黑体"/>
                      <w:color w:val="auto"/>
                      <w:kern w:val="2"/>
                      <w:sz w:val="21"/>
                      <w:szCs w:val="21"/>
                      <w:lang w:val="en-US" w:eastAsia="zh-CN" w:bidi="ar-SA"/>
                    </w:rPr>
                  </w:pPr>
                  <w:r>
                    <w:rPr>
                      <w:color w:val="auto"/>
                      <w:sz w:val="21"/>
                      <w:szCs w:val="21"/>
                    </w:rPr>
                    <w:t>氮氧化物</w:t>
                  </w:r>
                </w:p>
              </w:tc>
              <w:tc>
                <w:tcPr>
                  <w:tcW w:w="2068" w:type="pct"/>
                  <w:noWrap w:val="0"/>
                  <w:vAlign w:val="center"/>
                </w:tcPr>
                <w:p w14:paraId="5C089496">
                  <w:pPr>
                    <w:pStyle w:val="235"/>
                    <w:rPr>
                      <w:rFonts w:hint="default" w:ascii="Times New Roman" w:hAnsi="Times New Roman" w:eastAsia="宋体" w:cs="黑体"/>
                      <w:color w:val="auto"/>
                      <w:kern w:val="2"/>
                      <w:sz w:val="21"/>
                      <w:szCs w:val="21"/>
                      <w:lang w:val="en-US" w:eastAsia="zh-CN" w:bidi="ar-SA"/>
                    </w:rPr>
                  </w:pPr>
                  <w:r>
                    <w:rPr>
                      <w:rFonts w:hint="eastAsia" w:eastAsia="宋体"/>
                      <w:color w:val="auto"/>
                      <w:sz w:val="21"/>
                      <w:szCs w:val="21"/>
                      <w:lang w:val="en-US" w:eastAsia="zh-CN"/>
                    </w:rPr>
                    <w:t>200</w:t>
                  </w:r>
                </w:p>
              </w:tc>
              <w:tc>
                <w:tcPr>
                  <w:tcW w:w="1293" w:type="pct"/>
                  <w:vMerge w:val="continue"/>
                  <w:noWrap w:val="0"/>
                  <w:vAlign w:val="center"/>
                </w:tcPr>
                <w:p w14:paraId="42A69EFD">
                  <w:pPr>
                    <w:pStyle w:val="235"/>
                    <w:rPr>
                      <w:color w:val="auto"/>
                      <w:sz w:val="21"/>
                      <w:szCs w:val="21"/>
                    </w:rPr>
                  </w:pPr>
                </w:p>
              </w:tc>
            </w:tr>
            <w:tr w14:paraId="2E3561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pct"/>
                  <w:noWrap w:val="0"/>
                  <w:vAlign w:val="center"/>
                </w:tcPr>
                <w:p w14:paraId="08C9C731">
                  <w:pPr>
                    <w:pStyle w:val="235"/>
                    <w:rPr>
                      <w:color w:val="auto"/>
                      <w:sz w:val="21"/>
                      <w:szCs w:val="21"/>
                    </w:rPr>
                  </w:pPr>
                  <w:r>
                    <w:rPr>
                      <w:color w:val="auto"/>
                      <w:sz w:val="21"/>
                      <w:szCs w:val="21"/>
                    </w:rPr>
                    <w:t>烟气黑度</w:t>
                  </w:r>
                  <w:r>
                    <w:rPr>
                      <w:rFonts w:hint="eastAsia"/>
                      <w:color w:val="auto"/>
                      <w:sz w:val="21"/>
                      <w:szCs w:val="21"/>
                    </w:rPr>
                    <w:t>（</w:t>
                  </w:r>
                  <w:r>
                    <w:rPr>
                      <w:color w:val="auto"/>
                      <w:sz w:val="21"/>
                      <w:szCs w:val="21"/>
                    </w:rPr>
                    <w:t>林格曼黑度，级</w:t>
                  </w:r>
                  <w:r>
                    <w:rPr>
                      <w:rFonts w:hint="eastAsia"/>
                      <w:color w:val="auto"/>
                      <w:sz w:val="21"/>
                      <w:szCs w:val="21"/>
                    </w:rPr>
                    <w:t>）</w:t>
                  </w:r>
                </w:p>
              </w:tc>
              <w:tc>
                <w:tcPr>
                  <w:tcW w:w="2068" w:type="pct"/>
                  <w:noWrap w:val="0"/>
                  <w:vAlign w:val="center"/>
                </w:tcPr>
                <w:p w14:paraId="4142ACA0">
                  <w:pPr>
                    <w:pStyle w:val="235"/>
                    <w:rPr>
                      <w:color w:val="auto"/>
                      <w:sz w:val="21"/>
                      <w:szCs w:val="21"/>
                    </w:rPr>
                  </w:pPr>
                  <w:r>
                    <w:rPr>
                      <w:color w:val="auto"/>
                      <w:sz w:val="21"/>
                      <w:szCs w:val="21"/>
                    </w:rPr>
                    <w:t>≤1</w:t>
                  </w:r>
                </w:p>
              </w:tc>
              <w:tc>
                <w:tcPr>
                  <w:tcW w:w="1293" w:type="pct"/>
                  <w:noWrap w:val="0"/>
                  <w:vAlign w:val="center"/>
                </w:tcPr>
                <w:p w14:paraId="752470F5">
                  <w:pPr>
                    <w:pStyle w:val="235"/>
                    <w:rPr>
                      <w:color w:val="auto"/>
                      <w:sz w:val="21"/>
                      <w:szCs w:val="21"/>
                    </w:rPr>
                  </w:pPr>
                  <w:r>
                    <w:rPr>
                      <w:color w:val="auto"/>
                      <w:sz w:val="21"/>
                      <w:szCs w:val="21"/>
                    </w:rPr>
                    <w:t>烟囱排放口</w:t>
                  </w:r>
                </w:p>
              </w:tc>
            </w:tr>
          </w:tbl>
          <w:p w14:paraId="09D133E7">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3.3.3噪声</w:t>
            </w:r>
          </w:p>
          <w:p w14:paraId="5EA8FA2C">
            <w:pPr>
              <w:widowControl/>
              <w:spacing w:line="360" w:lineRule="auto"/>
              <w:ind w:firstLine="480" w:firstLineChars="200"/>
              <w:jc w:val="left"/>
              <w:rPr>
                <w:rFonts w:ascii="Times New Roman" w:hAnsi="Times New Roman"/>
                <w:bCs/>
                <w:color w:val="auto"/>
                <w:kern w:val="0"/>
                <w:sz w:val="24"/>
                <w:szCs w:val="24"/>
                <w:lang w:bidi="en-US"/>
              </w:rPr>
            </w:pPr>
            <w:r>
              <w:rPr>
                <w:rFonts w:ascii="Times New Roman" w:hAnsi="Times New Roman"/>
                <w:bCs/>
                <w:color w:val="auto"/>
                <w:kern w:val="0"/>
                <w:sz w:val="24"/>
                <w:szCs w:val="24"/>
                <w:lang w:bidi="en-US"/>
              </w:rPr>
              <w:t>项目厂界噪声排放执行《工业企业厂界环境噪声排放标准》</w:t>
            </w:r>
            <w:r>
              <w:rPr>
                <w:rFonts w:hint="eastAsia"/>
                <w:bCs/>
                <w:color w:val="auto"/>
                <w:kern w:val="0"/>
                <w:sz w:val="24"/>
                <w:szCs w:val="24"/>
                <w:lang w:eastAsia="zh-CN" w:bidi="en-US"/>
              </w:rPr>
              <w:t>（</w:t>
            </w:r>
            <w:r>
              <w:rPr>
                <w:rFonts w:ascii="Times New Roman" w:hAnsi="Times New Roman"/>
                <w:bCs/>
                <w:color w:val="auto"/>
                <w:kern w:val="0"/>
                <w:sz w:val="24"/>
                <w:szCs w:val="24"/>
                <w:lang w:bidi="en-US"/>
              </w:rPr>
              <w:t>GB12348-2008</w:t>
            </w:r>
            <w:r>
              <w:rPr>
                <w:rFonts w:hint="eastAsia"/>
                <w:bCs/>
                <w:color w:val="auto"/>
                <w:kern w:val="0"/>
                <w:sz w:val="24"/>
                <w:szCs w:val="24"/>
                <w:lang w:eastAsia="zh-CN" w:bidi="en-US"/>
              </w:rPr>
              <w:t>）</w:t>
            </w:r>
            <w:r>
              <w:rPr>
                <w:rFonts w:ascii="Times New Roman" w:hAnsi="Times New Roman"/>
                <w:bCs/>
                <w:color w:val="auto"/>
                <w:kern w:val="0"/>
                <w:sz w:val="24"/>
                <w:szCs w:val="24"/>
                <w:lang w:bidi="en-US"/>
              </w:rPr>
              <w:t>中的</w:t>
            </w:r>
            <w:r>
              <w:rPr>
                <w:rFonts w:hint="eastAsia"/>
                <w:bCs/>
                <w:color w:val="auto"/>
                <w:kern w:val="0"/>
                <w:sz w:val="24"/>
                <w:szCs w:val="24"/>
                <w:lang w:val="en-US" w:eastAsia="zh-CN" w:bidi="en-US"/>
              </w:rPr>
              <w:t>2</w:t>
            </w:r>
            <w:r>
              <w:rPr>
                <w:rFonts w:ascii="Times New Roman" w:hAnsi="Times New Roman"/>
                <w:bCs/>
                <w:color w:val="auto"/>
                <w:kern w:val="0"/>
                <w:sz w:val="24"/>
                <w:szCs w:val="24"/>
                <w:lang w:bidi="en-US"/>
              </w:rPr>
              <w:t>类标准，详见</w:t>
            </w:r>
            <w:r>
              <w:rPr>
                <w:rFonts w:hint="eastAsia" w:ascii="Times New Roman" w:hAnsi="Times New Roman"/>
                <w:bCs/>
                <w:color w:val="auto"/>
                <w:kern w:val="0"/>
                <w:sz w:val="24"/>
                <w:szCs w:val="24"/>
                <w:lang w:val="en-US" w:eastAsia="zh-CN" w:bidi="en-US"/>
              </w:rPr>
              <w:t>下表</w:t>
            </w:r>
            <w:r>
              <w:rPr>
                <w:rFonts w:ascii="Times New Roman" w:hAnsi="Times New Roman"/>
                <w:bCs/>
                <w:color w:val="auto"/>
                <w:kern w:val="0"/>
                <w:sz w:val="24"/>
                <w:szCs w:val="24"/>
                <w:lang w:bidi="en-US"/>
              </w:rPr>
              <w:t>。</w:t>
            </w:r>
          </w:p>
          <w:p w14:paraId="5E91A0D2">
            <w:pPr>
              <w:numPr>
                <w:ilvl w:val="0"/>
                <w:numId w:val="8"/>
              </w:numPr>
              <w:tabs>
                <w:tab w:val="left" w:pos="0"/>
              </w:tabs>
              <w:jc w:val="center"/>
              <w:rPr>
                <w:rFonts w:ascii="Times New Roman" w:hAnsi="Times New Roman"/>
                <w:b/>
                <w:color w:val="auto"/>
                <w:sz w:val="24"/>
                <w:szCs w:val="24"/>
              </w:rPr>
            </w:pPr>
            <w:bookmarkStart w:id="16" w:name="_Ref68077669"/>
            <w:r>
              <w:rPr>
                <w:rFonts w:ascii="Times New Roman" w:hAnsi="Times New Roman"/>
                <w:b/>
                <w:color w:val="auto"/>
                <w:sz w:val="24"/>
                <w:szCs w:val="24"/>
              </w:rPr>
              <w:t>《工业企业厂界环境噪声排放标准》</w:t>
            </w:r>
            <w:r>
              <w:rPr>
                <w:rFonts w:hint="eastAsia"/>
                <w:b/>
                <w:color w:val="auto"/>
                <w:sz w:val="24"/>
                <w:szCs w:val="24"/>
                <w:lang w:eastAsia="zh-CN"/>
              </w:rPr>
              <w:t>（</w:t>
            </w:r>
            <w:r>
              <w:rPr>
                <w:rFonts w:ascii="Times New Roman" w:hAnsi="Times New Roman"/>
                <w:b/>
                <w:color w:val="auto"/>
                <w:sz w:val="24"/>
                <w:szCs w:val="24"/>
              </w:rPr>
              <w:t>GB12348-2008</w:t>
            </w:r>
            <w:r>
              <w:rPr>
                <w:rFonts w:hint="eastAsia"/>
                <w:b/>
                <w:color w:val="auto"/>
                <w:sz w:val="24"/>
                <w:szCs w:val="24"/>
                <w:lang w:eastAsia="zh-CN"/>
              </w:rPr>
              <w:t>）</w:t>
            </w:r>
            <w:r>
              <w:rPr>
                <w:rFonts w:ascii="Times New Roman" w:hAnsi="Times New Roman"/>
                <w:b/>
                <w:color w:val="auto"/>
                <w:sz w:val="24"/>
                <w:szCs w:val="24"/>
              </w:rPr>
              <w:t xml:space="preserve"> 摘录   单位：</w:t>
            </w:r>
            <w:bookmarkEnd w:id="16"/>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1538"/>
              <w:gridCol w:w="1538"/>
              <w:gridCol w:w="2696"/>
            </w:tblGrid>
            <w:tr w14:paraId="1AAF5E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pct"/>
                  <w:tcBorders>
                    <w:tl2br w:val="nil"/>
                    <w:tr2bl w:val="nil"/>
                  </w:tcBorders>
                  <w:noWrap w:val="0"/>
                  <w:tcMar>
                    <w:top w:w="28" w:type="dxa"/>
                    <w:left w:w="28" w:type="dxa"/>
                    <w:bottom w:w="28" w:type="dxa"/>
                    <w:right w:w="28" w:type="dxa"/>
                  </w:tcMar>
                  <w:vAlign w:val="center"/>
                </w:tcPr>
                <w:p w14:paraId="3E6EB947">
                  <w:pPr>
                    <w:widowControl/>
                    <w:jc w:val="center"/>
                    <w:rPr>
                      <w:rFonts w:ascii="Times New Roman" w:hAnsi="Times New Roman"/>
                      <w:color w:val="auto"/>
                      <w:kern w:val="0"/>
                      <w:szCs w:val="21"/>
                      <w:lang w:bidi="en-US"/>
                    </w:rPr>
                  </w:pPr>
                  <w:r>
                    <w:rPr>
                      <w:rFonts w:ascii="Times New Roman" w:hAnsi="Times New Roman"/>
                      <w:color w:val="auto"/>
                      <w:kern w:val="0"/>
                      <w:szCs w:val="21"/>
                      <w:lang w:bidi="en-US"/>
                    </w:rPr>
                    <w:t>类别</w:t>
                  </w:r>
                </w:p>
              </w:tc>
              <w:tc>
                <w:tcPr>
                  <w:tcW w:w="929" w:type="pct"/>
                  <w:tcBorders>
                    <w:tl2br w:val="nil"/>
                    <w:tr2bl w:val="nil"/>
                  </w:tcBorders>
                  <w:noWrap w:val="0"/>
                  <w:tcMar>
                    <w:top w:w="28" w:type="dxa"/>
                    <w:left w:w="28" w:type="dxa"/>
                    <w:bottom w:w="28" w:type="dxa"/>
                    <w:right w:w="28" w:type="dxa"/>
                  </w:tcMar>
                  <w:vAlign w:val="center"/>
                </w:tcPr>
                <w:p w14:paraId="5FAAC566">
                  <w:pPr>
                    <w:widowControl/>
                    <w:jc w:val="center"/>
                    <w:rPr>
                      <w:rFonts w:ascii="Times New Roman" w:hAnsi="Times New Roman"/>
                      <w:color w:val="auto"/>
                      <w:kern w:val="0"/>
                      <w:szCs w:val="21"/>
                      <w:lang w:bidi="en-US"/>
                    </w:rPr>
                  </w:pPr>
                  <w:r>
                    <w:rPr>
                      <w:rFonts w:ascii="Times New Roman" w:hAnsi="Times New Roman"/>
                      <w:color w:val="auto"/>
                      <w:kern w:val="0"/>
                      <w:szCs w:val="21"/>
                      <w:lang w:bidi="en-US"/>
                    </w:rPr>
                    <w:t>昼间</w:t>
                  </w:r>
                </w:p>
              </w:tc>
              <w:tc>
                <w:tcPr>
                  <w:tcW w:w="929" w:type="pct"/>
                  <w:tcBorders>
                    <w:tl2br w:val="nil"/>
                    <w:tr2bl w:val="nil"/>
                  </w:tcBorders>
                  <w:noWrap w:val="0"/>
                  <w:tcMar>
                    <w:top w:w="28" w:type="dxa"/>
                    <w:left w:w="28" w:type="dxa"/>
                    <w:bottom w:w="28" w:type="dxa"/>
                    <w:right w:w="28" w:type="dxa"/>
                  </w:tcMar>
                  <w:vAlign w:val="center"/>
                </w:tcPr>
                <w:p w14:paraId="361CE037">
                  <w:pPr>
                    <w:widowControl/>
                    <w:jc w:val="center"/>
                    <w:rPr>
                      <w:rFonts w:ascii="Times New Roman" w:hAnsi="Times New Roman"/>
                      <w:color w:val="auto"/>
                      <w:kern w:val="0"/>
                      <w:szCs w:val="21"/>
                      <w:lang w:bidi="en-US"/>
                    </w:rPr>
                  </w:pPr>
                  <w:r>
                    <w:rPr>
                      <w:rFonts w:ascii="Times New Roman" w:hAnsi="Times New Roman"/>
                      <w:color w:val="auto"/>
                      <w:kern w:val="0"/>
                      <w:szCs w:val="21"/>
                      <w:lang w:bidi="en-US"/>
                    </w:rPr>
                    <w:t>夜间</w:t>
                  </w:r>
                </w:p>
              </w:tc>
              <w:tc>
                <w:tcPr>
                  <w:tcW w:w="1628" w:type="pct"/>
                  <w:tcBorders>
                    <w:tl2br w:val="nil"/>
                    <w:tr2bl w:val="nil"/>
                  </w:tcBorders>
                  <w:noWrap w:val="0"/>
                  <w:tcMar>
                    <w:top w:w="28" w:type="dxa"/>
                    <w:left w:w="28" w:type="dxa"/>
                    <w:bottom w:w="28" w:type="dxa"/>
                    <w:right w:w="28" w:type="dxa"/>
                  </w:tcMar>
                  <w:vAlign w:val="center"/>
                </w:tcPr>
                <w:p w14:paraId="169C2255">
                  <w:pPr>
                    <w:widowControl/>
                    <w:jc w:val="center"/>
                    <w:rPr>
                      <w:rFonts w:ascii="Times New Roman" w:hAnsi="Times New Roman"/>
                      <w:color w:val="auto"/>
                      <w:kern w:val="0"/>
                      <w:szCs w:val="21"/>
                      <w:lang w:bidi="en-US"/>
                    </w:rPr>
                  </w:pPr>
                  <w:r>
                    <w:rPr>
                      <w:rFonts w:ascii="Times New Roman" w:hAnsi="Times New Roman"/>
                      <w:color w:val="auto"/>
                      <w:kern w:val="0"/>
                      <w:szCs w:val="21"/>
                      <w:lang w:bidi="en-US"/>
                    </w:rPr>
                    <w:t>标准来源</w:t>
                  </w:r>
                </w:p>
              </w:tc>
            </w:tr>
            <w:tr w14:paraId="67E08A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pct"/>
                  <w:tcBorders>
                    <w:tl2br w:val="nil"/>
                    <w:tr2bl w:val="nil"/>
                  </w:tcBorders>
                  <w:noWrap w:val="0"/>
                  <w:tcMar>
                    <w:top w:w="28" w:type="dxa"/>
                    <w:left w:w="28" w:type="dxa"/>
                    <w:bottom w:w="28" w:type="dxa"/>
                    <w:right w:w="28" w:type="dxa"/>
                  </w:tcMar>
                  <w:vAlign w:val="center"/>
                </w:tcPr>
                <w:p w14:paraId="5F3BE9F0">
                  <w:pPr>
                    <w:widowControl/>
                    <w:jc w:val="center"/>
                    <w:rPr>
                      <w:rFonts w:ascii="Times New Roman" w:hAnsi="Times New Roman"/>
                      <w:color w:val="auto"/>
                      <w:kern w:val="0"/>
                      <w:szCs w:val="21"/>
                      <w:lang w:bidi="en-US"/>
                    </w:rPr>
                  </w:pPr>
                  <w:r>
                    <w:rPr>
                      <w:rFonts w:ascii="Times New Roman" w:hAnsi="Times New Roman"/>
                      <w:color w:val="auto"/>
                      <w:kern w:val="0"/>
                      <w:szCs w:val="21"/>
                      <w:lang w:bidi="en-US"/>
                    </w:rPr>
                    <w:t>厂界噪声</w:t>
                  </w:r>
                </w:p>
              </w:tc>
              <w:tc>
                <w:tcPr>
                  <w:tcW w:w="929" w:type="pct"/>
                  <w:tcBorders>
                    <w:tl2br w:val="nil"/>
                    <w:tr2bl w:val="nil"/>
                  </w:tcBorders>
                  <w:noWrap w:val="0"/>
                  <w:tcMar>
                    <w:top w:w="28" w:type="dxa"/>
                    <w:left w:w="28" w:type="dxa"/>
                    <w:bottom w:w="28" w:type="dxa"/>
                    <w:right w:w="28" w:type="dxa"/>
                  </w:tcMar>
                  <w:vAlign w:val="center"/>
                </w:tcPr>
                <w:p w14:paraId="6E83C546">
                  <w:pPr>
                    <w:widowControl/>
                    <w:jc w:val="center"/>
                    <w:rPr>
                      <w:rFonts w:ascii="Times New Roman" w:hAnsi="Times New Roman"/>
                      <w:color w:val="auto"/>
                      <w:kern w:val="0"/>
                      <w:szCs w:val="21"/>
                      <w:lang w:bidi="en-US"/>
                    </w:rPr>
                  </w:pPr>
                  <w:r>
                    <w:rPr>
                      <w:rFonts w:hint="eastAsia"/>
                      <w:color w:val="auto"/>
                      <w:kern w:val="0"/>
                      <w:szCs w:val="21"/>
                      <w:lang w:val="en-US" w:eastAsia="zh-CN" w:bidi="en-US"/>
                    </w:rPr>
                    <w:t>60</w:t>
                  </w:r>
                  <w:r>
                    <w:rPr>
                      <w:rFonts w:ascii="Times New Roman" w:hAnsi="Times New Roman"/>
                      <w:color w:val="auto"/>
                      <w:kern w:val="0"/>
                      <w:szCs w:val="21"/>
                      <w:lang w:bidi="en-US"/>
                    </w:rPr>
                    <w:t>dB</w:t>
                  </w:r>
                  <w:r>
                    <w:rPr>
                      <w:rFonts w:hint="eastAsia"/>
                      <w:color w:val="auto"/>
                      <w:kern w:val="0"/>
                      <w:szCs w:val="21"/>
                      <w:lang w:eastAsia="zh-CN" w:bidi="en-US"/>
                    </w:rPr>
                    <w:t>（</w:t>
                  </w:r>
                  <w:r>
                    <w:rPr>
                      <w:rFonts w:ascii="Times New Roman" w:hAnsi="Times New Roman"/>
                      <w:color w:val="auto"/>
                      <w:kern w:val="0"/>
                      <w:szCs w:val="21"/>
                      <w:lang w:bidi="en-US"/>
                    </w:rPr>
                    <w:t>A</w:t>
                  </w:r>
                  <w:r>
                    <w:rPr>
                      <w:rFonts w:hint="eastAsia"/>
                      <w:color w:val="auto"/>
                      <w:kern w:val="0"/>
                      <w:szCs w:val="21"/>
                      <w:lang w:eastAsia="zh-CN" w:bidi="en-US"/>
                    </w:rPr>
                    <w:t>）</w:t>
                  </w:r>
                </w:p>
              </w:tc>
              <w:tc>
                <w:tcPr>
                  <w:tcW w:w="929" w:type="pct"/>
                  <w:tcBorders>
                    <w:tl2br w:val="nil"/>
                    <w:tr2bl w:val="nil"/>
                  </w:tcBorders>
                  <w:noWrap w:val="0"/>
                  <w:tcMar>
                    <w:top w:w="28" w:type="dxa"/>
                    <w:left w:w="28" w:type="dxa"/>
                    <w:bottom w:w="28" w:type="dxa"/>
                    <w:right w:w="28" w:type="dxa"/>
                  </w:tcMar>
                  <w:vAlign w:val="center"/>
                </w:tcPr>
                <w:p w14:paraId="2A2A99D6">
                  <w:pPr>
                    <w:widowControl/>
                    <w:jc w:val="center"/>
                    <w:rPr>
                      <w:rFonts w:ascii="Times New Roman" w:hAnsi="Times New Roman"/>
                      <w:color w:val="auto"/>
                      <w:kern w:val="0"/>
                      <w:szCs w:val="21"/>
                      <w:lang w:bidi="en-US"/>
                    </w:rPr>
                  </w:pPr>
                  <w:r>
                    <w:rPr>
                      <w:rFonts w:hint="eastAsia"/>
                      <w:color w:val="auto"/>
                      <w:kern w:val="0"/>
                      <w:szCs w:val="21"/>
                      <w:lang w:val="en-US" w:eastAsia="zh-CN" w:bidi="en-US"/>
                    </w:rPr>
                    <w:t>50</w:t>
                  </w:r>
                  <w:r>
                    <w:rPr>
                      <w:rFonts w:ascii="Times New Roman" w:hAnsi="Times New Roman"/>
                      <w:color w:val="auto"/>
                      <w:kern w:val="0"/>
                      <w:szCs w:val="21"/>
                      <w:lang w:bidi="en-US"/>
                    </w:rPr>
                    <w:t>dB</w:t>
                  </w:r>
                  <w:r>
                    <w:rPr>
                      <w:rFonts w:hint="eastAsia"/>
                      <w:color w:val="auto"/>
                      <w:kern w:val="0"/>
                      <w:szCs w:val="21"/>
                      <w:lang w:eastAsia="zh-CN" w:bidi="en-US"/>
                    </w:rPr>
                    <w:t>（</w:t>
                  </w:r>
                  <w:r>
                    <w:rPr>
                      <w:rFonts w:ascii="Times New Roman" w:hAnsi="Times New Roman"/>
                      <w:color w:val="auto"/>
                      <w:kern w:val="0"/>
                      <w:szCs w:val="21"/>
                      <w:lang w:bidi="en-US"/>
                    </w:rPr>
                    <w:t>A</w:t>
                  </w:r>
                  <w:r>
                    <w:rPr>
                      <w:rFonts w:hint="eastAsia"/>
                      <w:color w:val="auto"/>
                      <w:kern w:val="0"/>
                      <w:szCs w:val="21"/>
                      <w:lang w:eastAsia="zh-CN" w:bidi="en-US"/>
                    </w:rPr>
                    <w:t>）</w:t>
                  </w:r>
                </w:p>
              </w:tc>
              <w:tc>
                <w:tcPr>
                  <w:tcW w:w="1628" w:type="pct"/>
                  <w:tcBorders>
                    <w:tl2br w:val="nil"/>
                    <w:tr2bl w:val="nil"/>
                  </w:tcBorders>
                  <w:noWrap w:val="0"/>
                  <w:tcMar>
                    <w:top w:w="28" w:type="dxa"/>
                    <w:left w:w="28" w:type="dxa"/>
                    <w:bottom w:w="28" w:type="dxa"/>
                    <w:right w:w="28" w:type="dxa"/>
                  </w:tcMar>
                  <w:vAlign w:val="center"/>
                </w:tcPr>
                <w:p w14:paraId="1BB71599">
                  <w:pPr>
                    <w:widowControl/>
                    <w:jc w:val="center"/>
                    <w:rPr>
                      <w:rFonts w:ascii="Times New Roman" w:hAnsi="Times New Roman"/>
                      <w:color w:val="auto"/>
                      <w:kern w:val="0"/>
                      <w:szCs w:val="21"/>
                      <w:lang w:bidi="en-US"/>
                    </w:rPr>
                  </w:pPr>
                  <w:r>
                    <w:rPr>
                      <w:rFonts w:ascii="Times New Roman" w:hAnsi="Times New Roman"/>
                      <w:color w:val="auto"/>
                      <w:kern w:val="0"/>
                      <w:szCs w:val="21"/>
                      <w:lang w:bidi="en-US"/>
                    </w:rPr>
                    <w:t>GB12348-2008中</w:t>
                  </w:r>
                  <w:r>
                    <w:rPr>
                      <w:rFonts w:hint="eastAsia"/>
                      <w:color w:val="auto"/>
                      <w:kern w:val="0"/>
                      <w:szCs w:val="21"/>
                      <w:lang w:val="en-US" w:eastAsia="zh-CN" w:bidi="en-US"/>
                    </w:rPr>
                    <w:t>2</w:t>
                  </w:r>
                  <w:r>
                    <w:rPr>
                      <w:rFonts w:ascii="Times New Roman" w:hAnsi="Times New Roman"/>
                      <w:color w:val="auto"/>
                      <w:kern w:val="0"/>
                      <w:szCs w:val="21"/>
                      <w:lang w:bidi="en-US"/>
                    </w:rPr>
                    <w:t>类标准</w:t>
                  </w:r>
                </w:p>
              </w:tc>
            </w:tr>
          </w:tbl>
          <w:p w14:paraId="32BA2FF7">
            <w:pPr>
              <w:spacing w:before="120" w:beforeLines="50" w:line="360" w:lineRule="auto"/>
              <w:jc w:val="left"/>
              <w:outlineLvl w:val="2"/>
              <w:rPr>
                <w:rFonts w:ascii="Times New Roman" w:hAnsi="Times New Roman"/>
                <w:b/>
                <w:color w:val="auto"/>
                <w:sz w:val="24"/>
                <w:szCs w:val="24"/>
              </w:rPr>
            </w:pPr>
            <w:r>
              <w:rPr>
                <w:rFonts w:ascii="Times New Roman" w:hAnsi="Times New Roman"/>
                <w:b/>
                <w:color w:val="auto"/>
                <w:sz w:val="24"/>
                <w:szCs w:val="24"/>
              </w:rPr>
              <w:t>3.3.4</w:t>
            </w:r>
            <w:r>
              <w:rPr>
                <w:rFonts w:ascii="Times New Roman" w:hAnsi="Times New Roman"/>
                <w:b/>
                <w:color w:val="auto"/>
                <w:sz w:val="24"/>
                <w:szCs w:val="24"/>
                <w:lang w:val="zh-CN"/>
              </w:rPr>
              <w:t>固体废物</w:t>
            </w:r>
          </w:p>
          <w:p w14:paraId="74765D72">
            <w:pPr>
              <w:spacing w:line="360" w:lineRule="auto"/>
              <w:ind w:firstLine="480" w:firstLineChars="200"/>
              <w:outlineLvl w:val="2"/>
              <w:rPr>
                <w:rFonts w:ascii="Times New Roman" w:hAnsi="Times New Roman"/>
                <w:b/>
                <w:color w:val="auto"/>
                <w:szCs w:val="21"/>
              </w:rPr>
            </w:pPr>
            <w:r>
              <w:rPr>
                <w:rFonts w:ascii="Times New Roman" w:hAnsi="Times New Roman"/>
                <w:color w:val="auto"/>
                <w:sz w:val="24"/>
                <w:szCs w:val="24"/>
              </w:rPr>
              <w:t>一般工业固体废物执行《一般工业固体废物贮存和填埋污染控制标准》（GB 18599-2020）和《</w:t>
            </w:r>
            <w:r>
              <w:rPr>
                <w:rFonts w:hint="eastAsia" w:ascii="Times New Roman" w:hAnsi="Times New Roman"/>
                <w:color w:val="auto"/>
                <w:sz w:val="24"/>
                <w:szCs w:val="24"/>
                <w:lang w:eastAsia="zh-CN"/>
              </w:rPr>
              <w:t>中华人民共和国固体废物污染环境防治法</w:t>
            </w:r>
            <w:r>
              <w:rPr>
                <w:rFonts w:ascii="Times New Roman" w:hAnsi="Times New Roman"/>
                <w:color w:val="auto"/>
                <w:sz w:val="24"/>
                <w:szCs w:val="24"/>
              </w:rPr>
              <w:t>》中的有关规定。</w:t>
            </w:r>
          </w:p>
        </w:tc>
      </w:tr>
      <w:tr w14:paraId="3DAB9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817" w:type="dxa"/>
            <w:noWrap w:val="0"/>
            <w:vAlign w:val="center"/>
          </w:tcPr>
          <w:p w14:paraId="0B52DA49">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总量</w:t>
            </w:r>
          </w:p>
          <w:p w14:paraId="5B743794">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控制</w:t>
            </w:r>
          </w:p>
          <w:p w14:paraId="55C39A68">
            <w:pPr>
              <w:adjustRightInd w:val="0"/>
              <w:snapToGrid w:val="0"/>
              <w:jc w:val="center"/>
              <w:rPr>
                <w:rFonts w:ascii="Times New Roman" w:hAnsi="Times New Roman"/>
                <w:color w:val="auto"/>
                <w:kern w:val="0"/>
                <w:szCs w:val="21"/>
              </w:rPr>
            </w:pPr>
            <w:r>
              <w:rPr>
                <w:rFonts w:ascii="Times New Roman" w:hAnsi="Times New Roman"/>
                <w:color w:val="auto"/>
                <w:kern w:val="0"/>
                <w:sz w:val="24"/>
                <w:szCs w:val="24"/>
              </w:rPr>
              <w:t>指标</w:t>
            </w:r>
          </w:p>
        </w:tc>
        <w:tc>
          <w:tcPr>
            <w:tcW w:w="8244" w:type="dxa"/>
            <w:noWrap w:val="0"/>
            <w:vAlign w:val="center"/>
          </w:tcPr>
          <w:p w14:paraId="66D22C8E">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3.4总量控制指标</w:t>
            </w:r>
          </w:p>
          <w:p w14:paraId="136E0E6C">
            <w:pPr>
              <w:pStyle w:val="153"/>
              <w:rPr>
                <w:rFonts w:hint="default" w:ascii="Times New Roman" w:hAnsi="Times New Roman" w:cs="Times New Roman"/>
                <w:color w:val="auto"/>
              </w:rPr>
            </w:pPr>
            <w:r>
              <w:rPr>
                <w:rFonts w:hint="default" w:ascii="Times New Roman" w:hAnsi="Times New Roman" w:cs="Times New Roman"/>
                <w:color w:val="auto"/>
              </w:rPr>
              <w:t>根据《福建省“十四五”生态环境保护专项规划》（闽政办〔2021〕59号）、《福建省人民政府关于推进排污权有偿使用和交易工作的意见</w:t>
            </w:r>
            <w:r>
              <w:rPr>
                <w:rFonts w:hint="eastAsia" w:cs="Times New Roman"/>
                <w:color w:val="auto"/>
                <w:lang w:eastAsia="zh-CN"/>
              </w:rPr>
              <w:t>（</w:t>
            </w:r>
            <w:r>
              <w:rPr>
                <w:rFonts w:hint="default" w:ascii="Times New Roman" w:hAnsi="Times New Roman" w:cs="Times New Roman"/>
                <w:color w:val="auto"/>
              </w:rPr>
              <w:t>试行</w:t>
            </w:r>
            <w:r>
              <w:rPr>
                <w:rFonts w:hint="eastAsia" w:cs="Times New Roman"/>
                <w:color w:val="auto"/>
                <w:lang w:eastAsia="zh-CN"/>
              </w:rPr>
              <w:t>）</w:t>
            </w:r>
            <w:r>
              <w:rPr>
                <w:rFonts w:hint="default" w:ascii="Times New Roman" w:hAnsi="Times New Roman" w:cs="Times New Roman"/>
                <w:color w:val="auto"/>
              </w:rPr>
              <w:t>》（闽政</w:t>
            </w:r>
            <w:r>
              <w:rPr>
                <w:rFonts w:hint="eastAsia" w:cs="Times New Roman"/>
                <w:color w:val="auto"/>
                <w:lang w:eastAsia="zh-CN"/>
              </w:rPr>
              <w:t>〔2014〕24号</w:t>
            </w:r>
            <w:r>
              <w:rPr>
                <w:rFonts w:hint="default" w:ascii="Times New Roman" w:hAnsi="Times New Roman" w:cs="Times New Roman"/>
                <w:color w:val="auto"/>
              </w:rPr>
              <w:t>）、《福建省环保厅关于贯彻落实&lt;推进排污权有偿使用和交易工作的意见（试行）&gt;的通知》（闽环发</w:t>
            </w:r>
            <w:r>
              <w:rPr>
                <w:rFonts w:hint="eastAsia" w:cs="Times New Roman"/>
                <w:color w:val="auto"/>
                <w:lang w:eastAsia="zh-CN"/>
              </w:rPr>
              <w:t>〔2014〕9号</w:t>
            </w:r>
            <w:r>
              <w:rPr>
                <w:rFonts w:hint="default" w:ascii="Times New Roman" w:hAnsi="Times New Roman" w:cs="Times New Roman"/>
                <w:color w:val="auto"/>
              </w:rPr>
              <w:t>）、《福建省环保厅关于环评审批中落实排污权交易工作要求的通知》（闽环保评</w:t>
            </w:r>
            <w:r>
              <w:rPr>
                <w:rFonts w:hint="eastAsia" w:cs="Times New Roman"/>
                <w:color w:val="auto"/>
                <w:lang w:eastAsia="zh-CN"/>
              </w:rPr>
              <w:t>〔2014〕43号</w:t>
            </w:r>
            <w:r>
              <w:rPr>
                <w:rFonts w:hint="default" w:ascii="Times New Roman" w:hAnsi="Times New Roman" w:cs="Times New Roman"/>
                <w:color w:val="auto"/>
              </w:rPr>
              <w:t>）等有关文件要求，需进行排放总量控制的污染物为COD、NH</w:t>
            </w:r>
            <w:r>
              <w:rPr>
                <w:rFonts w:hint="default" w:ascii="Times New Roman" w:hAnsi="Times New Roman" w:cs="Times New Roman"/>
                <w:color w:val="auto"/>
                <w:vertAlign w:val="subscript"/>
              </w:rPr>
              <w:t>3</w:t>
            </w:r>
            <w:r>
              <w:rPr>
                <w:rFonts w:hint="default" w:ascii="Times New Roman" w:hAnsi="Times New Roman" w:cs="Times New Roman"/>
                <w:color w:val="auto"/>
              </w:rPr>
              <w:t>-N、SO</w:t>
            </w:r>
            <w:r>
              <w:rPr>
                <w:rFonts w:hint="default" w:ascii="Times New Roman" w:hAnsi="Times New Roman" w:cs="Times New Roman"/>
                <w:color w:val="auto"/>
                <w:vertAlign w:val="subscript"/>
              </w:rPr>
              <w:t>2</w:t>
            </w:r>
            <w:r>
              <w:rPr>
                <w:rFonts w:hint="default" w:ascii="Times New Roman" w:hAnsi="Times New Roman" w:cs="Times New Roman"/>
                <w:color w:val="auto"/>
              </w:rPr>
              <w:t>、NO</w:t>
            </w:r>
            <w:r>
              <w:rPr>
                <w:rFonts w:hint="default" w:ascii="Times New Roman" w:hAnsi="Times New Roman" w:cs="Times New Roman"/>
                <w:color w:val="auto"/>
                <w:vertAlign w:val="subscript"/>
              </w:rPr>
              <w:t>X</w:t>
            </w:r>
            <w:r>
              <w:rPr>
                <w:rFonts w:hint="eastAsia" w:cs="Times New Roman"/>
                <w:color w:val="auto"/>
                <w:vertAlign w:val="baseline"/>
                <w:lang w:eastAsia="zh-CN"/>
              </w:rPr>
              <w:t>、</w:t>
            </w:r>
            <w:r>
              <w:rPr>
                <w:rFonts w:hint="eastAsia" w:cs="Times New Roman"/>
                <w:color w:val="auto"/>
                <w:vertAlign w:val="baseline"/>
                <w:lang w:val="en-US" w:eastAsia="zh-CN"/>
              </w:rPr>
              <w:t>VOCs</w:t>
            </w:r>
            <w:r>
              <w:rPr>
                <w:rFonts w:hint="default" w:ascii="Times New Roman" w:hAnsi="Times New Roman" w:cs="Times New Roman"/>
                <w:color w:val="auto"/>
              </w:rPr>
              <w:t>。</w:t>
            </w:r>
          </w:p>
          <w:p w14:paraId="5513DF76">
            <w:pPr>
              <w:pStyle w:val="243"/>
              <w:rPr>
                <w:rFonts w:hint="eastAsia"/>
                <w:color w:val="auto"/>
              </w:rPr>
            </w:pPr>
            <w:r>
              <w:rPr>
                <w:rFonts w:hint="eastAsia"/>
                <w:color w:val="auto"/>
              </w:rPr>
              <w:t>（1）废水污染物排放总量指标</w:t>
            </w:r>
          </w:p>
          <w:p w14:paraId="34EEF9F5">
            <w:pPr>
              <w:pStyle w:val="243"/>
              <w:rPr>
                <w:rFonts w:hint="eastAsia"/>
                <w:color w:val="auto"/>
              </w:rPr>
            </w:pPr>
            <w:r>
              <w:rPr>
                <w:rFonts w:hint="eastAsia"/>
                <w:color w:val="auto"/>
              </w:rPr>
              <w:t>运营期，本项目无生产废水外排，生活污水经化粪池处理后用于周边林地施肥，无需申请总量。</w:t>
            </w:r>
          </w:p>
          <w:p w14:paraId="6B6D8561">
            <w:pPr>
              <w:pStyle w:val="243"/>
              <w:rPr>
                <w:rFonts w:hint="eastAsia"/>
                <w:color w:val="auto"/>
              </w:rPr>
            </w:pPr>
            <w:r>
              <w:rPr>
                <w:rFonts w:hint="eastAsia"/>
                <w:color w:val="auto"/>
              </w:rPr>
              <w:t>（2）大气污染物排放总量控制指标</w:t>
            </w:r>
          </w:p>
          <w:p w14:paraId="20E81A71">
            <w:pPr>
              <w:pStyle w:val="219"/>
              <w:spacing w:line="360" w:lineRule="auto"/>
              <w:rPr>
                <w:rFonts w:hint="eastAsia"/>
                <w:color w:val="auto"/>
                <w:highlight w:val="none"/>
              </w:rPr>
            </w:pPr>
            <w:r>
              <w:rPr>
                <w:rFonts w:hint="eastAsia"/>
                <w:color w:val="auto"/>
                <w:highlight w:val="none"/>
              </w:rPr>
              <w:t>项目</w:t>
            </w:r>
            <w:r>
              <w:rPr>
                <w:rFonts w:hint="eastAsia"/>
                <w:color w:val="auto"/>
                <w:highlight w:val="none"/>
                <w:lang w:val="en-US" w:eastAsia="zh-CN"/>
              </w:rPr>
              <w:t>废气</w:t>
            </w:r>
            <w:r>
              <w:rPr>
                <w:rFonts w:hint="eastAsia"/>
                <w:color w:val="auto"/>
                <w:highlight w:val="none"/>
              </w:rPr>
              <w:t>污染物排放总量控制详见表</w:t>
            </w:r>
            <w:r>
              <w:rPr>
                <w:rFonts w:hint="eastAsia"/>
                <w:color w:val="auto"/>
                <w:highlight w:val="none"/>
                <w:lang w:val="en-US" w:eastAsia="zh-CN"/>
              </w:rPr>
              <w:t>24</w:t>
            </w:r>
            <w:r>
              <w:rPr>
                <w:rFonts w:hint="eastAsia"/>
                <w:color w:val="auto"/>
                <w:highlight w:val="none"/>
              </w:rPr>
              <w:t>。</w:t>
            </w:r>
          </w:p>
          <w:p w14:paraId="0FD63099">
            <w:pPr>
              <w:numPr>
                <w:ilvl w:val="0"/>
                <w:numId w:val="8"/>
              </w:numPr>
              <w:tabs>
                <w:tab w:val="left" w:pos="0"/>
              </w:tabs>
              <w:jc w:val="center"/>
              <w:rPr>
                <w:rFonts w:hint="eastAsia" w:ascii="Times New Roman" w:hAnsi="Times New Roman" w:eastAsia="宋体" w:cs="Times New Roman"/>
                <w:b/>
                <w:color w:val="auto"/>
                <w:sz w:val="24"/>
                <w:szCs w:val="24"/>
                <w:highlight w:val="none"/>
              </w:rPr>
            </w:pPr>
            <w:r>
              <w:rPr>
                <w:rFonts w:hint="eastAsia"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项目</w:t>
            </w:r>
            <w:r>
              <w:rPr>
                <w:rFonts w:ascii="Times New Roman" w:hAnsi="Times New Roman" w:eastAsia="宋体" w:cs="Times New Roman"/>
                <w:b/>
                <w:color w:val="auto"/>
                <w:sz w:val="24"/>
                <w:szCs w:val="24"/>
                <w:highlight w:val="none"/>
              </w:rPr>
              <w:t>总量控制一览表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1530"/>
              <w:gridCol w:w="2174"/>
              <w:gridCol w:w="2553"/>
              <w:gridCol w:w="2019"/>
            </w:tblGrid>
            <w:tr w14:paraId="6A6AFA5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924" w:type="pct"/>
                  <w:noWrap w:val="0"/>
                  <w:vAlign w:val="center"/>
                </w:tcPr>
                <w:p w14:paraId="2D2B9F64">
                  <w:pPr>
                    <w:adjustRightInd w:val="0"/>
                    <w:jc w:val="center"/>
                    <w:textAlignment w:val="center"/>
                    <w:rPr>
                      <w:color w:val="auto"/>
                      <w:szCs w:val="21"/>
                      <w:highlight w:val="none"/>
                    </w:rPr>
                  </w:pPr>
                  <w:r>
                    <w:rPr>
                      <w:color w:val="auto"/>
                      <w:szCs w:val="21"/>
                      <w:highlight w:val="none"/>
                    </w:rPr>
                    <w:t>污染物类别</w:t>
                  </w:r>
                </w:p>
              </w:tc>
              <w:tc>
                <w:tcPr>
                  <w:tcW w:w="1313" w:type="pct"/>
                  <w:noWrap w:val="0"/>
                  <w:vAlign w:val="center"/>
                </w:tcPr>
                <w:p w14:paraId="1526EDC6">
                  <w:pPr>
                    <w:adjustRightInd w:val="0"/>
                    <w:jc w:val="center"/>
                    <w:textAlignment w:val="center"/>
                    <w:rPr>
                      <w:color w:val="auto"/>
                      <w:szCs w:val="21"/>
                      <w:highlight w:val="none"/>
                    </w:rPr>
                  </w:pPr>
                  <w:r>
                    <w:rPr>
                      <w:color w:val="auto"/>
                      <w:szCs w:val="21"/>
                      <w:highlight w:val="none"/>
                    </w:rPr>
                    <w:t>总量控制项目</w:t>
                  </w:r>
                </w:p>
              </w:tc>
              <w:tc>
                <w:tcPr>
                  <w:tcW w:w="1542" w:type="pct"/>
                  <w:noWrap w:val="0"/>
                  <w:vAlign w:val="center"/>
                </w:tcPr>
                <w:p w14:paraId="76FFF524">
                  <w:pPr>
                    <w:adjustRightInd w:val="0"/>
                    <w:jc w:val="center"/>
                    <w:textAlignment w:val="center"/>
                    <w:rPr>
                      <w:color w:val="auto"/>
                      <w:szCs w:val="21"/>
                      <w:highlight w:val="none"/>
                    </w:rPr>
                  </w:pPr>
                  <w:r>
                    <w:rPr>
                      <w:rFonts w:hint="eastAsia"/>
                      <w:color w:val="auto"/>
                      <w:szCs w:val="21"/>
                      <w:highlight w:val="none"/>
                      <w:lang w:val="en-US" w:eastAsia="zh-CN"/>
                    </w:rPr>
                    <w:t>新增</w:t>
                  </w:r>
                  <w:r>
                    <w:rPr>
                      <w:color w:val="auto"/>
                      <w:szCs w:val="21"/>
                      <w:highlight w:val="none"/>
                    </w:rPr>
                    <w:t>总量控制指标（t/a）</w:t>
                  </w:r>
                </w:p>
              </w:tc>
              <w:tc>
                <w:tcPr>
                  <w:tcW w:w="1219" w:type="pct"/>
                  <w:tcBorders>
                    <w:left w:val="single" w:color="000000" w:sz="4" w:space="0"/>
                  </w:tcBorders>
                  <w:noWrap w:val="0"/>
                  <w:vAlign w:val="center"/>
                </w:tcPr>
                <w:p w14:paraId="7DDDD3E6">
                  <w:pPr>
                    <w:adjustRightInd w:val="0"/>
                    <w:jc w:val="center"/>
                    <w:textAlignment w:val="center"/>
                    <w:rPr>
                      <w:rFonts w:hint="default" w:eastAsia="宋体"/>
                      <w:color w:val="auto"/>
                      <w:szCs w:val="21"/>
                      <w:highlight w:val="none"/>
                      <w:lang w:val="en-US" w:eastAsia="zh-CN"/>
                    </w:rPr>
                  </w:pPr>
                  <w:r>
                    <w:rPr>
                      <w:rFonts w:hint="eastAsia"/>
                      <w:color w:val="auto"/>
                      <w:szCs w:val="21"/>
                      <w:highlight w:val="none"/>
                    </w:rPr>
                    <w:t>建议申请排放量</w:t>
                  </w:r>
                  <w:r>
                    <w:rPr>
                      <w:color w:val="auto"/>
                      <w:szCs w:val="21"/>
                      <w:highlight w:val="none"/>
                    </w:rPr>
                    <w:t>（t/a）</w:t>
                  </w:r>
                </w:p>
              </w:tc>
            </w:tr>
            <w:tr w14:paraId="67ACB7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924" w:type="pct"/>
                  <w:vMerge w:val="restart"/>
                  <w:noWrap w:val="0"/>
                  <w:vAlign w:val="center"/>
                </w:tcPr>
                <w:p w14:paraId="41ED53E3">
                  <w:pPr>
                    <w:adjustRightInd w:val="0"/>
                    <w:jc w:val="center"/>
                    <w:textAlignment w:val="center"/>
                    <w:rPr>
                      <w:color w:val="auto"/>
                      <w:szCs w:val="21"/>
                      <w:highlight w:val="none"/>
                    </w:rPr>
                  </w:pPr>
                  <w:r>
                    <w:rPr>
                      <w:color w:val="auto"/>
                      <w:szCs w:val="21"/>
                      <w:highlight w:val="none"/>
                    </w:rPr>
                    <w:t>废气</w:t>
                  </w:r>
                </w:p>
              </w:tc>
              <w:tc>
                <w:tcPr>
                  <w:tcW w:w="1313" w:type="pct"/>
                  <w:noWrap w:val="0"/>
                  <w:vAlign w:val="center"/>
                </w:tcPr>
                <w:p w14:paraId="46891968">
                  <w:pPr>
                    <w:pStyle w:val="82"/>
                    <w:rPr>
                      <w:rFonts w:hint="eastAsia" w:eastAsia="宋体"/>
                      <w:color w:val="auto"/>
                      <w:szCs w:val="21"/>
                      <w:highlight w:val="none"/>
                      <w:lang w:val="en-US" w:eastAsia="zh-CN"/>
                    </w:rPr>
                  </w:pPr>
                  <w:r>
                    <w:rPr>
                      <w:rFonts w:hint="eastAsia"/>
                      <w:color w:val="auto"/>
                      <w:lang w:val="en-US" w:eastAsia="zh-CN"/>
                    </w:rPr>
                    <w:t>颗粒物</w:t>
                  </w:r>
                </w:p>
              </w:tc>
              <w:tc>
                <w:tcPr>
                  <w:tcW w:w="1542" w:type="pct"/>
                  <w:noWrap w:val="0"/>
                  <w:vAlign w:val="center"/>
                </w:tcPr>
                <w:p w14:paraId="22AEBF5B">
                  <w:pPr>
                    <w:keepNext w:val="0"/>
                    <w:keepLines w:val="0"/>
                    <w:widowControl/>
                    <w:suppressLineNumbers w:val="0"/>
                    <w:jc w:val="center"/>
                    <w:textAlignment w:val="center"/>
                    <w:rPr>
                      <w:rFonts w:hint="default" w:ascii="Times New Roman" w:hAnsi="Times New Roman" w:cs="Times New Roman"/>
                      <w:color w:val="auto"/>
                      <w:szCs w:val="21"/>
                      <w:highlight w:val="none"/>
                      <w:lang w:val="en-US" w:eastAsia="zh-CN"/>
                    </w:rPr>
                  </w:pPr>
                  <w:r>
                    <w:rPr>
                      <w:rFonts w:hint="eastAsia" w:cs="Times New Roman"/>
                      <w:i w:val="0"/>
                      <w:iCs w:val="0"/>
                      <w:color w:val="auto"/>
                      <w:kern w:val="2"/>
                      <w:sz w:val="21"/>
                      <w:szCs w:val="21"/>
                      <w:u w:val="none"/>
                      <w:lang w:val="en-US" w:eastAsia="zh-CN" w:bidi="ar-SA"/>
                    </w:rPr>
                    <w:t>8.583</w:t>
                  </w:r>
                </w:p>
              </w:tc>
              <w:tc>
                <w:tcPr>
                  <w:tcW w:w="1219" w:type="pct"/>
                  <w:tcBorders>
                    <w:left w:val="single" w:color="000000" w:sz="4" w:space="0"/>
                  </w:tcBorders>
                  <w:noWrap w:val="0"/>
                  <w:vAlign w:val="center"/>
                </w:tcPr>
                <w:p w14:paraId="10597AA3">
                  <w:pPr>
                    <w:keepNext w:val="0"/>
                    <w:keepLines w:val="0"/>
                    <w:widowControl/>
                    <w:suppressLineNumbers w:val="0"/>
                    <w:jc w:val="center"/>
                    <w:textAlignment w:val="center"/>
                    <w:rPr>
                      <w:rFonts w:hint="default" w:ascii="Times New Roman" w:hAnsi="Times New Roman" w:cs="Times New Roman"/>
                      <w:color w:val="auto"/>
                      <w:szCs w:val="21"/>
                      <w:highlight w:val="none"/>
                      <w:lang w:val="en-US" w:eastAsia="zh-CN"/>
                    </w:rPr>
                  </w:pPr>
                  <w:r>
                    <w:rPr>
                      <w:rFonts w:hint="eastAsia" w:cs="Times New Roman"/>
                      <w:i w:val="0"/>
                      <w:iCs w:val="0"/>
                      <w:color w:val="auto"/>
                      <w:kern w:val="2"/>
                      <w:sz w:val="21"/>
                      <w:szCs w:val="21"/>
                      <w:u w:val="none"/>
                      <w:lang w:val="en-US" w:eastAsia="zh-CN" w:bidi="ar-SA"/>
                    </w:rPr>
                    <w:t>/</w:t>
                  </w:r>
                </w:p>
              </w:tc>
            </w:tr>
            <w:tr w14:paraId="1A48CB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924" w:type="pct"/>
                  <w:vMerge w:val="continue"/>
                  <w:noWrap w:val="0"/>
                  <w:vAlign w:val="center"/>
                </w:tcPr>
                <w:p w14:paraId="46E57F2F">
                  <w:pPr>
                    <w:adjustRightInd w:val="0"/>
                    <w:jc w:val="center"/>
                    <w:textAlignment w:val="center"/>
                    <w:rPr>
                      <w:color w:val="auto"/>
                      <w:szCs w:val="21"/>
                      <w:highlight w:val="none"/>
                    </w:rPr>
                  </w:pPr>
                </w:p>
              </w:tc>
              <w:tc>
                <w:tcPr>
                  <w:tcW w:w="1313" w:type="pct"/>
                  <w:noWrap w:val="0"/>
                  <w:vAlign w:val="center"/>
                </w:tcPr>
                <w:p w14:paraId="6088940B">
                  <w:pPr>
                    <w:pStyle w:val="82"/>
                    <w:rPr>
                      <w:color w:val="auto"/>
                      <w:szCs w:val="21"/>
                      <w:highlight w:val="none"/>
                      <w:lang w:val="en-US"/>
                    </w:rPr>
                  </w:pPr>
                  <w:r>
                    <w:rPr>
                      <w:color w:val="auto"/>
                      <w:szCs w:val="21"/>
                      <w:highlight w:val="none"/>
                    </w:rPr>
                    <w:t>SO</w:t>
                  </w:r>
                  <w:r>
                    <w:rPr>
                      <w:color w:val="auto"/>
                      <w:szCs w:val="21"/>
                      <w:highlight w:val="none"/>
                      <w:vertAlign w:val="subscript"/>
                    </w:rPr>
                    <w:t>2</w:t>
                  </w:r>
                </w:p>
              </w:tc>
              <w:tc>
                <w:tcPr>
                  <w:tcW w:w="1542" w:type="pct"/>
                  <w:noWrap w:val="0"/>
                  <w:vAlign w:val="center"/>
                </w:tcPr>
                <w:p w14:paraId="04AD56AC">
                  <w:pPr>
                    <w:keepNext w:val="0"/>
                    <w:keepLines w:val="0"/>
                    <w:widowControl/>
                    <w:suppressLineNumbers w:val="0"/>
                    <w:jc w:val="center"/>
                    <w:textAlignment w:val="center"/>
                    <w:rPr>
                      <w:rFonts w:hint="default" w:ascii="Times New Roman" w:eastAsia="宋体"/>
                      <w:color w:val="auto"/>
                      <w:sz w:val="21"/>
                      <w:szCs w:val="21"/>
                      <w:highlight w:val="none"/>
                      <w:lang w:val="en-US" w:eastAsia="zh-CN"/>
                    </w:rPr>
                  </w:pPr>
                  <w:r>
                    <w:rPr>
                      <w:rFonts w:hint="default" w:ascii="Times New Roman" w:hAnsi="Times New Roman" w:cs="Times New Roman"/>
                      <w:color w:val="auto"/>
                      <w:szCs w:val="21"/>
                      <w:highlight w:val="none"/>
                      <w:lang w:val="en-US" w:eastAsia="zh-CN"/>
                    </w:rPr>
                    <w:t>0.091</w:t>
                  </w:r>
                </w:p>
              </w:tc>
              <w:tc>
                <w:tcPr>
                  <w:tcW w:w="1219" w:type="pct"/>
                  <w:tcBorders>
                    <w:left w:val="single" w:color="000000" w:sz="4" w:space="0"/>
                  </w:tcBorders>
                  <w:noWrap w:val="0"/>
                  <w:vAlign w:val="center"/>
                </w:tcPr>
                <w:p w14:paraId="1C5856B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Cs w:val="21"/>
                      <w:highlight w:val="none"/>
                      <w:lang w:val="en-US" w:eastAsia="zh-CN"/>
                    </w:rPr>
                    <w:t>0.091</w:t>
                  </w:r>
                </w:p>
              </w:tc>
            </w:tr>
            <w:tr w14:paraId="63D951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924" w:type="pct"/>
                  <w:vMerge w:val="continue"/>
                  <w:noWrap w:val="0"/>
                  <w:vAlign w:val="center"/>
                </w:tcPr>
                <w:p w14:paraId="4EEB951A">
                  <w:pPr>
                    <w:adjustRightInd w:val="0"/>
                    <w:jc w:val="center"/>
                    <w:textAlignment w:val="center"/>
                    <w:rPr>
                      <w:color w:val="auto"/>
                      <w:szCs w:val="21"/>
                      <w:highlight w:val="none"/>
                    </w:rPr>
                  </w:pPr>
                </w:p>
              </w:tc>
              <w:tc>
                <w:tcPr>
                  <w:tcW w:w="1313" w:type="pct"/>
                  <w:noWrap w:val="0"/>
                  <w:vAlign w:val="center"/>
                </w:tcPr>
                <w:p w14:paraId="2F11A41E">
                  <w:pPr>
                    <w:pStyle w:val="82"/>
                    <w:rPr>
                      <w:color w:val="auto"/>
                      <w:szCs w:val="21"/>
                      <w:highlight w:val="none"/>
                      <w:lang w:val="en-US"/>
                    </w:rPr>
                  </w:pPr>
                  <w:r>
                    <w:rPr>
                      <w:color w:val="auto"/>
                      <w:szCs w:val="21"/>
                      <w:highlight w:val="none"/>
                    </w:rPr>
                    <w:t>NO</w:t>
                  </w:r>
                  <w:r>
                    <w:rPr>
                      <w:color w:val="auto"/>
                      <w:szCs w:val="21"/>
                      <w:highlight w:val="none"/>
                      <w:vertAlign w:val="subscript"/>
                    </w:rPr>
                    <w:t>X</w:t>
                  </w:r>
                </w:p>
              </w:tc>
              <w:tc>
                <w:tcPr>
                  <w:tcW w:w="1542" w:type="pct"/>
                  <w:noWrap w:val="0"/>
                  <w:vAlign w:val="center"/>
                </w:tcPr>
                <w:p w14:paraId="1E927B48">
                  <w:pPr>
                    <w:keepNext w:val="0"/>
                    <w:keepLines w:val="0"/>
                    <w:widowControl/>
                    <w:suppressLineNumbers w:val="0"/>
                    <w:jc w:val="center"/>
                    <w:textAlignment w:val="center"/>
                    <w:rPr>
                      <w:rFonts w:hint="default" w:ascii="Times New Roman" w:eastAsia="宋体"/>
                      <w:color w:val="auto"/>
                      <w:sz w:val="21"/>
                      <w:szCs w:val="21"/>
                      <w:highlight w:val="none"/>
                      <w:lang w:val="en-US" w:eastAsia="zh-CN"/>
                    </w:rPr>
                  </w:pPr>
                  <w:r>
                    <w:rPr>
                      <w:rFonts w:hint="default" w:ascii="Times New Roman" w:hAnsi="Times New Roman" w:cs="Times New Roman"/>
                      <w:color w:val="auto"/>
                      <w:szCs w:val="21"/>
                      <w:highlight w:val="none"/>
                      <w:lang w:val="en-US" w:eastAsia="zh-CN"/>
                    </w:rPr>
                    <w:t>0.685</w:t>
                  </w:r>
                </w:p>
              </w:tc>
              <w:tc>
                <w:tcPr>
                  <w:tcW w:w="1219" w:type="pct"/>
                  <w:tcBorders>
                    <w:left w:val="single" w:color="000000" w:sz="4" w:space="0"/>
                  </w:tcBorders>
                  <w:noWrap w:val="0"/>
                  <w:vAlign w:val="center"/>
                </w:tcPr>
                <w:p w14:paraId="43EB4A1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Cs w:val="21"/>
                      <w:highlight w:val="none"/>
                      <w:lang w:val="en-US" w:eastAsia="zh-CN"/>
                    </w:rPr>
                    <w:t>0.685</w:t>
                  </w:r>
                </w:p>
              </w:tc>
            </w:tr>
          </w:tbl>
          <w:p w14:paraId="454DE54D">
            <w:pPr>
              <w:pStyle w:val="190"/>
              <w:jc w:val="both"/>
              <w:rPr>
                <w:rFonts w:hint="eastAsia" w:ascii="Times New Roman" w:hAnsi="Times New Roman" w:eastAsia="宋体" w:cs="Times New Roman"/>
                <w:color w:val="auto"/>
                <w:highlight w:val="none"/>
                <w:lang w:val="en-US" w:eastAsia="zh-CN"/>
              </w:rPr>
            </w:pPr>
          </w:p>
          <w:p w14:paraId="554E9B70">
            <w:pPr>
              <w:pStyle w:val="219"/>
              <w:spacing w:line="360" w:lineRule="auto"/>
              <w:rPr>
                <w:rFonts w:hint="eastAsia"/>
                <w:color w:val="auto"/>
              </w:rPr>
            </w:pPr>
            <w:r>
              <w:rPr>
                <w:color w:val="auto"/>
              </w:rPr>
              <w:t>项目SO</w:t>
            </w:r>
            <w:r>
              <w:rPr>
                <w:color w:val="auto"/>
                <w:vertAlign w:val="subscript"/>
              </w:rPr>
              <w:t>2</w:t>
            </w:r>
            <w:r>
              <w:rPr>
                <w:color w:val="auto"/>
              </w:rPr>
              <w:t>排放量为</w:t>
            </w:r>
            <w:r>
              <w:rPr>
                <w:rFonts w:hint="eastAsia"/>
                <w:color w:val="auto"/>
              </w:rPr>
              <w:t>0.091</w:t>
            </w:r>
            <w:r>
              <w:rPr>
                <w:color w:val="auto"/>
              </w:rPr>
              <w:t>t/a、NO</w:t>
            </w:r>
            <w:r>
              <w:rPr>
                <w:color w:val="auto"/>
                <w:vertAlign w:val="subscript"/>
              </w:rPr>
              <w:t>X</w:t>
            </w:r>
            <w:r>
              <w:rPr>
                <w:color w:val="auto"/>
              </w:rPr>
              <w:t>排放量为</w:t>
            </w:r>
            <w:r>
              <w:rPr>
                <w:rFonts w:hint="eastAsia"/>
                <w:color w:val="auto"/>
              </w:rPr>
              <w:t>0.685</w:t>
            </w:r>
            <w:r>
              <w:rPr>
                <w:color w:val="auto"/>
              </w:rPr>
              <w:t>t/a，</w:t>
            </w:r>
            <w:r>
              <w:rPr>
                <w:rFonts w:hint="eastAsia"/>
                <w:color w:val="auto"/>
                <w:lang w:eastAsia="zh-CN"/>
              </w:rPr>
              <w:t>经生态环境主管部门确认后，到</w:t>
            </w:r>
            <w:r>
              <w:rPr>
                <w:rFonts w:hint="default" w:ascii="Times New Roman" w:hAnsi="Times New Roman" w:eastAsia="宋体" w:cs="Times New Roman"/>
                <w:color w:val="auto"/>
                <w:lang w:val="en-US" w:eastAsia="zh-CN"/>
              </w:rPr>
              <w:t>海峡股权交易中心（福建）有限公司购买总量控制指标</w:t>
            </w:r>
            <w:r>
              <w:rPr>
                <w:rFonts w:hint="eastAsia" w:cs="Times New Roman"/>
                <w:color w:val="auto"/>
                <w:lang w:val="en-US" w:eastAsia="zh-CN"/>
              </w:rPr>
              <w:t>。建设单位</w:t>
            </w:r>
            <w:r>
              <w:rPr>
                <w:rFonts w:hint="eastAsia" w:ascii="Times New Roman" w:hAnsi="Times New Roman" w:eastAsia="宋体" w:cs="Times New Roman"/>
                <w:color w:val="auto"/>
                <w:lang w:val="en-US" w:eastAsia="zh-CN"/>
              </w:rPr>
              <w:t>总量承诺函见附件</w:t>
            </w:r>
            <w:r>
              <w:rPr>
                <w:rFonts w:hint="eastAsia" w:cs="Times New Roman"/>
                <w:color w:val="auto"/>
                <w:lang w:val="en-US" w:eastAsia="zh-CN"/>
              </w:rPr>
              <w:t>7</w:t>
            </w:r>
            <w:r>
              <w:rPr>
                <w:rFonts w:hint="eastAsia" w:ascii="Times New Roman" w:hAnsi="Times New Roman" w:eastAsia="宋体" w:cs="Times New Roman"/>
                <w:color w:val="auto"/>
                <w:lang w:val="en-US" w:eastAsia="zh-CN"/>
              </w:rPr>
              <w:t>。</w:t>
            </w:r>
          </w:p>
          <w:p w14:paraId="6BA5DC3D">
            <w:pPr>
              <w:pStyle w:val="190"/>
              <w:jc w:val="both"/>
              <w:rPr>
                <w:rFonts w:hint="eastAsia"/>
                <w:color w:val="auto"/>
                <w:highlight w:val="none"/>
                <w:lang w:val="en-US" w:eastAsia="zh-CN"/>
              </w:rPr>
            </w:pPr>
          </w:p>
        </w:tc>
      </w:tr>
    </w:tbl>
    <w:p w14:paraId="085357DB">
      <w:pPr>
        <w:pStyle w:val="19"/>
        <w:jc w:val="center"/>
        <w:outlineLvl w:val="9"/>
        <w:rPr>
          <w:rFonts w:ascii="Times New Roman" w:hAnsi="Times New Roman"/>
          <w:snapToGrid w:val="0"/>
          <w:color w:val="auto"/>
          <w:sz w:val="30"/>
          <w:szCs w:val="30"/>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20C7035">
      <w:pPr>
        <w:pStyle w:val="19"/>
        <w:numPr>
          <w:ilvl w:val="0"/>
          <w:numId w:val="7"/>
        </w:numPr>
        <w:spacing w:before="120" w:beforeLines="50" w:beforeAutospacing="0" w:after="120" w:afterLines="50" w:afterAutospacing="0"/>
        <w:ind w:left="0" w:leftChars="0" w:firstLine="420" w:firstLineChars="0"/>
        <w:jc w:val="center"/>
        <w:outlineLvl w:val="0"/>
        <w:rPr>
          <w:rFonts w:ascii="Times New Roman" w:hAnsi="Times New Roman"/>
          <w:b/>
          <w:snapToGrid w:val="0"/>
          <w:color w:val="auto"/>
          <w:sz w:val="30"/>
          <w:szCs w:val="30"/>
        </w:rPr>
      </w:pPr>
      <w:r>
        <w:rPr>
          <w:rFonts w:ascii="Times New Roman" w:hAnsi="Times New Roman"/>
          <w:b/>
          <w:snapToGrid w:val="0"/>
          <w:color w:val="auto"/>
          <w:sz w:val="30"/>
          <w:szCs w:val="30"/>
        </w:rPr>
        <w:t>主要环境影响和保护措施</w:t>
      </w:r>
    </w:p>
    <w:tbl>
      <w:tblPr>
        <w:tblStyle w:val="2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346"/>
      </w:tblGrid>
      <w:tr w14:paraId="7841F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635" w:type="dxa"/>
            <w:noWrap w:val="0"/>
            <w:tcMar>
              <w:left w:w="28" w:type="dxa"/>
              <w:right w:w="28" w:type="dxa"/>
            </w:tcMar>
            <w:vAlign w:val="center"/>
          </w:tcPr>
          <w:p w14:paraId="3FA6BB37">
            <w:pPr>
              <w:pStyle w:val="19"/>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施工</w:t>
            </w:r>
          </w:p>
          <w:p w14:paraId="469716B2">
            <w:pPr>
              <w:pStyle w:val="19"/>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期环</w:t>
            </w:r>
          </w:p>
          <w:p w14:paraId="6614A119">
            <w:pPr>
              <w:pStyle w:val="19"/>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境保</w:t>
            </w:r>
          </w:p>
          <w:p w14:paraId="02481516">
            <w:pPr>
              <w:pStyle w:val="19"/>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护措</w:t>
            </w:r>
          </w:p>
          <w:p w14:paraId="5D148082">
            <w:pPr>
              <w:pStyle w:val="19"/>
              <w:adjustRightInd w:val="0"/>
              <w:snapToGrid w:val="0"/>
              <w:spacing w:before="0" w:beforeAutospacing="0" w:after="0" w:afterAutospacing="0"/>
              <w:jc w:val="center"/>
              <w:rPr>
                <w:rFonts w:ascii="Times New Roman" w:hAnsi="Times New Roman"/>
                <w:bCs/>
                <w:color w:val="auto"/>
                <w:kern w:val="2"/>
                <w:szCs w:val="24"/>
              </w:rPr>
            </w:pPr>
            <w:r>
              <w:rPr>
                <w:rFonts w:ascii="Times New Roman" w:hAnsi="Times New Roman"/>
                <w:color w:val="auto"/>
                <w:kern w:val="2"/>
                <w:szCs w:val="24"/>
              </w:rPr>
              <w:t>施</w:t>
            </w:r>
          </w:p>
        </w:tc>
        <w:tc>
          <w:tcPr>
            <w:tcW w:w="8346" w:type="dxa"/>
            <w:noWrap w:val="0"/>
            <w:vAlign w:val="center"/>
          </w:tcPr>
          <w:p w14:paraId="1B4DF8DC">
            <w:pPr>
              <w:keepNext/>
              <w:adjustRightInd w:val="0"/>
              <w:spacing w:line="360" w:lineRule="auto"/>
              <w:outlineLvl w:val="2"/>
              <w:rPr>
                <w:rFonts w:hint="default" w:ascii="Times New Roman" w:hAnsi="Times New Roman" w:cs="Times New Roman"/>
                <w:b/>
                <w:color w:val="auto"/>
                <w:sz w:val="24"/>
              </w:rPr>
            </w:pPr>
            <w:r>
              <w:rPr>
                <w:rFonts w:hint="default" w:ascii="Times New Roman" w:hAnsi="Times New Roman" w:cs="Times New Roman"/>
                <w:b/>
                <w:color w:val="auto"/>
                <w:sz w:val="24"/>
              </w:rPr>
              <w:t>4.1施工期环境保护措施</w:t>
            </w:r>
          </w:p>
          <w:p w14:paraId="5B7F74EF">
            <w:pPr>
              <w:pStyle w:val="243"/>
              <w:rPr>
                <w:rFonts w:hint="eastAsia" w:ascii="Times New Roman" w:hAnsi="Times New Roman"/>
                <w:bCs/>
                <w:color w:val="auto"/>
                <w:sz w:val="24"/>
                <w:szCs w:val="24"/>
              </w:rPr>
            </w:pPr>
            <w:r>
              <w:rPr>
                <w:rFonts w:hint="eastAsia"/>
                <w:color w:val="auto"/>
              </w:rPr>
              <w:t>项目租赁现有已建厂房，</w:t>
            </w:r>
            <w:r>
              <w:rPr>
                <w:rFonts w:hint="eastAsia"/>
                <w:color w:val="auto"/>
                <w:lang w:val="en-US" w:eastAsia="zh-CN"/>
              </w:rPr>
              <w:t>主要施工内容为</w:t>
            </w:r>
            <w:r>
              <w:rPr>
                <w:rFonts w:hint="eastAsia"/>
                <w:color w:val="auto"/>
                <w:highlight w:val="none"/>
                <w:lang w:val="en-US" w:eastAsia="zh-CN"/>
              </w:rPr>
              <w:t>后续设备机台的安装。</w:t>
            </w:r>
            <w:r>
              <w:rPr>
                <w:rFonts w:hint="eastAsia"/>
                <w:color w:val="auto"/>
              </w:rPr>
              <w:t>备安装主要会产生噪声及废包装材料，由于项目</w:t>
            </w:r>
            <w:r>
              <w:rPr>
                <w:rFonts w:hint="eastAsia"/>
                <w:color w:val="auto"/>
                <w:lang w:val="en-US" w:eastAsia="zh-CN"/>
              </w:rPr>
              <w:t>设备</w:t>
            </w:r>
            <w:r>
              <w:rPr>
                <w:rFonts w:hint="eastAsia"/>
                <w:color w:val="auto"/>
              </w:rPr>
              <w:t>安装的</w:t>
            </w:r>
            <w:r>
              <w:rPr>
                <w:rFonts w:hint="eastAsia"/>
                <w:color w:val="auto"/>
                <w:lang w:val="en-US" w:eastAsia="zh-CN"/>
              </w:rPr>
              <w:t>施工</w:t>
            </w:r>
            <w:r>
              <w:rPr>
                <w:rFonts w:hint="eastAsia"/>
                <w:color w:val="auto"/>
              </w:rPr>
              <w:t>时间</w:t>
            </w:r>
            <w:r>
              <w:rPr>
                <w:rFonts w:hint="eastAsia"/>
                <w:color w:val="auto"/>
                <w:lang w:val="en-US" w:eastAsia="zh-CN"/>
              </w:rPr>
              <w:t>较</w:t>
            </w:r>
            <w:r>
              <w:rPr>
                <w:rFonts w:hint="eastAsia"/>
                <w:color w:val="auto"/>
              </w:rPr>
              <w:t>短，产生的噪声为暂时性，随着</w:t>
            </w:r>
            <w:r>
              <w:rPr>
                <w:rFonts w:hint="eastAsia"/>
                <w:color w:val="auto"/>
                <w:lang w:val="en-US" w:eastAsia="zh-CN"/>
              </w:rPr>
              <w:t>施工期</w:t>
            </w:r>
            <w:r>
              <w:rPr>
                <w:rFonts w:hint="eastAsia"/>
                <w:color w:val="auto"/>
              </w:rPr>
              <w:t>的结束，其对周围环境的影响也随之消失；废包装材料集中收集后交由回收公司处置。</w:t>
            </w:r>
          </w:p>
        </w:tc>
      </w:tr>
      <w:tr w14:paraId="4E83B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635" w:type="dxa"/>
            <w:noWrap w:val="0"/>
            <w:tcMar>
              <w:left w:w="28" w:type="dxa"/>
              <w:right w:w="28" w:type="dxa"/>
            </w:tcMar>
            <w:vAlign w:val="center"/>
          </w:tcPr>
          <w:p w14:paraId="45B86230">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运营</w:t>
            </w:r>
          </w:p>
          <w:p w14:paraId="39801073">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期环</w:t>
            </w:r>
          </w:p>
          <w:p w14:paraId="17333C8E">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境影</w:t>
            </w:r>
          </w:p>
          <w:p w14:paraId="73154669">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响和</w:t>
            </w:r>
          </w:p>
          <w:p w14:paraId="5395C7FC">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保护</w:t>
            </w:r>
          </w:p>
          <w:p w14:paraId="33DA6396">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措施</w:t>
            </w:r>
          </w:p>
        </w:tc>
        <w:tc>
          <w:tcPr>
            <w:tcW w:w="8346" w:type="dxa"/>
            <w:noWrap w:val="0"/>
            <w:vAlign w:val="center"/>
          </w:tcPr>
          <w:p w14:paraId="0289926E">
            <w:pPr>
              <w:spacing w:line="360" w:lineRule="auto"/>
              <w:jc w:val="left"/>
              <w:rPr>
                <w:rFonts w:ascii="Times New Roman" w:hAnsi="Times New Roman"/>
                <w:b/>
                <w:color w:val="auto"/>
                <w:sz w:val="24"/>
                <w:szCs w:val="24"/>
              </w:rPr>
            </w:pPr>
            <w:r>
              <w:rPr>
                <w:rFonts w:ascii="Times New Roman" w:hAnsi="Times New Roman"/>
                <w:b/>
                <w:color w:val="auto"/>
                <w:sz w:val="24"/>
                <w:szCs w:val="24"/>
              </w:rPr>
              <w:t>4.2.</w:t>
            </w:r>
            <w:r>
              <w:rPr>
                <w:rFonts w:hint="eastAsia"/>
                <w:b/>
                <w:color w:val="auto"/>
                <w:sz w:val="24"/>
                <w:szCs w:val="24"/>
                <w:lang w:val="en-US" w:eastAsia="zh-CN"/>
              </w:rPr>
              <w:t>1</w:t>
            </w:r>
            <w:r>
              <w:rPr>
                <w:rFonts w:ascii="Times New Roman" w:hAnsi="Times New Roman"/>
                <w:b/>
                <w:color w:val="auto"/>
                <w:sz w:val="24"/>
                <w:szCs w:val="24"/>
              </w:rPr>
              <w:t>废水</w:t>
            </w:r>
          </w:p>
          <w:p w14:paraId="10847822">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4.2.</w:t>
            </w:r>
            <w:r>
              <w:rPr>
                <w:rFonts w:hint="eastAsia"/>
                <w:b/>
                <w:color w:val="auto"/>
                <w:sz w:val="24"/>
                <w:szCs w:val="24"/>
                <w:lang w:val="en-US" w:eastAsia="zh-CN"/>
              </w:rPr>
              <w:t>1</w:t>
            </w:r>
            <w:r>
              <w:rPr>
                <w:rFonts w:ascii="Times New Roman" w:hAnsi="Times New Roman"/>
                <w:b/>
                <w:color w:val="auto"/>
                <w:sz w:val="24"/>
                <w:szCs w:val="24"/>
                <w:lang w:val="zh-CN"/>
              </w:rPr>
              <w:t>.1废</w:t>
            </w:r>
            <w:r>
              <w:rPr>
                <w:rFonts w:hint="eastAsia" w:ascii="Times New Roman" w:hAnsi="Times New Roman"/>
                <w:b/>
                <w:color w:val="auto"/>
                <w:sz w:val="24"/>
                <w:szCs w:val="24"/>
                <w:lang w:val="en-US" w:eastAsia="zh-CN"/>
              </w:rPr>
              <w:t>水</w:t>
            </w:r>
            <w:r>
              <w:rPr>
                <w:rFonts w:ascii="Times New Roman" w:hAnsi="Times New Roman"/>
                <w:b/>
                <w:color w:val="auto"/>
                <w:sz w:val="24"/>
                <w:szCs w:val="24"/>
                <w:lang w:val="zh-CN"/>
              </w:rPr>
              <w:t>源强</w:t>
            </w:r>
          </w:p>
          <w:p w14:paraId="1A72BC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项目废水主要为职工生活污水。</w:t>
            </w:r>
          </w:p>
          <w:p w14:paraId="72DE95FA">
            <w:pPr>
              <w:tabs>
                <w:tab w:val="left" w:pos="4388"/>
              </w:tabs>
              <w:spacing w:line="360" w:lineRule="auto"/>
              <w:ind w:firstLine="480"/>
              <w:rPr>
                <w:rFonts w:hint="eastAsia" w:ascii="Times New Roman" w:hAnsi="Times New Roman" w:eastAsia="宋体" w:cs="Times New Roman"/>
                <w:color w:val="auto"/>
                <w:kern w:val="2"/>
                <w:sz w:val="24"/>
                <w:szCs w:val="21"/>
                <w:lang w:val="en-US" w:eastAsia="zh-CN" w:bidi="ar-SA"/>
              </w:rPr>
            </w:pPr>
            <w:r>
              <w:rPr>
                <w:rFonts w:hint="default" w:ascii="Times New Roman" w:hAnsi="Times New Roman" w:cs="Times New Roman"/>
                <w:color w:val="auto"/>
                <w:sz w:val="24"/>
                <w:szCs w:val="24"/>
              </w:rPr>
              <w:t>根据项目水平衡分析，</w:t>
            </w:r>
            <w:r>
              <w:rPr>
                <w:rFonts w:hint="default" w:ascii="Times New Roman" w:hAnsi="Times New Roman" w:cs="Times New Roman"/>
                <w:color w:val="auto"/>
                <w:sz w:val="24"/>
                <w:szCs w:val="24"/>
                <w:lang w:val="zh-CN"/>
              </w:rPr>
              <w:t>本项目生活污水产生量为</w:t>
            </w:r>
            <w:r>
              <w:rPr>
                <w:rFonts w:hint="eastAsia"/>
                <w:color w:val="auto"/>
                <w:sz w:val="24"/>
                <w:lang w:val="en-US" w:eastAsia="zh-CN"/>
              </w:rPr>
              <w:t>36</w:t>
            </w:r>
            <w:r>
              <w:rPr>
                <w:rFonts w:hint="eastAsia" w:ascii="Times New Roman" w:hAnsi="Times New Roman"/>
                <w:color w:val="auto"/>
                <w:sz w:val="24"/>
                <w:lang w:val="en-US" w:eastAsia="zh-CN"/>
              </w:rPr>
              <w:t>0</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/a</w:t>
            </w:r>
            <w:r>
              <w:rPr>
                <w:rFonts w:ascii="Times New Roman" w:hAnsi="Times New Roman"/>
                <w:color w:val="auto"/>
                <w:sz w:val="24"/>
                <w:szCs w:val="24"/>
              </w:rPr>
              <w:t>。</w:t>
            </w:r>
            <w:r>
              <w:rPr>
                <w:rFonts w:hint="eastAsia" w:ascii="Times New Roman" w:hAnsi="Times New Roman" w:eastAsia="宋体" w:cs="Times New Roman"/>
                <w:color w:val="auto"/>
                <w:kern w:val="2"/>
                <w:sz w:val="24"/>
                <w:szCs w:val="21"/>
                <w:lang w:val="en-US" w:eastAsia="zh-CN" w:bidi="ar-SA"/>
              </w:rPr>
              <w:t>根据给水排水设计手册（第5册）中4.2城镇污水水质，生活污水中各主要污染物浓度COD：400mg/L，BOD</w:t>
            </w:r>
            <w:r>
              <w:rPr>
                <w:rFonts w:hint="eastAsia" w:ascii="Times New Roman" w:hAnsi="Times New Roman" w:eastAsia="宋体" w:cs="Times New Roman"/>
                <w:color w:val="auto"/>
                <w:kern w:val="2"/>
                <w:sz w:val="24"/>
                <w:szCs w:val="21"/>
                <w:vertAlign w:val="subscript"/>
                <w:lang w:val="en-US" w:eastAsia="zh-CN" w:bidi="ar-SA"/>
              </w:rPr>
              <w:t>5</w:t>
            </w:r>
            <w:r>
              <w:rPr>
                <w:rFonts w:hint="eastAsia" w:cs="Times New Roman"/>
                <w:color w:val="auto"/>
                <w:kern w:val="2"/>
                <w:sz w:val="24"/>
                <w:szCs w:val="21"/>
                <w:lang w:val="en-US" w:eastAsia="zh-CN" w:bidi="ar-SA"/>
              </w:rPr>
              <w:t>：</w:t>
            </w:r>
            <w:r>
              <w:rPr>
                <w:rFonts w:hint="eastAsia" w:ascii="Times New Roman" w:hAnsi="Times New Roman" w:eastAsia="宋体" w:cs="Times New Roman"/>
                <w:color w:val="auto"/>
                <w:kern w:val="2"/>
                <w:sz w:val="24"/>
                <w:szCs w:val="21"/>
                <w:lang w:val="en-US" w:eastAsia="zh-CN" w:bidi="ar-SA"/>
              </w:rPr>
              <w:t>220mg/L，SS：200mg/L，NH</w:t>
            </w:r>
            <w:r>
              <w:rPr>
                <w:rFonts w:hint="eastAsia" w:ascii="Times New Roman" w:hAnsi="Times New Roman" w:eastAsia="宋体" w:cs="Times New Roman"/>
                <w:color w:val="auto"/>
                <w:kern w:val="2"/>
                <w:sz w:val="24"/>
                <w:szCs w:val="21"/>
                <w:vertAlign w:val="subscript"/>
                <w:lang w:val="en-US" w:eastAsia="zh-CN" w:bidi="ar-SA"/>
              </w:rPr>
              <w:t>3</w:t>
            </w:r>
            <w:r>
              <w:rPr>
                <w:rFonts w:hint="eastAsia" w:ascii="Times New Roman" w:hAnsi="Times New Roman" w:eastAsia="宋体" w:cs="Times New Roman"/>
                <w:color w:val="auto"/>
                <w:kern w:val="2"/>
                <w:sz w:val="24"/>
                <w:szCs w:val="21"/>
                <w:lang w:val="en-US" w:eastAsia="zh-CN" w:bidi="ar-SA"/>
              </w:rPr>
              <w:t>-N：35mg/L。</w:t>
            </w:r>
          </w:p>
          <w:p w14:paraId="4D618191">
            <w:pPr>
              <w:pStyle w:val="149"/>
              <w:ind w:firstLine="480"/>
              <w:rPr>
                <w:color w:val="auto"/>
              </w:rPr>
            </w:pPr>
            <w:r>
              <w:rPr>
                <w:rFonts w:hint="default" w:ascii="Times New Roman" w:hAnsi="Times New Roman" w:cs="Times New Roman"/>
                <w:color w:val="auto"/>
                <w:sz w:val="24"/>
                <w:szCs w:val="24"/>
              </w:rPr>
              <w:t>生活污水采用三级化粪池进行处理，</w:t>
            </w:r>
            <w:r>
              <w:rPr>
                <w:color w:val="auto"/>
              </w:rPr>
              <w:t>参考环评手册中《常用污水处理设备及去除率》，经化粪池处理后污染物浓度为COD：200mg/L，BOD</w:t>
            </w:r>
            <w:r>
              <w:rPr>
                <w:color w:val="auto"/>
                <w:vertAlign w:val="subscript"/>
              </w:rPr>
              <w:t>5</w:t>
            </w:r>
            <w:r>
              <w:rPr>
                <w:rFonts w:hint="eastAsia"/>
                <w:color w:val="auto"/>
                <w:lang w:eastAsia="zh-CN"/>
              </w:rPr>
              <w:t>：</w:t>
            </w:r>
            <w:r>
              <w:rPr>
                <w:color w:val="auto"/>
              </w:rPr>
              <w:t>100mg/L，SS：100mg/L，NH</w:t>
            </w:r>
            <w:r>
              <w:rPr>
                <w:color w:val="auto"/>
                <w:vertAlign w:val="subscript"/>
              </w:rPr>
              <w:t>3</w:t>
            </w:r>
            <w:r>
              <w:rPr>
                <w:color w:val="auto"/>
              </w:rPr>
              <w:t>-N：35mg/L。</w:t>
            </w:r>
          </w:p>
          <w:p w14:paraId="3CEF89C8">
            <w:pPr>
              <w:pStyle w:val="149"/>
              <w:ind w:firstLine="480"/>
              <w:rPr>
                <w:rFonts w:hint="eastAsia"/>
                <w:color w:val="auto"/>
              </w:rPr>
            </w:pPr>
            <w:r>
              <w:rPr>
                <w:rFonts w:hint="eastAsia"/>
                <w:color w:val="auto"/>
              </w:rPr>
              <w:t>项目生活污水经过三级化粪池处理后，用于周边山林地施肥，不会对周边地表水环境产生影响。项目污染源产生源详见表2</w:t>
            </w:r>
            <w:r>
              <w:rPr>
                <w:rFonts w:hint="eastAsia"/>
                <w:color w:val="auto"/>
                <w:lang w:val="en-US" w:eastAsia="zh-CN"/>
              </w:rPr>
              <w:t>5</w:t>
            </w:r>
            <w:r>
              <w:rPr>
                <w:rFonts w:hint="eastAsia"/>
                <w:color w:val="auto"/>
              </w:rPr>
              <w:t>。</w:t>
            </w:r>
          </w:p>
          <w:p w14:paraId="295249C3">
            <w:pPr>
              <w:numPr>
                <w:ilvl w:val="0"/>
                <w:numId w:val="8"/>
              </w:numPr>
              <w:tabs>
                <w:tab w:val="left" w:pos="0"/>
              </w:tabs>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项目</w:t>
            </w:r>
            <w:r>
              <w:rPr>
                <w:rFonts w:hint="eastAsia" w:cs="Times New Roman"/>
                <w:b/>
                <w:color w:val="auto"/>
                <w:sz w:val="24"/>
                <w:szCs w:val="24"/>
                <w:highlight w:val="none"/>
                <w:lang w:val="en-US" w:eastAsia="zh-CN"/>
              </w:rPr>
              <w:t>生活污水</w:t>
            </w:r>
            <w:r>
              <w:rPr>
                <w:rFonts w:hint="eastAsia" w:ascii="Times New Roman" w:hAnsi="Times New Roman" w:eastAsia="宋体" w:cs="Times New Roman"/>
                <w:b/>
                <w:color w:val="auto"/>
                <w:sz w:val="24"/>
                <w:szCs w:val="24"/>
                <w:highlight w:val="none"/>
              </w:rPr>
              <w:t>污染物产生排放情况一览表</w:t>
            </w:r>
          </w:p>
          <w:tbl>
            <w:tblPr>
              <w:tblStyle w:val="29"/>
              <w:tblW w:w="0" w:type="auto"/>
              <w:tblInd w:w="1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070"/>
              <w:gridCol w:w="961"/>
              <w:gridCol w:w="990"/>
              <w:gridCol w:w="1485"/>
              <w:gridCol w:w="903"/>
              <w:gridCol w:w="903"/>
              <w:gridCol w:w="903"/>
              <w:gridCol w:w="905"/>
            </w:tblGrid>
            <w:tr w14:paraId="59922FA0">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1070" w:type="dxa"/>
                  <w:vMerge w:val="restart"/>
                  <w:tcBorders>
                    <w:tl2br w:val="nil"/>
                    <w:tr2bl w:val="nil"/>
                  </w:tcBorders>
                  <w:noWrap w:val="0"/>
                  <w:vAlign w:val="center"/>
                </w:tcPr>
                <w:p w14:paraId="1F3BDA6C">
                  <w:pPr>
                    <w:pStyle w:val="245"/>
                    <w:rPr>
                      <w:color w:val="auto"/>
                      <w:sz w:val="21"/>
                      <w:szCs w:val="21"/>
                    </w:rPr>
                  </w:pPr>
                  <w:r>
                    <w:rPr>
                      <w:rFonts w:hint="eastAsia"/>
                      <w:color w:val="auto"/>
                      <w:sz w:val="21"/>
                      <w:szCs w:val="21"/>
                    </w:rPr>
                    <w:t>项目</w:t>
                  </w:r>
                </w:p>
              </w:tc>
              <w:tc>
                <w:tcPr>
                  <w:tcW w:w="961" w:type="dxa"/>
                  <w:vMerge w:val="restart"/>
                  <w:tcBorders>
                    <w:tl2br w:val="nil"/>
                    <w:tr2bl w:val="nil"/>
                  </w:tcBorders>
                  <w:noWrap w:val="0"/>
                  <w:vAlign w:val="center"/>
                </w:tcPr>
                <w:p w14:paraId="3F8585A7">
                  <w:pPr>
                    <w:pStyle w:val="245"/>
                    <w:rPr>
                      <w:color w:val="auto"/>
                      <w:sz w:val="21"/>
                      <w:szCs w:val="21"/>
                    </w:rPr>
                  </w:pPr>
                  <w:r>
                    <w:rPr>
                      <w:rFonts w:hint="eastAsia"/>
                      <w:color w:val="auto"/>
                      <w:sz w:val="21"/>
                      <w:szCs w:val="21"/>
                    </w:rPr>
                    <w:t>废水量</w:t>
                  </w:r>
                  <w:r>
                    <w:rPr>
                      <w:color w:val="auto"/>
                      <w:sz w:val="21"/>
                      <w:szCs w:val="21"/>
                    </w:rPr>
                    <w:t>t/a</w:t>
                  </w:r>
                </w:p>
              </w:tc>
              <w:tc>
                <w:tcPr>
                  <w:tcW w:w="990" w:type="dxa"/>
                  <w:vMerge w:val="restart"/>
                  <w:tcBorders>
                    <w:tl2br w:val="nil"/>
                    <w:tr2bl w:val="nil"/>
                  </w:tcBorders>
                  <w:noWrap w:val="0"/>
                  <w:vAlign w:val="center"/>
                </w:tcPr>
                <w:p w14:paraId="59B0D48C">
                  <w:pPr>
                    <w:pStyle w:val="245"/>
                    <w:rPr>
                      <w:color w:val="auto"/>
                      <w:sz w:val="21"/>
                      <w:szCs w:val="21"/>
                    </w:rPr>
                  </w:pPr>
                  <w:r>
                    <w:rPr>
                      <w:rFonts w:hint="eastAsia"/>
                      <w:color w:val="auto"/>
                      <w:sz w:val="21"/>
                      <w:szCs w:val="21"/>
                    </w:rPr>
                    <w:t>类别</w:t>
                  </w:r>
                </w:p>
              </w:tc>
              <w:tc>
                <w:tcPr>
                  <w:tcW w:w="1485" w:type="dxa"/>
                  <w:vMerge w:val="restart"/>
                  <w:tcBorders>
                    <w:tl2br w:val="nil"/>
                    <w:tr2bl w:val="nil"/>
                  </w:tcBorders>
                  <w:noWrap w:val="0"/>
                  <w:vAlign w:val="center"/>
                </w:tcPr>
                <w:p w14:paraId="1632F4B9">
                  <w:pPr>
                    <w:pStyle w:val="245"/>
                    <w:rPr>
                      <w:color w:val="auto"/>
                      <w:sz w:val="21"/>
                      <w:szCs w:val="21"/>
                    </w:rPr>
                  </w:pPr>
                  <w:r>
                    <w:rPr>
                      <w:rFonts w:hint="eastAsia"/>
                      <w:color w:val="auto"/>
                      <w:sz w:val="21"/>
                      <w:szCs w:val="21"/>
                    </w:rPr>
                    <w:t>单位</w:t>
                  </w:r>
                </w:p>
              </w:tc>
              <w:tc>
                <w:tcPr>
                  <w:tcW w:w="3614" w:type="dxa"/>
                  <w:gridSpan w:val="4"/>
                  <w:tcBorders>
                    <w:tl2br w:val="nil"/>
                    <w:tr2bl w:val="nil"/>
                  </w:tcBorders>
                  <w:noWrap w:val="0"/>
                  <w:vAlign w:val="center"/>
                </w:tcPr>
                <w:p w14:paraId="16B42CCE">
                  <w:pPr>
                    <w:pStyle w:val="245"/>
                    <w:rPr>
                      <w:color w:val="auto"/>
                      <w:sz w:val="21"/>
                      <w:szCs w:val="21"/>
                    </w:rPr>
                  </w:pPr>
                  <w:r>
                    <w:rPr>
                      <w:rFonts w:hint="eastAsia"/>
                      <w:color w:val="auto"/>
                      <w:sz w:val="21"/>
                      <w:szCs w:val="21"/>
                    </w:rPr>
                    <w:t>主要污染物</w:t>
                  </w:r>
                </w:p>
              </w:tc>
            </w:tr>
            <w:tr w14:paraId="3E6DBE5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1070" w:type="dxa"/>
                  <w:vMerge w:val="continue"/>
                  <w:tcBorders>
                    <w:tl2br w:val="nil"/>
                    <w:tr2bl w:val="nil"/>
                  </w:tcBorders>
                  <w:noWrap w:val="0"/>
                  <w:vAlign w:val="center"/>
                </w:tcPr>
                <w:p w14:paraId="083F885F">
                  <w:pPr>
                    <w:pStyle w:val="245"/>
                    <w:rPr>
                      <w:color w:val="auto"/>
                      <w:sz w:val="21"/>
                      <w:szCs w:val="21"/>
                    </w:rPr>
                  </w:pPr>
                </w:p>
              </w:tc>
              <w:tc>
                <w:tcPr>
                  <w:tcW w:w="961" w:type="dxa"/>
                  <w:vMerge w:val="continue"/>
                  <w:tcBorders>
                    <w:tl2br w:val="nil"/>
                    <w:tr2bl w:val="nil"/>
                  </w:tcBorders>
                  <w:noWrap w:val="0"/>
                  <w:vAlign w:val="center"/>
                </w:tcPr>
                <w:p w14:paraId="2DB4F10F">
                  <w:pPr>
                    <w:pStyle w:val="245"/>
                    <w:rPr>
                      <w:color w:val="auto"/>
                      <w:sz w:val="21"/>
                      <w:szCs w:val="21"/>
                    </w:rPr>
                  </w:pPr>
                </w:p>
              </w:tc>
              <w:tc>
                <w:tcPr>
                  <w:tcW w:w="990" w:type="dxa"/>
                  <w:vMerge w:val="continue"/>
                  <w:tcBorders>
                    <w:tl2br w:val="nil"/>
                    <w:tr2bl w:val="nil"/>
                  </w:tcBorders>
                  <w:noWrap w:val="0"/>
                  <w:vAlign w:val="center"/>
                </w:tcPr>
                <w:p w14:paraId="7B749612">
                  <w:pPr>
                    <w:pStyle w:val="245"/>
                    <w:rPr>
                      <w:color w:val="auto"/>
                      <w:sz w:val="21"/>
                      <w:szCs w:val="21"/>
                    </w:rPr>
                  </w:pPr>
                </w:p>
              </w:tc>
              <w:tc>
                <w:tcPr>
                  <w:tcW w:w="1485" w:type="dxa"/>
                  <w:vMerge w:val="continue"/>
                  <w:tcBorders>
                    <w:tl2br w:val="nil"/>
                    <w:tr2bl w:val="nil"/>
                  </w:tcBorders>
                  <w:noWrap w:val="0"/>
                  <w:vAlign w:val="center"/>
                </w:tcPr>
                <w:p w14:paraId="27E307AF">
                  <w:pPr>
                    <w:pStyle w:val="245"/>
                    <w:rPr>
                      <w:color w:val="auto"/>
                      <w:sz w:val="21"/>
                      <w:szCs w:val="21"/>
                    </w:rPr>
                  </w:pPr>
                </w:p>
              </w:tc>
              <w:tc>
                <w:tcPr>
                  <w:tcW w:w="903" w:type="dxa"/>
                  <w:tcBorders>
                    <w:tl2br w:val="nil"/>
                    <w:tr2bl w:val="nil"/>
                  </w:tcBorders>
                  <w:noWrap w:val="0"/>
                  <w:vAlign w:val="center"/>
                </w:tcPr>
                <w:p w14:paraId="55A72858">
                  <w:pPr>
                    <w:pStyle w:val="245"/>
                    <w:rPr>
                      <w:color w:val="auto"/>
                      <w:sz w:val="21"/>
                      <w:szCs w:val="21"/>
                    </w:rPr>
                  </w:pPr>
                  <w:r>
                    <w:rPr>
                      <w:color w:val="auto"/>
                      <w:sz w:val="21"/>
                      <w:szCs w:val="21"/>
                    </w:rPr>
                    <w:t>COD</w:t>
                  </w:r>
                </w:p>
              </w:tc>
              <w:tc>
                <w:tcPr>
                  <w:tcW w:w="903" w:type="dxa"/>
                  <w:tcBorders>
                    <w:tl2br w:val="nil"/>
                    <w:tr2bl w:val="nil"/>
                  </w:tcBorders>
                  <w:noWrap w:val="0"/>
                  <w:vAlign w:val="center"/>
                </w:tcPr>
                <w:p w14:paraId="1F7D5CA6">
                  <w:pPr>
                    <w:pStyle w:val="245"/>
                    <w:rPr>
                      <w:color w:val="auto"/>
                      <w:sz w:val="21"/>
                      <w:szCs w:val="21"/>
                    </w:rPr>
                  </w:pPr>
                  <w:r>
                    <w:rPr>
                      <w:color w:val="auto"/>
                      <w:sz w:val="21"/>
                      <w:szCs w:val="21"/>
                    </w:rPr>
                    <w:t>BOD</w:t>
                  </w:r>
                  <w:r>
                    <w:rPr>
                      <w:color w:val="auto"/>
                      <w:sz w:val="21"/>
                      <w:szCs w:val="21"/>
                      <w:vertAlign w:val="subscript"/>
                    </w:rPr>
                    <w:t>5</w:t>
                  </w:r>
                </w:p>
              </w:tc>
              <w:tc>
                <w:tcPr>
                  <w:tcW w:w="903" w:type="dxa"/>
                  <w:tcBorders>
                    <w:tl2br w:val="nil"/>
                    <w:tr2bl w:val="nil"/>
                  </w:tcBorders>
                  <w:noWrap w:val="0"/>
                  <w:vAlign w:val="center"/>
                </w:tcPr>
                <w:p w14:paraId="00B837FC">
                  <w:pPr>
                    <w:pStyle w:val="245"/>
                    <w:rPr>
                      <w:color w:val="auto"/>
                      <w:sz w:val="21"/>
                      <w:szCs w:val="21"/>
                    </w:rPr>
                  </w:pPr>
                  <w:r>
                    <w:rPr>
                      <w:color w:val="auto"/>
                      <w:sz w:val="21"/>
                      <w:szCs w:val="21"/>
                    </w:rPr>
                    <w:t>SS</w:t>
                  </w:r>
                </w:p>
              </w:tc>
              <w:tc>
                <w:tcPr>
                  <w:tcW w:w="905" w:type="dxa"/>
                  <w:tcBorders>
                    <w:tl2br w:val="nil"/>
                    <w:tr2bl w:val="nil"/>
                  </w:tcBorders>
                  <w:noWrap w:val="0"/>
                  <w:vAlign w:val="center"/>
                </w:tcPr>
                <w:p w14:paraId="67008AD8">
                  <w:pPr>
                    <w:pStyle w:val="245"/>
                    <w:rPr>
                      <w:color w:val="auto"/>
                      <w:sz w:val="21"/>
                      <w:szCs w:val="21"/>
                    </w:rPr>
                  </w:pPr>
                  <w:r>
                    <w:rPr>
                      <w:color w:val="auto"/>
                      <w:sz w:val="21"/>
                      <w:szCs w:val="21"/>
                    </w:rPr>
                    <w:t>NH</w:t>
                  </w:r>
                  <w:r>
                    <w:rPr>
                      <w:color w:val="auto"/>
                      <w:sz w:val="21"/>
                      <w:szCs w:val="21"/>
                      <w:vertAlign w:val="subscript"/>
                    </w:rPr>
                    <w:t>3</w:t>
                  </w:r>
                  <w:r>
                    <w:rPr>
                      <w:color w:val="auto"/>
                      <w:sz w:val="21"/>
                      <w:szCs w:val="21"/>
                    </w:rPr>
                    <w:t>-N</w:t>
                  </w:r>
                </w:p>
              </w:tc>
            </w:tr>
            <w:tr w14:paraId="085653C2">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1070" w:type="dxa"/>
                  <w:vMerge w:val="restart"/>
                  <w:tcBorders>
                    <w:tl2br w:val="nil"/>
                    <w:tr2bl w:val="nil"/>
                  </w:tcBorders>
                  <w:noWrap w:val="0"/>
                  <w:vAlign w:val="center"/>
                </w:tcPr>
                <w:p w14:paraId="3BC6D3BD">
                  <w:pPr>
                    <w:pStyle w:val="245"/>
                    <w:rPr>
                      <w:color w:val="auto"/>
                      <w:sz w:val="21"/>
                      <w:szCs w:val="21"/>
                    </w:rPr>
                  </w:pPr>
                  <w:r>
                    <w:rPr>
                      <w:rFonts w:hint="eastAsia"/>
                      <w:color w:val="auto"/>
                      <w:sz w:val="21"/>
                      <w:szCs w:val="21"/>
                    </w:rPr>
                    <w:t>生活污水</w:t>
                  </w:r>
                </w:p>
              </w:tc>
              <w:tc>
                <w:tcPr>
                  <w:tcW w:w="961" w:type="dxa"/>
                  <w:vMerge w:val="restart"/>
                  <w:tcBorders>
                    <w:tl2br w:val="nil"/>
                    <w:tr2bl w:val="nil"/>
                  </w:tcBorders>
                  <w:noWrap w:val="0"/>
                  <w:vAlign w:val="center"/>
                </w:tcPr>
                <w:p w14:paraId="464AE6D1">
                  <w:pPr>
                    <w:pStyle w:val="245"/>
                    <w:rPr>
                      <w:color w:val="auto"/>
                      <w:sz w:val="21"/>
                      <w:szCs w:val="21"/>
                    </w:rPr>
                  </w:pPr>
                  <w:r>
                    <w:rPr>
                      <w:rFonts w:hint="eastAsia"/>
                      <w:color w:val="auto"/>
                      <w:kern w:val="0"/>
                      <w:sz w:val="21"/>
                      <w:szCs w:val="21"/>
                      <w:lang w:val="en-US" w:eastAsia="zh-CN"/>
                    </w:rPr>
                    <w:t>360</w:t>
                  </w:r>
                </w:p>
              </w:tc>
              <w:tc>
                <w:tcPr>
                  <w:tcW w:w="990" w:type="dxa"/>
                  <w:vMerge w:val="restart"/>
                  <w:tcBorders>
                    <w:tl2br w:val="nil"/>
                    <w:tr2bl w:val="nil"/>
                  </w:tcBorders>
                  <w:noWrap w:val="0"/>
                  <w:vAlign w:val="center"/>
                </w:tcPr>
                <w:p w14:paraId="714C3FB7">
                  <w:pPr>
                    <w:pStyle w:val="245"/>
                    <w:rPr>
                      <w:rFonts w:ascii="Times New Roman" w:hAnsi="Times New Roman" w:eastAsia="宋体" w:cs="宋体"/>
                      <w:color w:val="auto"/>
                      <w:spacing w:val="4"/>
                      <w:sz w:val="21"/>
                      <w:szCs w:val="21"/>
                      <w:lang w:val="en-US" w:eastAsia="zh-CN" w:bidi="ar-SA"/>
                    </w:rPr>
                  </w:pPr>
                  <w:r>
                    <w:rPr>
                      <w:rFonts w:hint="eastAsia"/>
                      <w:color w:val="auto"/>
                      <w:sz w:val="21"/>
                      <w:szCs w:val="21"/>
                    </w:rPr>
                    <w:t>治理前</w:t>
                  </w:r>
                </w:p>
                <w:p w14:paraId="1B72515A">
                  <w:pPr>
                    <w:pStyle w:val="245"/>
                    <w:rPr>
                      <w:rFonts w:hint="default" w:eastAsia="宋体"/>
                      <w:color w:val="auto"/>
                      <w:sz w:val="21"/>
                      <w:szCs w:val="21"/>
                      <w:lang w:val="en-US" w:eastAsia="zh-CN"/>
                    </w:rPr>
                  </w:pPr>
                </w:p>
              </w:tc>
              <w:tc>
                <w:tcPr>
                  <w:tcW w:w="1485" w:type="dxa"/>
                  <w:tcBorders>
                    <w:tl2br w:val="nil"/>
                    <w:tr2bl w:val="nil"/>
                  </w:tcBorders>
                  <w:noWrap w:val="0"/>
                  <w:vAlign w:val="center"/>
                </w:tcPr>
                <w:p w14:paraId="430A623A">
                  <w:pPr>
                    <w:pStyle w:val="245"/>
                    <w:rPr>
                      <w:color w:val="auto"/>
                      <w:sz w:val="21"/>
                      <w:szCs w:val="21"/>
                    </w:rPr>
                  </w:pPr>
                  <w:r>
                    <w:rPr>
                      <w:rFonts w:hint="eastAsia"/>
                      <w:color w:val="auto"/>
                      <w:sz w:val="21"/>
                      <w:szCs w:val="21"/>
                    </w:rPr>
                    <w:t>浓度（</w:t>
                  </w:r>
                  <w:r>
                    <w:rPr>
                      <w:color w:val="auto"/>
                      <w:sz w:val="21"/>
                      <w:szCs w:val="21"/>
                    </w:rPr>
                    <w:t>mg/L）</w:t>
                  </w:r>
                </w:p>
              </w:tc>
              <w:tc>
                <w:tcPr>
                  <w:tcW w:w="903" w:type="dxa"/>
                  <w:tcBorders>
                    <w:tl2br w:val="nil"/>
                    <w:tr2bl w:val="nil"/>
                  </w:tcBorders>
                  <w:noWrap w:val="0"/>
                  <w:vAlign w:val="center"/>
                </w:tcPr>
                <w:p w14:paraId="1EA74EC9">
                  <w:pPr>
                    <w:pStyle w:val="245"/>
                    <w:rPr>
                      <w:color w:val="auto"/>
                      <w:sz w:val="21"/>
                      <w:szCs w:val="21"/>
                    </w:rPr>
                  </w:pPr>
                  <w:r>
                    <w:rPr>
                      <w:color w:val="auto"/>
                      <w:sz w:val="21"/>
                      <w:szCs w:val="21"/>
                    </w:rPr>
                    <w:t>400</w:t>
                  </w:r>
                </w:p>
              </w:tc>
              <w:tc>
                <w:tcPr>
                  <w:tcW w:w="903" w:type="dxa"/>
                  <w:tcBorders>
                    <w:tl2br w:val="nil"/>
                    <w:tr2bl w:val="nil"/>
                  </w:tcBorders>
                  <w:noWrap w:val="0"/>
                  <w:vAlign w:val="center"/>
                </w:tcPr>
                <w:p w14:paraId="003C4624">
                  <w:pPr>
                    <w:pStyle w:val="245"/>
                    <w:rPr>
                      <w:color w:val="auto"/>
                      <w:sz w:val="21"/>
                      <w:szCs w:val="21"/>
                    </w:rPr>
                  </w:pPr>
                  <w:r>
                    <w:rPr>
                      <w:color w:val="auto"/>
                      <w:sz w:val="21"/>
                      <w:szCs w:val="21"/>
                    </w:rPr>
                    <w:t>220</w:t>
                  </w:r>
                </w:p>
              </w:tc>
              <w:tc>
                <w:tcPr>
                  <w:tcW w:w="903" w:type="dxa"/>
                  <w:tcBorders>
                    <w:tl2br w:val="nil"/>
                    <w:tr2bl w:val="nil"/>
                  </w:tcBorders>
                  <w:noWrap w:val="0"/>
                  <w:vAlign w:val="center"/>
                </w:tcPr>
                <w:p w14:paraId="1FC97143">
                  <w:pPr>
                    <w:pStyle w:val="245"/>
                    <w:rPr>
                      <w:color w:val="auto"/>
                      <w:sz w:val="21"/>
                      <w:szCs w:val="21"/>
                    </w:rPr>
                  </w:pPr>
                  <w:r>
                    <w:rPr>
                      <w:color w:val="auto"/>
                      <w:sz w:val="21"/>
                      <w:szCs w:val="21"/>
                    </w:rPr>
                    <w:t>200</w:t>
                  </w:r>
                </w:p>
              </w:tc>
              <w:tc>
                <w:tcPr>
                  <w:tcW w:w="905" w:type="dxa"/>
                  <w:tcBorders>
                    <w:tl2br w:val="nil"/>
                    <w:tr2bl w:val="nil"/>
                  </w:tcBorders>
                  <w:noWrap w:val="0"/>
                  <w:vAlign w:val="center"/>
                </w:tcPr>
                <w:p w14:paraId="73103721">
                  <w:pPr>
                    <w:pStyle w:val="245"/>
                    <w:rPr>
                      <w:color w:val="auto"/>
                      <w:sz w:val="21"/>
                      <w:szCs w:val="21"/>
                    </w:rPr>
                  </w:pPr>
                  <w:r>
                    <w:rPr>
                      <w:color w:val="auto"/>
                      <w:sz w:val="21"/>
                      <w:szCs w:val="21"/>
                    </w:rPr>
                    <w:t>35</w:t>
                  </w:r>
                </w:p>
              </w:tc>
            </w:tr>
            <w:tr w14:paraId="32E4739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1070" w:type="dxa"/>
                  <w:vMerge w:val="continue"/>
                  <w:tcBorders>
                    <w:tl2br w:val="nil"/>
                    <w:tr2bl w:val="nil"/>
                  </w:tcBorders>
                  <w:noWrap w:val="0"/>
                  <w:vAlign w:val="center"/>
                </w:tcPr>
                <w:p w14:paraId="291EBFD5">
                  <w:pPr>
                    <w:pStyle w:val="245"/>
                    <w:rPr>
                      <w:color w:val="auto"/>
                      <w:sz w:val="21"/>
                      <w:szCs w:val="21"/>
                    </w:rPr>
                  </w:pPr>
                </w:p>
              </w:tc>
              <w:tc>
                <w:tcPr>
                  <w:tcW w:w="961" w:type="dxa"/>
                  <w:vMerge w:val="continue"/>
                  <w:tcBorders>
                    <w:tl2br w:val="nil"/>
                    <w:tr2bl w:val="nil"/>
                  </w:tcBorders>
                  <w:noWrap w:val="0"/>
                  <w:vAlign w:val="center"/>
                </w:tcPr>
                <w:p w14:paraId="1432B35B">
                  <w:pPr>
                    <w:pStyle w:val="245"/>
                    <w:rPr>
                      <w:color w:val="auto"/>
                      <w:sz w:val="21"/>
                      <w:szCs w:val="21"/>
                    </w:rPr>
                  </w:pPr>
                </w:p>
              </w:tc>
              <w:tc>
                <w:tcPr>
                  <w:tcW w:w="990" w:type="dxa"/>
                  <w:vMerge w:val="continue"/>
                  <w:tcBorders>
                    <w:bottom w:val="single" w:color="000000" w:sz="4" w:space="0"/>
                    <w:tl2br w:val="nil"/>
                    <w:tr2bl w:val="nil"/>
                  </w:tcBorders>
                  <w:noWrap w:val="0"/>
                  <w:vAlign w:val="center"/>
                </w:tcPr>
                <w:p w14:paraId="19A1EAC4">
                  <w:pPr>
                    <w:pStyle w:val="245"/>
                    <w:rPr>
                      <w:color w:val="auto"/>
                      <w:sz w:val="21"/>
                      <w:szCs w:val="21"/>
                    </w:rPr>
                  </w:pPr>
                </w:p>
              </w:tc>
              <w:tc>
                <w:tcPr>
                  <w:tcW w:w="1485" w:type="dxa"/>
                  <w:tcBorders>
                    <w:tl2br w:val="nil"/>
                    <w:tr2bl w:val="nil"/>
                  </w:tcBorders>
                  <w:noWrap w:val="0"/>
                  <w:vAlign w:val="center"/>
                </w:tcPr>
                <w:p w14:paraId="5459974E">
                  <w:pPr>
                    <w:pStyle w:val="245"/>
                    <w:rPr>
                      <w:color w:val="auto"/>
                      <w:sz w:val="21"/>
                      <w:szCs w:val="21"/>
                    </w:rPr>
                  </w:pPr>
                  <w:r>
                    <w:rPr>
                      <w:rFonts w:hint="eastAsia"/>
                      <w:color w:val="auto"/>
                      <w:sz w:val="21"/>
                      <w:szCs w:val="21"/>
                    </w:rPr>
                    <w:t>产生量（</w:t>
                  </w:r>
                  <w:r>
                    <w:rPr>
                      <w:color w:val="auto"/>
                      <w:sz w:val="21"/>
                      <w:szCs w:val="21"/>
                    </w:rPr>
                    <w:t>t/a）</w:t>
                  </w:r>
                </w:p>
              </w:tc>
              <w:tc>
                <w:tcPr>
                  <w:tcW w:w="903" w:type="dxa"/>
                  <w:tcBorders>
                    <w:tl2br w:val="nil"/>
                    <w:tr2bl w:val="nil"/>
                  </w:tcBorders>
                  <w:noWrap w:val="0"/>
                  <w:vAlign w:val="center"/>
                </w:tcPr>
                <w:p w14:paraId="5DCFB26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0.144</w:t>
                  </w:r>
                </w:p>
              </w:tc>
              <w:tc>
                <w:tcPr>
                  <w:tcW w:w="903" w:type="dxa"/>
                  <w:tcBorders>
                    <w:tl2br w:val="nil"/>
                    <w:tr2bl w:val="nil"/>
                  </w:tcBorders>
                  <w:noWrap w:val="0"/>
                  <w:vAlign w:val="center"/>
                </w:tcPr>
                <w:p w14:paraId="6E2C3ED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0.0792</w:t>
                  </w:r>
                </w:p>
              </w:tc>
              <w:tc>
                <w:tcPr>
                  <w:tcW w:w="903" w:type="dxa"/>
                  <w:tcBorders>
                    <w:tl2br w:val="nil"/>
                    <w:tr2bl w:val="nil"/>
                  </w:tcBorders>
                  <w:noWrap w:val="0"/>
                  <w:vAlign w:val="center"/>
                </w:tcPr>
                <w:p w14:paraId="175F987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0.072</w:t>
                  </w:r>
                </w:p>
              </w:tc>
              <w:tc>
                <w:tcPr>
                  <w:tcW w:w="905" w:type="dxa"/>
                  <w:tcBorders>
                    <w:tl2br w:val="nil"/>
                    <w:tr2bl w:val="nil"/>
                  </w:tcBorders>
                  <w:noWrap w:val="0"/>
                  <w:vAlign w:val="center"/>
                </w:tcPr>
                <w:p w14:paraId="1419A5C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0.0126</w:t>
                  </w:r>
                </w:p>
              </w:tc>
            </w:tr>
            <w:tr w14:paraId="4774E9E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1070" w:type="dxa"/>
                  <w:vMerge w:val="continue"/>
                  <w:tcBorders>
                    <w:tl2br w:val="nil"/>
                    <w:tr2bl w:val="nil"/>
                  </w:tcBorders>
                  <w:noWrap w:val="0"/>
                  <w:vAlign w:val="center"/>
                </w:tcPr>
                <w:p w14:paraId="27D4B5EC">
                  <w:pPr>
                    <w:pStyle w:val="245"/>
                    <w:rPr>
                      <w:color w:val="auto"/>
                      <w:sz w:val="21"/>
                      <w:szCs w:val="21"/>
                    </w:rPr>
                  </w:pPr>
                </w:p>
              </w:tc>
              <w:tc>
                <w:tcPr>
                  <w:tcW w:w="961" w:type="dxa"/>
                  <w:vMerge w:val="continue"/>
                  <w:tcBorders>
                    <w:tl2br w:val="nil"/>
                    <w:tr2bl w:val="nil"/>
                  </w:tcBorders>
                  <w:noWrap w:val="0"/>
                  <w:vAlign w:val="center"/>
                </w:tcPr>
                <w:p w14:paraId="6CEB0C2E">
                  <w:pPr>
                    <w:pStyle w:val="245"/>
                    <w:rPr>
                      <w:color w:val="auto"/>
                      <w:sz w:val="21"/>
                      <w:szCs w:val="21"/>
                    </w:rPr>
                  </w:pPr>
                </w:p>
              </w:tc>
              <w:tc>
                <w:tcPr>
                  <w:tcW w:w="990" w:type="dxa"/>
                  <w:tcBorders>
                    <w:top w:val="single" w:color="000000" w:sz="4" w:space="0"/>
                    <w:bottom w:val="single" w:color="000000" w:sz="4" w:space="0"/>
                    <w:tl2br w:val="nil"/>
                    <w:tr2bl w:val="nil"/>
                  </w:tcBorders>
                  <w:noWrap w:val="0"/>
                  <w:vAlign w:val="center"/>
                </w:tcPr>
                <w:p w14:paraId="519898BA">
                  <w:pPr>
                    <w:pStyle w:val="245"/>
                    <w:rPr>
                      <w:rFonts w:hint="eastAsia" w:ascii="Times New Roman" w:hAnsi="Times New Roman" w:eastAsia="宋体" w:cs="宋体"/>
                      <w:color w:val="auto"/>
                      <w:spacing w:val="4"/>
                      <w:sz w:val="21"/>
                      <w:szCs w:val="21"/>
                      <w:lang w:val="en-US" w:eastAsia="zh-CN" w:bidi="ar-SA"/>
                    </w:rPr>
                  </w:pPr>
                  <w:r>
                    <w:rPr>
                      <w:rFonts w:hint="eastAsia"/>
                      <w:color w:val="auto"/>
                      <w:sz w:val="21"/>
                      <w:szCs w:val="21"/>
                    </w:rPr>
                    <w:t>化粪池</w:t>
                  </w:r>
                  <w:r>
                    <w:rPr>
                      <w:rFonts w:hint="eastAsia"/>
                      <w:color w:val="auto"/>
                      <w:sz w:val="21"/>
                      <w:szCs w:val="21"/>
                      <w:lang w:val="en-US" w:eastAsia="zh-CN"/>
                    </w:rPr>
                    <w:t>处理</w:t>
                  </w:r>
                </w:p>
              </w:tc>
              <w:tc>
                <w:tcPr>
                  <w:tcW w:w="1485" w:type="dxa"/>
                  <w:tcBorders>
                    <w:tl2br w:val="nil"/>
                    <w:tr2bl w:val="nil"/>
                  </w:tcBorders>
                  <w:noWrap w:val="0"/>
                  <w:vAlign w:val="center"/>
                </w:tcPr>
                <w:p w14:paraId="331C33D6">
                  <w:pPr>
                    <w:pStyle w:val="245"/>
                    <w:rPr>
                      <w:rFonts w:hint="default" w:eastAsia="宋体"/>
                      <w:color w:val="auto"/>
                      <w:sz w:val="21"/>
                      <w:szCs w:val="21"/>
                      <w:lang w:val="en-US" w:eastAsia="zh-CN"/>
                    </w:rPr>
                  </w:pPr>
                  <w:r>
                    <w:rPr>
                      <w:rFonts w:hint="eastAsia"/>
                      <w:color w:val="auto"/>
                      <w:sz w:val="21"/>
                      <w:szCs w:val="21"/>
                      <w:lang w:val="en-US" w:eastAsia="zh-CN"/>
                    </w:rPr>
                    <w:t>处理效率</w:t>
                  </w:r>
                </w:p>
              </w:tc>
              <w:tc>
                <w:tcPr>
                  <w:tcW w:w="903" w:type="dxa"/>
                  <w:tcBorders>
                    <w:tl2br w:val="nil"/>
                    <w:tr2bl w:val="nil"/>
                  </w:tcBorders>
                  <w:noWrap w:val="0"/>
                  <w:vAlign w:val="center"/>
                </w:tcPr>
                <w:p w14:paraId="2F42545F">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50</w:t>
                  </w:r>
                </w:p>
              </w:tc>
              <w:tc>
                <w:tcPr>
                  <w:tcW w:w="903" w:type="dxa"/>
                  <w:tcBorders>
                    <w:tl2br w:val="nil"/>
                    <w:tr2bl w:val="nil"/>
                  </w:tcBorders>
                  <w:noWrap w:val="0"/>
                  <w:vAlign w:val="center"/>
                </w:tcPr>
                <w:p w14:paraId="0F012225">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60</w:t>
                  </w:r>
                </w:p>
              </w:tc>
              <w:tc>
                <w:tcPr>
                  <w:tcW w:w="903" w:type="dxa"/>
                  <w:tcBorders>
                    <w:tl2br w:val="nil"/>
                    <w:tr2bl w:val="nil"/>
                  </w:tcBorders>
                  <w:noWrap w:val="0"/>
                  <w:vAlign w:val="center"/>
                </w:tcPr>
                <w:p w14:paraId="74B6C6F5">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55</w:t>
                  </w:r>
                </w:p>
              </w:tc>
              <w:tc>
                <w:tcPr>
                  <w:tcW w:w="905" w:type="dxa"/>
                  <w:tcBorders>
                    <w:tl2br w:val="nil"/>
                    <w:tr2bl w:val="nil"/>
                  </w:tcBorders>
                  <w:noWrap w:val="0"/>
                  <w:vAlign w:val="center"/>
                </w:tcPr>
                <w:p w14:paraId="70EEBAB9">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0</w:t>
                  </w:r>
                </w:p>
              </w:tc>
            </w:tr>
            <w:tr w14:paraId="3847A4F6">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1070" w:type="dxa"/>
                  <w:vMerge w:val="continue"/>
                  <w:tcBorders>
                    <w:tl2br w:val="nil"/>
                    <w:tr2bl w:val="nil"/>
                  </w:tcBorders>
                  <w:noWrap w:val="0"/>
                  <w:vAlign w:val="center"/>
                </w:tcPr>
                <w:p w14:paraId="4368B1D9">
                  <w:pPr>
                    <w:pStyle w:val="245"/>
                    <w:rPr>
                      <w:color w:val="auto"/>
                      <w:sz w:val="21"/>
                      <w:szCs w:val="21"/>
                    </w:rPr>
                  </w:pPr>
                </w:p>
              </w:tc>
              <w:tc>
                <w:tcPr>
                  <w:tcW w:w="961" w:type="dxa"/>
                  <w:vMerge w:val="continue"/>
                  <w:tcBorders>
                    <w:tl2br w:val="nil"/>
                    <w:tr2bl w:val="nil"/>
                  </w:tcBorders>
                  <w:noWrap w:val="0"/>
                  <w:vAlign w:val="center"/>
                </w:tcPr>
                <w:p w14:paraId="435D672E">
                  <w:pPr>
                    <w:pStyle w:val="245"/>
                    <w:rPr>
                      <w:color w:val="auto"/>
                      <w:sz w:val="21"/>
                      <w:szCs w:val="21"/>
                    </w:rPr>
                  </w:pPr>
                </w:p>
              </w:tc>
              <w:tc>
                <w:tcPr>
                  <w:tcW w:w="990" w:type="dxa"/>
                  <w:vMerge w:val="restart"/>
                  <w:tcBorders>
                    <w:top w:val="single" w:color="000000" w:sz="4" w:space="0"/>
                    <w:tl2br w:val="nil"/>
                    <w:tr2bl w:val="nil"/>
                  </w:tcBorders>
                  <w:noWrap w:val="0"/>
                  <w:vAlign w:val="center"/>
                </w:tcPr>
                <w:p w14:paraId="76AC6E63">
                  <w:pPr>
                    <w:pStyle w:val="245"/>
                    <w:rPr>
                      <w:rFonts w:ascii="Times New Roman" w:hAnsi="Times New Roman" w:eastAsia="宋体" w:cs="宋体"/>
                      <w:color w:val="auto"/>
                      <w:spacing w:val="4"/>
                      <w:sz w:val="21"/>
                      <w:szCs w:val="21"/>
                      <w:lang w:val="en-US" w:eastAsia="zh-CN" w:bidi="ar-SA"/>
                    </w:rPr>
                  </w:pPr>
                  <w:r>
                    <w:rPr>
                      <w:rFonts w:hint="eastAsia"/>
                      <w:color w:val="auto"/>
                      <w:sz w:val="21"/>
                      <w:szCs w:val="21"/>
                    </w:rPr>
                    <w:t>处理后</w:t>
                  </w:r>
                </w:p>
              </w:tc>
              <w:tc>
                <w:tcPr>
                  <w:tcW w:w="1485" w:type="dxa"/>
                  <w:tcBorders>
                    <w:tl2br w:val="nil"/>
                    <w:tr2bl w:val="nil"/>
                  </w:tcBorders>
                  <w:noWrap w:val="0"/>
                  <w:vAlign w:val="center"/>
                </w:tcPr>
                <w:p w14:paraId="2D4CA427">
                  <w:pPr>
                    <w:pStyle w:val="245"/>
                    <w:rPr>
                      <w:color w:val="auto"/>
                      <w:sz w:val="21"/>
                      <w:szCs w:val="21"/>
                    </w:rPr>
                  </w:pPr>
                  <w:r>
                    <w:rPr>
                      <w:rFonts w:hint="eastAsia"/>
                      <w:color w:val="auto"/>
                      <w:sz w:val="21"/>
                      <w:szCs w:val="21"/>
                    </w:rPr>
                    <w:t>排放浓度（</w:t>
                  </w:r>
                  <w:r>
                    <w:rPr>
                      <w:color w:val="auto"/>
                      <w:sz w:val="21"/>
                      <w:szCs w:val="21"/>
                    </w:rPr>
                    <w:t>mg/L）</w:t>
                  </w:r>
                </w:p>
              </w:tc>
              <w:tc>
                <w:tcPr>
                  <w:tcW w:w="903" w:type="dxa"/>
                  <w:tcBorders>
                    <w:tl2br w:val="nil"/>
                    <w:tr2bl w:val="nil"/>
                  </w:tcBorders>
                  <w:noWrap w:val="0"/>
                  <w:vAlign w:val="center"/>
                </w:tcPr>
                <w:p w14:paraId="585CDAD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903" w:type="dxa"/>
                  <w:tcBorders>
                    <w:tl2br w:val="nil"/>
                    <w:tr2bl w:val="nil"/>
                  </w:tcBorders>
                  <w:noWrap w:val="0"/>
                  <w:vAlign w:val="center"/>
                </w:tcPr>
                <w:p w14:paraId="1BA6528E">
                  <w:pPr>
                    <w:keepNext w:val="0"/>
                    <w:keepLines w:val="0"/>
                    <w:widowControl/>
                    <w:suppressLineNumbers w:val="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903" w:type="dxa"/>
                  <w:tcBorders>
                    <w:tl2br w:val="nil"/>
                    <w:tr2bl w:val="nil"/>
                  </w:tcBorders>
                  <w:noWrap w:val="0"/>
                  <w:vAlign w:val="center"/>
                </w:tcPr>
                <w:p w14:paraId="48E70EB1">
                  <w:pPr>
                    <w:keepNext w:val="0"/>
                    <w:keepLines w:val="0"/>
                    <w:widowControl/>
                    <w:suppressLineNumbers w:val="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905" w:type="dxa"/>
                  <w:tcBorders>
                    <w:tl2br w:val="nil"/>
                    <w:tr2bl w:val="nil"/>
                  </w:tcBorders>
                  <w:noWrap w:val="0"/>
                  <w:vAlign w:val="center"/>
                </w:tcPr>
                <w:p w14:paraId="0CEE07B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35</w:t>
                  </w:r>
                </w:p>
              </w:tc>
            </w:tr>
            <w:tr w14:paraId="4C52F7B8">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1070" w:type="dxa"/>
                  <w:vMerge w:val="continue"/>
                  <w:tcBorders>
                    <w:tl2br w:val="nil"/>
                    <w:tr2bl w:val="nil"/>
                  </w:tcBorders>
                  <w:noWrap w:val="0"/>
                  <w:vAlign w:val="center"/>
                </w:tcPr>
                <w:p w14:paraId="100FFF3A">
                  <w:pPr>
                    <w:pStyle w:val="245"/>
                    <w:rPr>
                      <w:color w:val="auto"/>
                      <w:sz w:val="21"/>
                      <w:szCs w:val="21"/>
                    </w:rPr>
                  </w:pPr>
                </w:p>
              </w:tc>
              <w:tc>
                <w:tcPr>
                  <w:tcW w:w="961" w:type="dxa"/>
                  <w:vMerge w:val="continue"/>
                  <w:tcBorders>
                    <w:tl2br w:val="nil"/>
                    <w:tr2bl w:val="nil"/>
                  </w:tcBorders>
                  <w:noWrap w:val="0"/>
                  <w:vAlign w:val="center"/>
                </w:tcPr>
                <w:p w14:paraId="3F02F55E">
                  <w:pPr>
                    <w:pStyle w:val="245"/>
                    <w:rPr>
                      <w:color w:val="auto"/>
                      <w:sz w:val="21"/>
                      <w:szCs w:val="21"/>
                    </w:rPr>
                  </w:pPr>
                </w:p>
              </w:tc>
              <w:tc>
                <w:tcPr>
                  <w:tcW w:w="990" w:type="dxa"/>
                  <w:vMerge w:val="continue"/>
                  <w:tcBorders>
                    <w:tl2br w:val="nil"/>
                    <w:tr2bl w:val="nil"/>
                  </w:tcBorders>
                  <w:noWrap w:val="0"/>
                  <w:vAlign w:val="center"/>
                </w:tcPr>
                <w:p w14:paraId="5AAA4228">
                  <w:pPr>
                    <w:pStyle w:val="245"/>
                    <w:rPr>
                      <w:color w:val="auto"/>
                      <w:sz w:val="21"/>
                      <w:szCs w:val="21"/>
                    </w:rPr>
                  </w:pPr>
                </w:p>
              </w:tc>
              <w:tc>
                <w:tcPr>
                  <w:tcW w:w="1485" w:type="dxa"/>
                  <w:tcBorders>
                    <w:tl2br w:val="nil"/>
                    <w:tr2bl w:val="nil"/>
                  </w:tcBorders>
                  <w:noWrap w:val="0"/>
                  <w:vAlign w:val="center"/>
                </w:tcPr>
                <w:p w14:paraId="1050A000">
                  <w:pPr>
                    <w:pStyle w:val="245"/>
                    <w:rPr>
                      <w:color w:val="auto"/>
                      <w:sz w:val="21"/>
                      <w:szCs w:val="21"/>
                    </w:rPr>
                  </w:pPr>
                  <w:r>
                    <w:rPr>
                      <w:rFonts w:hint="eastAsia"/>
                      <w:color w:val="auto"/>
                      <w:sz w:val="21"/>
                      <w:szCs w:val="21"/>
                    </w:rPr>
                    <w:t>排放量（</w:t>
                  </w:r>
                  <w:r>
                    <w:rPr>
                      <w:color w:val="auto"/>
                      <w:sz w:val="21"/>
                      <w:szCs w:val="21"/>
                    </w:rPr>
                    <w:t>t/a）</w:t>
                  </w:r>
                </w:p>
              </w:tc>
              <w:tc>
                <w:tcPr>
                  <w:tcW w:w="903" w:type="dxa"/>
                  <w:tcBorders>
                    <w:tl2br w:val="nil"/>
                    <w:tr2bl w:val="nil"/>
                  </w:tcBorders>
                  <w:noWrap w:val="0"/>
                  <w:vAlign w:val="center"/>
                </w:tcPr>
                <w:p w14:paraId="06297C6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0.072</w:t>
                  </w:r>
                </w:p>
              </w:tc>
              <w:tc>
                <w:tcPr>
                  <w:tcW w:w="903" w:type="dxa"/>
                  <w:tcBorders>
                    <w:tl2br w:val="nil"/>
                    <w:tr2bl w:val="nil"/>
                  </w:tcBorders>
                  <w:noWrap w:val="0"/>
                  <w:vAlign w:val="center"/>
                </w:tcPr>
                <w:p w14:paraId="3E5F5D5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0.036</w:t>
                  </w:r>
                </w:p>
              </w:tc>
              <w:tc>
                <w:tcPr>
                  <w:tcW w:w="903" w:type="dxa"/>
                  <w:tcBorders>
                    <w:tl2br w:val="nil"/>
                    <w:tr2bl w:val="nil"/>
                  </w:tcBorders>
                  <w:noWrap w:val="0"/>
                  <w:vAlign w:val="center"/>
                </w:tcPr>
                <w:p w14:paraId="49F76CB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0.036</w:t>
                  </w:r>
                </w:p>
              </w:tc>
              <w:tc>
                <w:tcPr>
                  <w:tcW w:w="905" w:type="dxa"/>
                  <w:tcBorders>
                    <w:tl2br w:val="nil"/>
                    <w:tr2bl w:val="nil"/>
                  </w:tcBorders>
                  <w:noWrap w:val="0"/>
                  <w:vAlign w:val="center"/>
                </w:tcPr>
                <w:p w14:paraId="0999024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0.0126</w:t>
                  </w:r>
                </w:p>
              </w:tc>
            </w:tr>
          </w:tbl>
          <w:p w14:paraId="5C515CB2">
            <w:pPr>
              <w:pStyle w:val="137"/>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4.2.2.2 水环境影响分析及保护措施</w:t>
            </w:r>
          </w:p>
          <w:p w14:paraId="2B02811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color w:val="auto"/>
                <w:sz w:val="24"/>
                <w:szCs w:val="24"/>
              </w:rPr>
            </w:pPr>
            <w:r>
              <w:rPr>
                <w:rFonts w:hint="eastAsia"/>
                <w:color w:val="auto"/>
                <w:sz w:val="24"/>
                <w:szCs w:val="24"/>
                <w:lang w:val="en-US" w:eastAsia="zh-CN"/>
              </w:rPr>
              <w:t>生活</w:t>
            </w:r>
            <w:r>
              <w:rPr>
                <w:rFonts w:hint="default" w:ascii="Times New Roman" w:hAnsi="Times New Roman" w:cs="Times New Roman"/>
                <w:color w:val="auto"/>
                <w:sz w:val="24"/>
              </w:rPr>
              <w:t>污水经过三级化粪池处理满足后，用于周边山林地施肥，</w:t>
            </w:r>
            <w:r>
              <w:rPr>
                <w:rFonts w:hint="default" w:ascii="Times New Roman" w:hAnsi="Times New Roman" w:cs="Times New Roman"/>
                <w:color w:val="auto"/>
                <w:sz w:val="24"/>
                <w:szCs w:val="24"/>
              </w:rPr>
              <w:t>不会对周边地表水环境产生影响。</w:t>
            </w:r>
          </w:p>
          <w:p w14:paraId="4C569ACA">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color w:val="auto"/>
                <w:sz w:val="24"/>
              </w:rPr>
            </w:pPr>
            <w:r>
              <w:rPr>
                <w:rFonts w:hint="eastAsia" w:ascii="Times New Roman" w:hAnsi="Times New Roman" w:cs="Times New Roman"/>
                <w:b/>
                <w:bCs/>
                <w:color w:val="auto"/>
                <w:sz w:val="24"/>
                <w:szCs w:val="21"/>
                <w:lang w:val="en-US" w:eastAsia="zh-CN"/>
              </w:rPr>
              <w:t>水处理措施</w:t>
            </w:r>
            <w:r>
              <w:rPr>
                <w:rFonts w:hint="default" w:ascii="Times New Roman" w:hAnsi="Times New Roman" w:cs="Times New Roman"/>
                <w:b/>
                <w:bCs/>
                <w:color w:val="auto"/>
                <w:sz w:val="24"/>
                <w:szCs w:val="21"/>
              </w:rPr>
              <w:t>可行性分析：</w:t>
            </w:r>
            <w:r>
              <w:rPr>
                <w:rFonts w:hint="default" w:ascii="Times New Roman" w:hAnsi="Times New Roman" w:cs="Times New Roman"/>
                <w:color w:val="auto"/>
                <w:sz w:val="24"/>
              </w:rPr>
              <w:t>三级化粪池是一种兼有沉淀污水中的悬浮物质和使粪便污泥进行厌氧消化作用的腐化沉淀池。其特点是构造简单、维护管理方便，是处理少量粪便污水的常用构筑物。三级化粪池的第一室为总容积的二分之一，其余两室均为四分之一。在化粪池的进口应设置导流装置，室与室之间和化粪池出口处应设置拦截污泥浮渣的措施，每室的上方应有通气孔洞。</w:t>
            </w:r>
          </w:p>
          <w:p w14:paraId="1AFD79F5">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当生活污水经过化粪池时，固体杂质借助重力作用沉淀下来，在适当的环境下，由于厌氧微生物的作用，沉淀污泥进行厌氧发酵，污水和污泥中的部分有机物被分解，并产生甲烷气、硫化氢气和二氧化碳气。由于化粪池中的水流速度很小，所以污水中的悬浮物的沉淀效果较高，污泥在池内进行厌气分解的结果，使其体积也显著缩减。</w:t>
            </w:r>
          </w:p>
          <w:p w14:paraId="4163488E">
            <w:pPr>
              <w:pStyle w:val="157"/>
              <w:keepNext w:val="0"/>
              <w:keepLines w:val="0"/>
              <w:pageBreakBefore w:val="0"/>
              <w:widowControl w:val="0"/>
              <w:kinsoku/>
              <w:wordWrap/>
              <w:overflowPunct/>
              <w:topLinePunct w:val="0"/>
              <w:autoSpaceDE/>
              <w:autoSpaceDN/>
              <w:bidi w:val="0"/>
              <w:spacing w:after="0"/>
              <w:ind w:left="0" w:leftChars="0" w:firstLine="480"/>
              <w:textAlignment w:val="auto"/>
              <w:rPr>
                <w:rFonts w:hint="default" w:ascii="Times New Roman" w:hAnsi="Times New Roman" w:cs="Times New Roman"/>
                <w:color w:val="auto"/>
              </w:rPr>
            </w:pPr>
            <w:r>
              <w:rPr>
                <w:rFonts w:hint="default" w:ascii="Times New Roman" w:hAnsi="Times New Roman" w:cs="Times New Roman"/>
                <w:color w:val="auto"/>
                <w:szCs w:val="24"/>
              </w:rPr>
              <w:fldChar w:fldCharType="begin"/>
            </w:r>
            <w:r>
              <w:rPr>
                <w:rFonts w:hint="default" w:ascii="Times New Roman" w:hAnsi="Times New Roman" w:cs="Times New Roman"/>
                <w:color w:val="auto"/>
                <w:szCs w:val="24"/>
              </w:rPr>
              <w:instrText xml:space="preserve"> REF 废水去向 \h  \* MERGEFORMAT </w:instrText>
            </w:r>
            <w:r>
              <w:rPr>
                <w:rFonts w:hint="default" w:ascii="Times New Roman" w:hAnsi="Times New Roman" w:cs="Times New Roman"/>
                <w:color w:val="auto"/>
                <w:szCs w:val="24"/>
              </w:rPr>
              <w:fldChar w:fldCharType="separate"/>
            </w:r>
            <w:r>
              <w:rPr>
                <w:rFonts w:hint="default" w:ascii="Times New Roman" w:hAnsi="Times New Roman" w:cs="Times New Roman"/>
                <w:color w:val="auto"/>
                <w:szCs w:val="24"/>
              </w:rPr>
              <w:t>项目生活污水经过三级化粪池处理后</w:t>
            </w:r>
            <w:r>
              <w:rPr>
                <w:rFonts w:hint="eastAsia" w:ascii="Times New Roman" w:hAnsi="Times New Roman" w:cs="Times New Roman"/>
                <w:color w:val="auto"/>
                <w:szCs w:val="24"/>
                <w:lang w:val="en-US" w:eastAsia="zh-CN"/>
              </w:rPr>
              <w:t>可</w:t>
            </w:r>
            <w:r>
              <w:rPr>
                <w:rFonts w:hint="default" w:ascii="Times New Roman" w:hAnsi="Times New Roman" w:cs="Times New Roman"/>
                <w:color w:val="auto"/>
                <w:sz w:val="24"/>
              </w:rPr>
              <w:t>满足《农田灌溉水质标准》（GB5084-2021）中表1中的旱作标准限值</w:t>
            </w:r>
            <w:r>
              <w:rPr>
                <w:rFonts w:hint="default" w:ascii="Times New Roman" w:hAnsi="Times New Roman" w:cs="Times New Roman"/>
                <w:color w:val="auto"/>
                <w:szCs w:val="24"/>
              </w:rPr>
              <w:t>，</w:t>
            </w:r>
            <w:r>
              <w:rPr>
                <w:rFonts w:hint="eastAsia" w:ascii="Times New Roman" w:hAnsi="Times New Roman" w:cs="Times New Roman"/>
                <w:color w:val="auto"/>
                <w:szCs w:val="24"/>
                <w:lang w:val="en-US" w:eastAsia="zh-CN"/>
              </w:rPr>
              <w:t>可</w:t>
            </w:r>
            <w:r>
              <w:rPr>
                <w:rFonts w:hint="default" w:ascii="Times New Roman" w:hAnsi="Times New Roman" w:cs="Times New Roman"/>
                <w:color w:val="auto"/>
                <w:szCs w:val="24"/>
              </w:rPr>
              <w:t>用于周边山林地施肥</w:t>
            </w:r>
            <w:r>
              <w:rPr>
                <w:rFonts w:hint="default" w:ascii="Times New Roman" w:hAnsi="Times New Roman" w:cs="Times New Roman"/>
                <w:color w:val="auto"/>
                <w:szCs w:val="24"/>
              </w:rPr>
              <w:fldChar w:fldCharType="end"/>
            </w:r>
            <w:r>
              <w:rPr>
                <w:rFonts w:hint="default" w:ascii="Times New Roman" w:hAnsi="Times New Roman" w:cs="Times New Roman"/>
                <w:color w:val="auto"/>
                <w:szCs w:val="24"/>
              </w:rPr>
              <w:t>。</w:t>
            </w:r>
            <w:r>
              <w:rPr>
                <w:rFonts w:hint="default" w:ascii="Times New Roman" w:hAnsi="Times New Roman" w:cs="Times New Roman"/>
                <w:color w:val="auto"/>
              </w:rPr>
              <w:t>生活污水中含有少量的植物生长过程中的营养元素，合理地将生活污水用于农田施肥，不仅可以节约环保投资，而且增加了土壤的肥力，提高植物生长质量，生活污水可生化性较好，废水污染物成分较简单，且不含有毒有害成分，将处理后的污水用于山林施肥，可以实现资源综合利用。</w:t>
            </w:r>
          </w:p>
          <w:p w14:paraId="664703E4">
            <w:pPr>
              <w:pStyle w:val="157"/>
              <w:keepNext w:val="0"/>
              <w:keepLines w:val="0"/>
              <w:pageBreakBefore w:val="0"/>
              <w:widowControl w:val="0"/>
              <w:kinsoku/>
              <w:wordWrap/>
              <w:overflowPunct/>
              <w:topLinePunct w:val="0"/>
              <w:autoSpaceDE/>
              <w:autoSpaceDN/>
              <w:bidi w:val="0"/>
              <w:spacing w:after="0"/>
              <w:ind w:left="0" w:leftChars="0" w:firstLine="480"/>
              <w:textAlignment w:val="auto"/>
              <w:rPr>
                <w:rFonts w:hint="default" w:ascii="Times New Roman" w:hAnsi="Times New Roman" w:cs="Times New Roman"/>
                <w:color w:val="auto"/>
              </w:rPr>
            </w:pPr>
            <w:r>
              <w:rPr>
                <w:rFonts w:hint="default" w:ascii="Times New Roman" w:hAnsi="Times New Roman" w:cs="Times New Roman"/>
                <w:b/>
                <w:bCs/>
                <w:color w:val="auto"/>
              </w:rPr>
              <w:t>生活污水</w:t>
            </w:r>
            <w:r>
              <w:rPr>
                <w:rFonts w:hint="eastAsia" w:ascii="Times New Roman" w:hAnsi="Times New Roman" w:cs="Times New Roman"/>
                <w:b/>
                <w:bCs/>
                <w:color w:val="auto"/>
                <w:lang w:val="en-US" w:eastAsia="zh-CN"/>
              </w:rPr>
              <w:t>林灌</w:t>
            </w:r>
            <w:r>
              <w:rPr>
                <w:rFonts w:hint="default" w:ascii="Times New Roman" w:hAnsi="Times New Roman" w:cs="Times New Roman"/>
                <w:b/>
                <w:bCs/>
                <w:color w:val="auto"/>
              </w:rPr>
              <w:t>可行性分析：</w:t>
            </w:r>
            <w:r>
              <w:rPr>
                <w:rFonts w:hint="default" w:ascii="Times New Roman" w:hAnsi="Times New Roman" w:cs="Times New Roman"/>
                <w:color w:val="auto"/>
              </w:rPr>
              <w:t>职工生活污水产生量为</w:t>
            </w:r>
            <w:r>
              <w:rPr>
                <w:rFonts w:hint="eastAsia" w:ascii="Times New Roman" w:hAnsi="Times New Roman" w:cs="Times New Roman"/>
                <w:color w:val="auto"/>
                <w:lang w:val="en-US" w:eastAsia="zh-CN"/>
              </w:rPr>
              <w:t>1.2</w:t>
            </w:r>
            <w:r>
              <w:rPr>
                <w:rFonts w:hint="default" w:ascii="Times New Roman" w:hAnsi="Times New Roman" w:cs="Times New Roman"/>
                <w:color w:val="auto"/>
              </w:rPr>
              <w:t>m</w:t>
            </w:r>
            <w:r>
              <w:rPr>
                <w:rFonts w:hint="eastAsia" w:ascii="Times New Roman" w:hAnsi="Times New Roman" w:cs="Times New Roman"/>
                <w:color w:val="auto"/>
                <w:vertAlign w:val="superscript"/>
                <w:lang w:val="en-US" w:eastAsia="zh-CN"/>
              </w:rPr>
              <w:t>3</w:t>
            </w:r>
            <w:r>
              <w:rPr>
                <w:rFonts w:hint="default" w:ascii="Times New Roman" w:hAnsi="Times New Roman" w:cs="Times New Roman"/>
                <w:color w:val="auto"/>
              </w:rPr>
              <w:t>/d，经化粪池处理后用于周边林地施肥。拟建1座容积为18m</w:t>
            </w:r>
            <w:r>
              <w:rPr>
                <w:rFonts w:hint="default" w:ascii="Times New Roman" w:hAnsi="Times New Roman" w:cs="Times New Roman"/>
                <w:color w:val="auto"/>
                <w:vertAlign w:val="superscript"/>
              </w:rPr>
              <w:t>3</w:t>
            </w:r>
            <w:r>
              <w:rPr>
                <w:rFonts w:hint="default" w:ascii="Times New Roman" w:hAnsi="Times New Roman" w:cs="Times New Roman"/>
                <w:color w:val="auto"/>
              </w:rPr>
              <w:t>的生活污水贮存池，可存储至少</w:t>
            </w:r>
            <w:r>
              <w:rPr>
                <w:rFonts w:hint="eastAsia" w:ascii="Times New Roman" w:hAnsi="Times New Roman" w:cs="Times New Roman"/>
                <w:color w:val="auto"/>
                <w:lang w:val="en-US" w:eastAsia="zh-CN"/>
              </w:rPr>
              <w:t>15</w:t>
            </w:r>
            <w:r>
              <w:rPr>
                <w:rFonts w:hint="default" w:ascii="Times New Roman" w:hAnsi="Times New Roman" w:cs="Times New Roman"/>
                <w:color w:val="auto"/>
              </w:rPr>
              <w:t>天的生活污水，用于贮存雨季时的生活污水，可满足本项目废水处理要求。生活污水中含有少量的植物生长过程中的营养元素，合理地将生活污水用于林地施肥，不仅可以节约环保投资，而且增加了土壤的肥力，提高植物生长质量，生活污水可生化性较好，废水污染物成分较简单，且不含有毒有害成分，将处理后的污水用于山林施肥，可以实现资源综合利用。</w:t>
            </w:r>
          </w:p>
          <w:p w14:paraId="7CAACF5F">
            <w:pPr>
              <w:pStyle w:val="236"/>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根据《福建省行业用水定额标准》（DB35/T772-2018）林业用水定额约为100m</w:t>
            </w:r>
            <w:r>
              <w:rPr>
                <w:rFonts w:hint="default" w:ascii="Times New Roman" w:hAnsi="Times New Roman" w:cs="Times New Roman"/>
                <w:color w:val="auto"/>
                <w:vertAlign w:val="superscript"/>
              </w:rPr>
              <w:t>3</w:t>
            </w:r>
            <w:r>
              <w:rPr>
                <w:rFonts w:hint="default" w:ascii="Times New Roman" w:hAnsi="Times New Roman" w:cs="Times New Roman"/>
                <w:color w:val="auto"/>
              </w:rPr>
              <w:t>/亩•次，项目拟对林地进行喷灌，考虑到本地区的生态环境及年降雨量，以15天喷灌1次计算，即喷灌次数为20次/年，则项目采取此措施需要约</w:t>
            </w:r>
            <w:r>
              <w:rPr>
                <w:rFonts w:hint="eastAsia" w:ascii="Times New Roman" w:hAnsi="Times New Roman" w:cs="Times New Roman"/>
                <w:color w:val="auto"/>
                <w:lang w:val="en-US" w:eastAsia="zh-CN"/>
              </w:rPr>
              <w:t>32</w:t>
            </w:r>
            <w:r>
              <w:rPr>
                <w:rFonts w:hint="default" w:ascii="Times New Roman" w:hAnsi="Times New Roman" w:cs="Times New Roman"/>
                <w:color w:val="auto"/>
              </w:rPr>
              <w:t>m</w:t>
            </w:r>
            <w:r>
              <w:rPr>
                <w:rFonts w:hint="default" w:ascii="Times New Roman" w:hAnsi="Times New Roman" w:cs="Times New Roman"/>
                <w:color w:val="auto"/>
                <w:vertAlign w:val="superscript"/>
              </w:rPr>
              <w:t>2</w:t>
            </w:r>
            <w:r>
              <w:rPr>
                <w:rFonts w:hint="default" w:ascii="Times New Roman" w:hAnsi="Times New Roman" w:cs="Times New Roman"/>
                <w:color w:val="auto"/>
              </w:rPr>
              <w:t>林地。项目在实际施肥过程中应根据季节、施肥当天天气以及消纳地状况相应调整施肥面积，确保废水完全消纳且不造成面源污染。</w:t>
            </w:r>
          </w:p>
          <w:p w14:paraId="590CEA46">
            <w:pPr>
              <w:pStyle w:val="236"/>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color w:val="auto"/>
              </w:rPr>
            </w:pPr>
            <w:r>
              <w:rPr>
                <w:rFonts w:hint="default" w:ascii="Times New Roman" w:hAnsi="Times New Roman" w:cs="Times New Roman"/>
                <w:color w:val="auto"/>
              </w:rPr>
              <w:t>根据现场调查，项目周边分布大片林地（超过</w:t>
            </w:r>
            <w:r>
              <w:rPr>
                <w:rFonts w:hint="eastAsia" w:ascii="Times New Roman" w:hAnsi="Times New Roman" w:cs="Times New Roman"/>
                <w:color w:val="auto"/>
                <w:lang w:val="en-US" w:eastAsia="zh-CN"/>
              </w:rPr>
              <w:t>1亩</w:t>
            </w:r>
            <w:r>
              <w:rPr>
                <w:rFonts w:hint="default" w:ascii="Times New Roman" w:hAnsi="Times New Roman" w:cs="Times New Roman"/>
                <w:color w:val="auto"/>
              </w:rPr>
              <w:t>），且生活污水产生量小，项目废水施肥后不会引起养分富余，周边林地完全可容纳本项目生活污水，因此该治理措施可行。</w:t>
            </w:r>
          </w:p>
          <w:p w14:paraId="3230A041">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4.2.1废气</w:t>
            </w:r>
          </w:p>
          <w:p w14:paraId="24D9C2D9">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color w:val="auto"/>
                <w:kern w:val="2"/>
                <w:sz w:val="21"/>
                <w:szCs w:val="24"/>
              </w:rPr>
            </w:pPr>
            <w:r>
              <w:rPr>
                <w:rFonts w:hint="eastAsia"/>
                <w:color w:val="auto"/>
              </w:rPr>
              <w:t>项目运营期废气污染源来自</w:t>
            </w:r>
            <w:r>
              <w:rPr>
                <w:rFonts w:hint="eastAsia"/>
                <w:color w:val="auto"/>
                <w:lang w:val="en-US" w:eastAsia="zh-CN"/>
              </w:rPr>
              <w:t>生产工序</w:t>
            </w:r>
            <w:r>
              <w:rPr>
                <w:rFonts w:hint="eastAsia"/>
                <w:color w:val="auto"/>
              </w:rPr>
              <w:t>产生的</w:t>
            </w:r>
            <w:r>
              <w:rPr>
                <w:rFonts w:hint="eastAsia"/>
                <w:color w:val="auto"/>
                <w:lang w:val="en-US" w:eastAsia="zh-CN"/>
              </w:rPr>
              <w:t>粉尘（颗粒物）、原料烘干产生的烘干废气（颗粒物）及天然气燃烧产生的燃烧废气（颗粒物、二氧化硫、氮氧化物）</w:t>
            </w:r>
            <w:r>
              <w:rPr>
                <w:rFonts w:hint="eastAsia"/>
                <w:color w:val="auto"/>
                <w:kern w:val="2"/>
                <w:sz w:val="21"/>
                <w:szCs w:val="24"/>
              </w:rPr>
              <w:t>。</w:t>
            </w:r>
          </w:p>
          <w:p w14:paraId="1ED7B998">
            <w:pPr>
              <w:spacing w:before="120" w:beforeLines="50" w:line="360" w:lineRule="auto"/>
              <w:jc w:val="left"/>
              <w:outlineLvl w:val="2"/>
              <w:rPr>
                <w:rFonts w:ascii="Times New Roman" w:hAnsi="Times New Roman"/>
                <w:b/>
                <w:color w:val="auto"/>
                <w:sz w:val="24"/>
                <w:szCs w:val="24"/>
                <w:lang w:val="zh-CN"/>
              </w:rPr>
            </w:pPr>
            <w:r>
              <w:rPr>
                <w:rFonts w:ascii="Times New Roman" w:hAnsi="Times New Roman"/>
                <w:b/>
                <w:color w:val="auto"/>
                <w:sz w:val="24"/>
                <w:szCs w:val="24"/>
                <w:lang w:val="zh-CN"/>
              </w:rPr>
              <w:t>4.2.1.1废气源强</w:t>
            </w:r>
          </w:p>
          <w:p w14:paraId="41CAFC6D">
            <w:pPr>
              <w:snapToGrid w:val="0"/>
              <w:spacing w:line="360" w:lineRule="auto"/>
              <w:ind w:firstLine="480" w:firstLineChars="200"/>
              <w:rPr>
                <w:rFonts w:hint="default" w:ascii="Times New Roman" w:hAnsi="Times New Roman" w:eastAsia="宋体" w:cs="Times New Roman"/>
                <w:color w:val="auto"/>
                <w:kern w:val="0"/>
                <w:sz w:val="24"/>
                <w:szCs w:val="22"/>
                <w:lang w:val="en-US" w:eastAsia="zh-CN" w:bidi="ar-SA"/>
              </w:rPr>
            </w:pPr>
            <w:r>
              <w:rPr>
                <w:rFonts w:hint="eastAsia" w:ascii="Times New Roman" w:hAnsi="Times New Roman" w:eastAsia="宋体" w:cs="Times New Roman"/>
                <w:color w:val="auto"/>
                <w:kern w:val="0"/>
                <w:sz w:val="24"/>
                <w:szCs w:val="22"/>
                <w:lang w:val="en-US" w:eastAsia="zh-CN" w:bidi="ar-SA"/>
              </w:rPr>
              <w:t>（1）烘干尾气</w:t>
            </w:r>
          </w:p>
          <w:p w14:paraId="46F261CC">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color w:val="auto"/>
                <w:kern w:val="0"/>
                <w:sz w:val="24"/>
                <w:szCs w:val="22"/>
                <w:lang w:val="en-US" w:eastAsia="zh-CN" w:bidi="ar-SA"/>
              </w:rPr>
            </w:pPr>
            <w:r>
              <w:rPr>
                <w:rFonts w:hint="eastAsia" w:ascii="Times New Roman" w:hAnsi="Times New Roman" w:eastAsia="宋体" w:cs="Times New Roman"/>
                <w:color w:val="auto"/>
                <w:kern w:val="0"/>
                <w:sz w:val="24"/>
                <w:szCs w:val="22"/>
                <w:lang w:val="en-US" w:eastAsia="zh-CN" w:bidi="ar-SA"/>
              </w:rPr>
              <w:t>本项目</w:t>
            </w:r>
            <w:r>
              <w:rPr>
                <w:rFonts w:hint="default" w:ascii="Times New Roman" w:hAnsi="Times New Roman" w:eastAsia="宋体" w:cs="Times New Roman"/>
                <w:color w:val="auto"/>
                <w:kern w:val="0"/>
                <w:sz w:val="24"/>
                <w:szCs w:val="22"/>
                <w:lang w:val="en-US" w:eastAsia="zh-CN" w:bidi="ar-SA"/>
              </w:rPr>
              <w:t>新建</w:t>
            </w:r>
            <w:r>
              <w:rPr>
                <w:rFonts w:hint="eastAsia" w:ascii="Times New Roman" w:hAnsi="Times New Roman" w:eastAsia="宋体" w:cs="Times New Roman"/>
                <w:color w:val="auto"/>
                <w:kern w:val="0"/>
                <w:sz w:val="24"/>
                <w:szCs w:val="22"/>
                <w:lang w:val="en-US" w:eastAsia="zh-CN" w:bidi="ar-SA"/>
              </w:rPr>
              <w:t>天然气烘干</w:t>
            </w:r>
            <w:r>
              <w:rPr>
                <w:rFonts w:hint="default" w:ascii="Times New Roman" w:hAnsi="Times New Roman" w:eastAsia="宋体" w:cs="Times New Roman"/>
                <w:color w:val="auto"/>
                <w:kern w:val="0"/>
                <w:sz w:val="24"/>
                <w:szCs w:val="22"/>
                <w:lang w:val="en-US" w:eastAsia="zh-CN" w:bidi="ar-SA"/>
              </w:rPr>
              <w:t>炉，</w:t>
            </w:r>
            <w:r>
              <w:rPr>
                <w:rFonts w:hint="eastAsia" w:eastAsia="宋体" w:cs="Times New Roman"/>
                <w:color w:val="auto"/>
                <w:kern w:val="0"/>
                <w:sz w:val="24"/>
                <w:szCs w:val="22"/>
                <w:lang w:val="en-US" w:eastAsia="zh-CN" w:bidi="ar-SA"/>
              </w:rPr>
              <w:t>燃烧废气采用低氮燃烧器，燃烧尾气通过15m高排气筒（DA002）高空排放。</w:t>
            </w:r>
            <w:r>
              <w:rPr>
                <w:rFonts w:hint="default" w:ascii="Times New Roman" w:hAnsi="Times New Roman" w:eastAsia="宋体" w:cs="Times New Roman"/>
                <w:color w:val="auto"/>
                <w:kern w:val="0"/>
                <w:sz w:val="24"/>
                <w:szCs w:val="22"/>
                <w:lang w:val="en-US" w:eastAsia="zh-CN" w:bidi="ar-SA"/>
              </w:rPr>
              <w:t>烘干</w:t>
            </w:r>
            <w:r>
              <w:rPr>
                <w:rFonts w:hint="eastAsia" w:ascii="Times New Roman" w:hAnsi="Times New Roman" w:eastAsia="宋体" w:cs="Times New Roman"/>
                <w:color w:val="auto"/>
                <w:kern w:val="0"/>
                <w:sz w:val="24"/>
                <w:szCs w:val="22"/>
                <w:lang w:val="en-US" w:eastAsia="zh-CN" w:bidi="ar-SA"/>
              </w:rPr>
              <w:t>尾气经</w:t>
            </w:r>
            <w:r>
              <w:rPr>
                <w:rFonts w:hint="default" w:ascii="Times New Roman" w:hAnsi="Times New Roman" w:eastAsia="宋体" w:cs="Times New Roman"/>
                <w:color w:val="auto"/>
                <w:kern w:val="0"/>
                <w:sz w:val="24"/>
                <w:szCs w:val="22"/>
                <w:lang w:val="en-US" w:eastAsia="zh-CN" w:bidi="ar-SA"/>
              </w:rPr>
              <w:t>布袋除尘处置后通过15m排气筒排放（DA00</w:t>
            </w:r>
            <w:r>
              <w:rPr>
                <w:rFonts w:hint="eastAsia" w:eastAsia="宋体" w:cs="Times New Roman"/>
                <w:color w:val="auto"/>
                <w:kern w:val="0"/>
                <w:sz w:val="24"/>
                <w:szCs w:val="22"/>
                <w:lang w:val="en-US" w:eastAsia="zh-CN" w:bidi="ar-SA"/>
              </w:rPr>
              <w:t>3</w:t>
            </w:r>
            <w:r>
              <w:rPr>
                <w:rFonts w:hint="default" w:ascii="Times New Roman" w:hAnsi="Times New Roman" w:eastAsia="宋体" w:cs="Times New Roman"/>
                <w:color w:val="auto"/>
                <w:kern w:val="0"/>
                <w:sz w:val="24"/>
                <w:szCs w:val="22"/>
                <w:lang w:val="en-US" w:eastAsia="zh-CN" w:bidi="ar-SA"/>
              </w:rPr>
              <w:t>）</w:t>
            </w:r>
            <w:r>
              <w:rPr>
                <w:rFonts w:hint="eastAsia" w:ascii="Times New Roman" w:hAnsi="Times New Roman" w:eastAsia="宋体" w:cs="Times New Roman"/>
                <w:color w:val="auto"/>
                <w:kern w:val="0"/>
                <w:sz w:val="24"/>
                <w:szCs w:val="22"/>
                <w:lang w:val="en-US" w:eastAsia="zh-CN" w:bidi="ar-SA"/>
              </w:rPr>
              <w:t>排放。</w:t>
            </w:r>
          </w:p>
          <w:p w14:paraId="7D6D5B03">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kern w:val="0"/>
                <w:sz w:val="24"/>
                <w:szCs w:val="22"/>
                <w:lang w:val="en-US" w:eastAsia="zh-CN" w:bidi="ar-SA"/>
              </w:rPr>
            </w:pPr>
            <w:r>
              <w:rPr>
                <w:rFonts w:hint="eastAsia" w:eastAsia="宋体" w:cs="Times New Roman"/>
                <w:color w:val="auto"/>
                <w:kern w:val="0"/>
                <w:sz w:val="24"/>
                <w:szCs w:val="22"/>
                <w:lang w:val="en-US" w:eastAsia="zh-CN" w:bidi="ar-SA"/>
              </w:rPr>
              <w:t>①燃烧废气</w:t>
            </w:r>
          </w:p>
          <w:p w14:paraId="0549FCA4">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kern w:val="0"/>
                <w:sz w:val="24"/>
                <w:szCs w:val="22"/>
                <w:lang w:val="en-US" w:eastAsia="zh-CN" w:bidi="ar-SA"/>
              </w:rPr>
            </w:pPr>
            <w:r>
              <w:rPr>
                <w:rFonts w:hint="default" w:ascii="Times New Roman" w:hAnsi="Times New Roman" w:eastAsia="宋体" w:cs="Times New Roman"/>
                <w:color w:val="auto"/>
                <w:kern w:val="0"/>
                <w:sz w:val="24"/>
                <w:szCs w:val="22"/>
                <w:lang w:val="en-US" w:eastAsia="zh-CN" w:bidi="ar-SA"/>
              </w:rPr>
              <w:t>根据建设单位提供资料，烘干炉年使用</w:t>
            </w:r>
            <w:r>
              <w:rPr>
                <w:rFonts w:hint="eastAsia" w:ascii="Times New Roman" w:hAnsi="Times New Roman" w:eastAsia="宋体" w:cs="Times New Roman"/>
                <w:color w:val="auto"/>
                <w:kern w:val="0"/>
                <w:sz w:val="24"/>
                <w:szCs w:val="22"/>
                <w:lang w:val="en-US" w:eastAsia="zh-CN" w:bidi="ar-SA"/>
              </w:rPr>
              <w:t>天然气</w:t>
            </w:r>
            <w:r>
              <w:rPr>
                <w:rFonts w:hint="default" w:ascii="Times New Roman" w:hAnsi="Times New Roman" w:eastAsia="宋体" w:cs="Times New Roman"/>
                <w:color w:val="auto"/>
                <w:kern w:val="0"/>
                <w:sz w:val="24"/>
                <w:szCs w:val="22"/>
                <w:lang w:val="en-US" w:eastAsia="zh-CN" w:bidi="ar-SA"/>
              </w:rPr>
              <w:t>约</w:t>
            </w:r>
            <w:r>
              <w:rPr>
                <w:rFonts w:hint="eastAsia" w:ascii="Times New Roman" w:hAnsi="Times New Roman" w:eastAsia="宋体" w:cs="Times New Roman"/>
                <w:color w:val="auto"/>
                <w:kern w:val="0"/>
                <w:sz w:val="24"/>
                <w:szCs w:val="22"/>
                <w:lang w:val="en-US" w:eastAsia="zh-CN" w:bidi="ar-SA"/>
              </w:rPr>
              <w:t>50万立方米</w:t>
            </w:r>
            <w:r>
              <w:rPr>
                <w:rFonts w:hint="default" w:ascii="Times New Roman" w:hAnsi="Times New Roman" w:eastAsia="宋体" w:cs="Times New Roman"/>
                <w:color w:val="auto"/>
                <w:kern w:val="0"/>
                <w:sz w:val="24"/>
                <w:szCs w:val="22"/>
                <w:lang w:val="en-US" w:eastAsia="zh-CN" w:bidi="ar-SA"/>
              </w:rPr>
              <w:t>。</w:t>
            </w:r>
          </w:p>
          <w:p w14:paraId="05E2B844">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kern w:val="0"/>
                <w:sz w:val="24"/>
                <w:szCs w:val="22"/>
                <w:lang w:val="en-US" w:eastAsia="zh-CN" w:bidi="ar-SA"/>
              </w:rPr>
            </w:pPr>
            <w:r>
              <w:rPr>
                <w:rFonts w:hint="eastAsia" w:eastAsia="宋体" w:cs="Times New Roman"/>
                <w:color w:val="auto"/>
                <w:kern w:val="0"/>
                <w:sz w:val="24"/>
                <w:szCs w:val="22"/>
                <w:lang w:val="en-US" w:eastAsia="zh-CN" w:bidi="ar-SA"/>
              </w:rPr>
              <w:t>参照</w:t>
            </w:r>
            <w:r>
              <w:rPr>
                <w:rFonts w:hint="default" w:ascii="Times New Roman" w:hAnsi="Times New Roman" w:eastAsia="宋体" w:cs="Times New Roman"/>
                <w:color w:val="auto"/>
                <w:kern w:val="0"/>
                <w:sz w:val="24"/>
                <w:szCs w:val="22"/>
                <w:lang w:val="en-US" w:eastAsia="zh-CN" w:bidi="ar-SA"/>
              </w:rPr>
              <w:t>《排污许可证申请与核发技术规范 工业炉窑》（HJ 1121-2020）中</w:t>
            </w:r>
            <w:r>
              <w:rPr>
                <w:rFonts w:hint="eastAsia" w:ascii="Times New Roman" w:hAnsi="Times New Roman" w:eastAsia="宋体" w:cs="Times New Roman"/>
                <w:color w:val="auto"/>
                <w:kern w:val="0"/>
                <w:sz w:val="24"/>
                <w:szCs w:val="22"/>
                <w:lang w:val="en-US" w:eastAsia="zh-CN" w:bidi="ar-SA"/>
              </w:rPr>
              <w:t>“</w:t>
            </w:r>
            <w:r>
              <w:rPr>
                <w:rFonts w:hint="default" w:ascii="Times New Roman" w:hAnsi="Times New Roman" w:eastAsia="宋体" w:cs="Times New Roman"/>
                <w:color w:val="auto"/>
                <w:kern w:val="0"/>
                <w:sz w:val="24"/>
                <w:szCs w:val="22"/>
                <w:lang w:val="en-US" w:eastAsia="zh-CN" w:bidi="ar-SA"/>
              </w:rPr>
              <w:t>表5 重点管理工业炉窑排污单位许可排放污染物项目及许可排放量核算方法表</w:t>
            </w:r>
            <w:r>
              <w:rPr>
                <w:rFonts w:hint="eastAsia" w:ascii="Times New Roman" w:hAnsi="Times New Roman" w:eastAsia="宋体" w:cs="Times New Roman"/>
                <w:color w:val="auto"/>
                <w:kern w:val="0"/>
                <w:sz w:val="24"/>
                <w:szCs w:val="22"/>
                <w:lang w:val="en-US" w:eastAsia="zh-CN" w:bidi="ar-SA"/>
              </w:rPr>
              <w:t>”</w:t>
            </w:r>
            <w:r>
              <w:rPr>
                <w:rFonts w:hint="default" w:ascii="Times New Roman" w:hAnsi="Times New Roman" w:eastAsia="宋体" w:cs="Times New Roman"/>
                <w:color w:val="auto"/>
                <w:kern w:val="0"/>
                <w:sz w:val="24"/>
                <w:szCs w:val="22"/>
                <w:lang w:val="en-US" w:eastAsia="zh-CN" w:bidi="ar-SA"/>
              </w:rPr>
              <w:t>以及</w:t>
            </w:r>
            <w:r>
              <w:rPr>
                <w:rFonts w:hint="eastAsia" w:ascii="Times New Roman" w:hAnsi="Times New Roman" w:eastAsia="宋体" w:cs="Times New Roman"/>
                <w:color w:val="auto"/>
                <w:kern w:val="0"/>
                <w:sz w:val="24"/>
                <w:szCs w:val="22"/>
                <w:lang w:val="en-US" w:eastAsia="zh-CN" w:bidi="ar-SA"/>
              </w:rPr>
              <w:t>“</w:t>
            </w:r>
            <w:r>
              <w:rPr>
                <w:rFonts w:hint="default" w:ascii="Times New Roman" w:hAnsi="Times New Roman" w:eastAsia="宋体" w:cs="Times New Roman"/>
                <w:color w:val="auto"/>
                <w:kern w:val="0"/>
                <w:sz w:val="24"/>
                <w:szCs w:val="22"/>
                <w:lang w:val="en-US" w:eastAsia="zh-CN" w:bidi="ar-SA"/>
              </w:rPr>
              <w:t>表6 加热炉、热处理炉、干燥炉（窑）排放口参考绩效值表</w:t>
            </w:r>
            <w:r>
              <w:rPr>
                <w:rFonts w:hint="eastAsia" w:ascii="Times New Roman" w:hAnsi="Times New Roman" w:eastAsia="宋体" w:cs="Times New Roman"/>
                <w:color w:val="auto"/>
                <w:kern w:val="0"/>
                <w:sz w:val="24"/>
                <w:szCs w:val="22"/>
                <w:lang w:val="en-US" w:eastAsia="zh-CN" w:bidi="ar-SA"/>
              </w:rPr>
              <w:t>”</w:t>
            </w:r>
            <w:r>
              <w:rPr>
                <w:rFonts w:hint="default" w:ascii="Times New Roman" w:hAnsi="Times New Roman" w:eastAsia="宋体" w:cs="Times New Roman"/>
                <w:color w:val="auto"/>
                <w:kern w:val="0"/>
                <w:sz w:val="24"/>
                <w:szCs w:val="22"/>
                <w:lang w:val="en-US" w:eastAsia="zh-CN" w:bidi="ar-SA"/>
              </w:rPr>
              <w:t>，二氧化硫、氮氧化物及烟尘计算系数，</w:t>
            </w:r>
            <w:r>
              <w:rPr>
                <w:rFonts w:hint="eastAsia" w:ascii="Times New Roman" w:hAnsi="Times New Roman" w:eastAsia="宋体" w:cs="Times New Roman"/>
                <w:color w:val="auto"/>
                <w:kern w:val="0"/>
                <w:sz w:val="24"/>
                <w:szCs w:val="22"/>
                <w:lang w:val="en-US" w:eastAsia="zh-CN" w:bidi="ar-SA"/>
              </w:rPr>
              <w:t>本项目天然气</w:t>
            </w:r>
            <w:r>
              <w:rPr>
                <w:rFonts w:hint="default" w:ascii="Times New Roman" w:hAnsi="Times New Roman" w:eastAsia="宋体" w:cs="Times New Roman"/>
                <w:color w:val="auto"/>
                <w:kern w:val="0"/>
                <w:sz w:val="24"/>
                <w:szCs w:val="22"/>
                <w:lang w:val="en-US" w:eastAsia="zh-CN" w:bidi="ar-SA"/>
              </w:rPr>
              <w:t>低位热值约为</w:t>
            </w:r>
            <w:r>
              <w:rPr>
                <w:rFonts w:hint="eastAsia" w:ascii="Times New Roman" w:hAnsi="Times New Roman" w:eastAsia="宋体" w:cs="Times New Roman"/>
                <w:color w:val="auto"/>
                <w:kern w:val="0"/>
                <w:sz w:val="24"/>
                <w:szCs w:val="22"/>
                <w:lang w:val="en-US" w:eastAsia="zh-CN" w:bidi="ar-SA"/>
              </w:rPr>
              <w:t>38.33</w:t>
            </w:r>
            <w:r>
              <w:rPr>
                <w:rFonts w:hint="default" w:ascii="Times New Roman" w:hAnsi="Times New Roman" w:eastAsia="宋体" w:cs="Times New Roman"/>
                <w:color w:val="auto"/>
                <w:kern w:val="0"/>
                <w:sz w:val="24"/>
                <w:szCs w:val="22"/>
                <w:lang w:val="en-US" w:eastAsia="zh-CN" w:bidi="ar-SA"/>
              </w:rPr>
              <w:t>MJ/kg，因此</w:t>
            </w:r>
            <w:r>
              <w:rPr>
                <w:rFonts w:hint="eastAsia" w:ascii="Times New Roman" w:hAnsi="Times New Roman" w:eastAsia="宋体" w:cs="Times New Roman"/>
                <w:color w:val="auto"/>
                <w:kern w:val="0"/>
                <w:sz w:val="24"/>
                <w:szCs w:val="22"/>
                <w:lang w:val="en-US" w:eastAsia="zh-CN" w:bidi="ar-SA"/>
              </w:rPr>
              <w:t>使用插值法进行计算</w:t>
            </w:r>
            <w:r>
              <w:rPr>
                <w:rFonts w:hint="default" w:ascii="Times New Roman" w:hAnsi="Times New Roman" w:eastAsia="宋体" w:cs="Times New Roman"/>
                <w:color w:val="auto"/>
                <w:kern w:val="0"/>
                <w:sz w:val="24"/>
                <w:szCs w:val="22"/>
                <w:lang w:val="en-US" w:eastAsia="zh-CN" w:bidi="ar-SA"/>
              </w:rPr>
              <w:t>。</w:t>
            </w:r>
          </w:p>
          <w:p w14:paraId="7AAC2F76">
            <w:pPr>
              <w:numPr>
                <w:ilvl w:val="0"/>
                <w:numId w:val="8"/>
              </w:numPr>
              <w:tabs>
                <w:tab w:val="left" w:pos="0"/>
              </w:tabs>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烘干炉参考绩效值表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57" w:type="dxa"/>
                <w:bottom w:w="0" w:type="dxa"/>
                <w:right w:w="57" w:type="dxa"/>
              </w:tblCellMar>
            </w:tblPr>
            <w:tblGrid>
              <w:gridCol w:w="1344"/>
              <w:gridCol w:w="1036"/>
              <w:gridCol w:w="1036"/>
              <w:gridCol w:w="1177"/>
              <w:gridCol w:w="1177"/>
              <w:gridCol w:w="1177"/>
              <w:gridCol w:w="1180"/>
            </w:tblGrid>
            <w:tr w14:paraId="47B0720A">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57" w:type="dxa"/>
                  <w:bottom w:w="0" w:type="dxa"/>
                  <w:right w:w="57" w:type="dxa"/>
                </w:tblCellMar>
              </w:tblPrEx>
              <w:trPr>
                <w:trHeight w:val="314" w:hRule="atLeast"/>
                <w:jc w:val="center"/>
              </w:trPr>
              <w:tc>
                <w:tcPr>
                  <w:tcW w:w="826" w:type="pct"/>
                  <w:vMerge w:val="restart"/>
                  <w:tcBorders>
                    <w:tl2br w:val="nil"/>
                    <w:tr2bl w:val="nil"/>
                  </w:tcBorders>
                  <w:shd w:val="clear" w:color="auto" w:fill="auto"/>
                  <w:noWrap w:val="0"/>
                  <w:vAlign w:val="center"/>
                </w:tcPr>
                <w:p w14:paraId="7BFFB42A">
                  <w:pPr>
                    <w:pStyle w:val="8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燃料</w:t>
                  </w:r>
                  <w:r>
                    <w:rPr>
                      <w:rFonts w:ascii="Times New Roman" w:hAnsi="Times New Roman" w:eastAsia="宋体" w:cs="Times New Roman"/>
                      <w:color w:val="auto"/>
                      <w:szCs w:val="21"/>
                      <w:highlight w:val="none"/>
                    </w:rPr>
                    <w:t>种类</w:t>
                  </w:r>
                </w:p>
              </w:tc>
              <w:tc>
                <w:tcPr>
                  <w:tcW w:w="637" w:type="pct"/>
                  <w:vMerge w:val="restart"/>
                  <w:tcBorders>
                    <w:tl2br w:val="nil"/>
                    <w:tr2bl w:val="nil"/>
                  </w:tcBorders>
                  <w:shd w:val="clear" w:color="auto" w:fill="auto"/>
                  <w:noWrap w:val="0"/>
                  <w:vAlign w:val="center"/>
                </w:tcPr>
                <w:p w14:paraId="3C186593">
                  <w:pPr>
                    <w:pStyle w:val="8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类型</w:t>
                  </w:r>
                </w:p>
              </w:tc>
              <w:tc>
                <w:tcPr>
                  <w:tcW w:w="637" w:type="pct"/>
                  <w:vMerge w:val="restart"/>
                  <w:tcBorders>
                    <w:tl2br w:val="nil"/>
                    <w:tr2bl w:val="nil"/>
                  </w:tcBorders>
                  <w:shd w:val="clear" w:color="auto" w:fill="auto"/>
                  <w:noWrap w:val="0"/>
                  <w:vAlign w:val="center"/>
                </w:tcPr>
                <w:p w14:paraId="5FF3C645">
                  <w:pPr>
                    <w:pStyle w:val="8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低位热值</w:t>
                  </w:r>
                </w:p>
                <w:p w14:paraId="211A5552">
                  <w:pPr>
                    <w:pStyle w:val="8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（MJ/m</w:t>
                  </w:r>
                  <w:r>
                    <w:rPr>
                      <w:rFonts w:hint="eastAsia" w:ascii="Times New Roman" w:hAnsi="Times New Roman" w:eastAsia="宋体" w:cs="Times New Roman"/>
                      <w:color w:val="auto"/>
                      <w:kern w:val="2"/>
                      <w:sz w:val="21"/>
                      <w:szCs w:val="21"/>
                      <w:highlight w:val="none"/>
                      <w:vertAlign w:val="superscript"/>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w:t>
                  </w:r>
                </w:p>
              </w:tc>
              <w:tc>
                <w:tcPr>
                  <w:tcW w:w="2898" w:type="pct"/>
                  <w:gridSpan w:val="4"/>
                  <w:tcBorders>
                    <w:bottom w:val="single" w:color="000000" w:sz="4" w:space="0"/>
                    <w:tl2br w:val="nil"/>
                    <w:tr2bl w:val="nil"/>
                  </w:tcBorders>
                  <w:shd w:val="clear" w:color="auto" w:fill="auto"/>
                  <w:noWrap w:val="0"/>
                  <w:vAlign w:val="center"/>
                </w:tcPr>
                <w:p w14:paraId="481270AE">
                  <w:pPr>
                    <w:pStyle w:val="82"/>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绩效值</w:t>
                  </w:r>
                </w:p>
              </w:tc>
            </w:tr>
            <w:tr w14:paraId="20AD387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57" w:type="dxa"/>
                  <w:bottom w:w="0" w:type="dxa"/>
                  <w:right w:w="57" w:type="dxa"/>
                </w:tblCellMar>
              </w:tblPrEx>
              <w:trPr>
                <w:trHeight w:val="260" w:hRule="atLeast"/>
                <w:jc w:val="center"/>
              </w:trPr>
              <w:tc>
                <w:tcPr>
                  <w:tcW w:w="826" w:type="pct"/>
                  <w:vMerge w:val="continue"/>
                  <w:tcBorders>
                    <w:tl2br w:val="nil"/>
                    <w:tr2bl w:val="nil"/>
                  </w:tcBorders>
                  <w:shd w:val="clear" w:color="auto" w:fill="auto"/>
                  <w:noWrap w:val="0"/>
                  <w:vAlign w:val="center"/>
                </w:tcPr>
                <w:p w14:paraId="6B10C263">
                  <w:pPr>
                    <w:pStyle w:val="82"/>
                    <w:jc w:val="center"/>
                    <w:rPr>
                      <w:rFonts w:hint="eastAsia" w:ascii="Times New Roman" w:hAnsi="Times New Roman" w:eastAsia="宋体" w:cs="Times New Roman"/>
                      <w:color w:val="auto"/>
                      <w:szCs w:val="21"/>
                      <w:highlight w:val="none"/>
                      <w:lang w:val="en-US" w:eastAsia="zh-CN"/>
                    </w:rPr>
                  </w:pPr>
                </w:p>
              </w:tc>
              <w:tc>
                <w:tcPr>
                  <w:tcW w:w="637" w:type="pct"/>
                  <w:vMerge w:val="continue"/>
                  <w:tcBorders>
                    <w:tl2br w:val="nil"/>
                    <w:tr2bl w:val="nil"/>
                  </w:tcBorders>
                  <w:shd w:val="clear" w:color="auto" w:fill="auto"/>
                  <w:noWrap w:val="0"/>
                  <w:vAlign w:val="center"/>
                </w:tcPr>
                <w:p w14:paraId="5156C957">
                  <w:pPr>
                    <w:pStyle w:val="82"/>
                    <w:jc w:val="center"/>
                    <w:rPr>
                      <w:rFonts w:hint="eastAsia" w:ascii="Times New Roman" w:hAnsi="Times New Roman" w:eastAsia="宋体" w:cs="Times New Roman"/>
                      <w:color w:val="auto"/>
                      <w:szCs w:val="21"/>
                      <w:highlight w:val="none"/>
                      <w:lang w:val="en-US" w:eastAsia="zh-CN"/>
                    </w:rPr>
                  </w:pPr>
                </w:p>
              </w:tc>
              <w:tc>
                <w:tcPr>
                  <w:tcW w:w="637" w:type="pct"/>
                  <w:vMerge w:val="continue"/>
                  <w:tcBorders>
                    <w:tl2br w:val="nil"/>
                    <w:tr2bl w:val="nil"/>
                  </w:tcBorders>
                  <w:shd w:val="clear" w:color="auto" w:fill="auto"/>
                  <w:noWrap w:val="0"/>
                  <w:vAlign w:val="center"/>
                </w:tcPr>
                <w:p w14:paraId="36CB5AD0">
                  <w:pPr>
                    <w:pStyle w:val="82"/>
                    <w:jc w:val="center"/>
                    <w:rPr>
                      <w:rFonts w:hint="eastAsia" w:ascii="Times New Roman" w:hAnsi="Times New Roman" w:eastAsia="宋体" w:cs="Times New Roman"/>
                      <w:color w:val="auto"/>
                      <w:kern w:val="2"/>
                      <w:sz w:val="21"/>
                      <w:szCs w:val="21"/>
                      <w:highlight w:val="none"/>
                      <w:lang w:val="en-US" w:eastAsia="zh-CN" w:bidi="ar-SA"/>
                    </w:rPr>
                  </w:pPr>
                </w:p>
              </w:tc>
              <w:tc>
                <w:tcPr>
                  <w:tcW w:w="724" w:type="pct"/>
                  <w:tcBorders>
                    <w:top w:val="single" w:color="000000" w:sz="4" w:space="0"/>
                    <w:right w:val="single" w:color="000000" w:sz="4" w:space="0"/>
                    <w:tl2br w:val="nil"/>
                    <w:tr2bl w:val="nil"/>
                  </w:tcBorders>
                  <w:shd w:val="clear" w:color="auto" w:fill="auto"/>
                  <w:noWrap w:val="0"/>
                  <w:vAlign w:val="center"/>
                </w:tcPr>
                <w:p w14:paraId="3282A335">
                  <w:pPr>
                    <w:pStyle w:val="82"/>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单位</w:t>
                  </w:r>
                </w:p>
              </w:tc>
              <w:tc>
                <w:tcPr>
                  <w:tcW w:w="724" w:type="pct"/>
                  <w:tcBorders>
                    <w:top w:val="single" w:color="000000" w:sz="4" w:space="0"/>
                    <w:left w:val="single" w:color="000000" w:sz="4" w:space="0"/>
                    <w:tl2br w:val="nil"/>
                    <w:tr2bl w:val="nil"/>
                  </w:tcBorders>
                  <w:shd w:val="clear" w:color="auto" w:fill="auto"/>
                  <w:noWrap w:val="0"/>
                  <w:vAlign w:val="center"/>
                </w:tcPr>
                <w:p w14:paraId="5CFE45FF">
                  <w:pPr>
                    <w:pStyle w:val="82"/>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颗粒物</w:t>
                  </w:r>
                </w:p>
              </w:tc>
              <w:tc>
                <w:tcPr>
                  <w:tcW w:w="724" w:type="pct"/>
                  <w:tcBorders>
                    <w:top w:val="single" w:color="000000" w:sz="4" w:space="0"/>
                    <w:right w:val="single" w:color="000000" w:sz="4" w:space="0"/>
                    <w:tl2br w:val="nil"/>
                    <w:tr2bl w:val="nil"/>
                  </w:tcBorders>
                  <w:shd w:val="clear" w:color="auto" w:fill="auto"/>
                  <w:noWrap w:val="0"/>
                  <w:vAlign w:val="center"/>
                </w:tcPr>
                <w:p w14:paraId="11E75364">
                  <w:pPr>
                    <w:pStyle w:val="82"/>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二氧化硫</w:t>
                  </w:r>
                </w:p>
              </w:tc>
              <w:tc>
                <w:tcPr>
                  <w:tcW w:w="725" w:type="pct"/>
                  <w:tcBorders>
                    <w:top w:val="single" w:color="000000" w:sz="4" w:space="0"/>
                    <w:left w:val="single" w:color="000000" w:sz="4" w:space="0"/>
                    <w:tl2br w:val="nil"/>
                    <w:tr2bl w:val="nil"/>
                  </w:tcBorders>
                  <w:shd w:val="clear" w:color="auto" w:fill="auto"/>
                  <w:noWrap w:val="0"/>
                  <w:vAlign w:val="center"/>
                </w:tcPr>
                <w:p w14:paraId="6D70DD01">
                  <w:pPr>
                    <w:pStyle w:val="82"/>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氮氧化物</w:t>
                  </w:r>
                </w:p>
              </w:tc>
            </w:tr>
            <w:tr w14:paraId="6ADE528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57" w:type="dxa"/>
                  <w:bottom w:w="0" w:type="dxa"/>
                  <w:right w:w="57" w:type="dxa"/>
                </w:tblCellMar>
              </w:tblPrEx>
              <w:trPr>
                <w:trHeight w:val="340" w:hRule="atLeast"/>
                <w:jc w:val="center"/>
              </w:trPr>
              <w:tc>
                <w:tcPr>
                  <w:tcW w:w="826" w:type="pct"/>
                  <w:tcBorders>
                    <w:tl2br w:val="nil"/>
                    <w:tr2bl w:val="nil"/>
                  </w:tcBorders>
                  <w:noWrap w:val="0"/>
                  <w:vAlign w:val="center"/>
                </w:tcPr>
                <w:p w14:paraId="2A40FCD1">
                  <w:pPr>
                    <w:pStyle w:val="82"/>
                    <w:jc w:val="center"/>
                    <w:rPr>
                      <w:rFonts w:hint="eastAsia"/>
                      <w:color w:val="auto"/>
                      <w:szCs w:val="21"/>
                      <w:highlight w:val="none"/>
                      <w:lang w:val="en-US" w:eastAsia="zh-CN"/>
                    </w:rPr>
                  </w:pPr>
                  <w:r>
                    <w:rPr>
                      <w:rFonts w:hint="eastAsia"/>
                      <w:color w:val="auto"/>
                      <w:szCs w:val="21"/>
                      <w:highlight w:val="none"/>
                      <w:lang w:val="en-US" w:eastAsia="zh-CN"/>
                    </w:rPr>
                    <w:t>天然气</w:t>
                  </w:r>
                </w:p>
              </w:tc>
              <w:tc>
                <w:tcPr>
                  <w:tcW w:w="637" w:type="pct"/>
                  <w:tcBorders>
                    <w:tl2br w:val="nil"/>
                    <w:tr2bl w:val="nil"/>
                  </w:tcBorders>
                  <w:noWrap w:val="0"/>
                  <w:vAlign w:val="center"/>
                </w:tcPr>
                <w:p w14:paraId="403FD57F">
                  <w:pPr>
                    <w:pStyle w:val="82"/>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气体</w:t>
                  </w:r>
                  <w:r>
                    <w:rPr>
                      <w:rFonts w:hint="default" w:ascii="Times New Roman" w:hAnsi="Times New Roman" w:eastAsia="宋体" w:cs="Times New Roman"/>
                      <w:color w:val="auto"/>
                      <w:szCs w:val="21"/>
                      <w:highlight w:val="none"/>
                      <w:lang w:val="en-US" w:eastAsia="zh-CN"/>
                    </w:rPr>
                    <w:t>燃料</w:t>
                  </w:r>
                </w:p>
              </w:tc>
              <w:tc>
                <w:tcPr>
                  <w:tcW w:w="637" w:type="pct"/>
                  <w:tcBorders>
                    <w:tl2br w:val="nil"/>
                    <w:tr2bl w:val="nil"/>
                  </w:tcBorders>
                  <w:noWrap w:val="0"/>
                  <w:vAlign w:val="center"/>
                </w:tcPr>
                <w:p w14:paraId="52C3CE67">
                  <w:pPr>
                    <w:pStyle w:val="82"/>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38.33</w:t>
                  </w:r>
                </w:p>
              </w:tc>
              <w:tc>
                <w:tcPr>
                  <w:tcW w:w="724" w:type="pct"/>
                  <w:tcBorders>
                    <w:right w:val="single" w:color="000000" w:sz="4" w:space="0"/>
                    <w:tl2br w:val="nil"/>
                    <w:tr2bl w:val="nil"/>
                  </w:tcBorders>
                  <w:noWrap w:val="0"/>
                  <w:vAlign w:val="center"/>
                </w:tcPr>
                <w:p w14:paraId="0EBAFCAD">
                  <w:pPr>
                    <w:pStyle w:val="82"/>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g/</w:t>
                  </w:r>
                  <w:r>
                    <w:rPr>
                      <w:rFonts w:hint="eastAsia" w:ascii="Times New Roman" w:hAnsi="Times New Roman" w:eastAsia="宋体" w:cs="Times New Roman"/>
                      <w:color w:val="auto"/>
                      <w:szCs w:val="21"/>
                      <w:highlight w:val="none"/>
                      <w:lang w:val="en-US" w:eastAsia="zh-CN"/>
                    </w:rPr>
                    <w:t>m</w:t>
                  </w:r>
                  <w:r>
                    <w:rPr>
                      <w:rFonts w:hint="eastAsia" w:ascii="Times New Roman" w:hAnsi="Times New Roman" w:eastAsia="宋体" w:cs="Times New Roman"/>
                      <w:color w:val="auto"/>
                      <w:szCs w:val="21"/>
                      <w:highlight w:val="none"/>
                      <w:vertAlign w:val="superscript"/>
                      <w:lang w:val="en-US" w:eastAsia="zh-CN"/>
                    </w:rPr>
                    <w:t>3</w:t>
                  </w:r>
                  <w:r>
                    <w:rPr>
                      <w:rFonts w:hint="default" w:ascii="Times New Roman" w:hAnsi="Times New Roman" w:eastAsia="宋体" w:cs="Times New Roman"/>
                      <w:color w:val="auto"/>
                      <w:szCs w:val="21"/>
                      <w:highlight w:val="none"/>
                      <w:lang w:val="en-US" w:eastAsia="zh-CN"/>
                    </w:rPr>
                    <w:t>燃料</w:t>
                  </w:r>
                </w:p>
              </w:tc>
              <w:tc>
                <w:tcPr>
                  <w:tcW w:w="724" w:type="pct"/>
                  <w:tcBorders>
                    <w:left w:val="single" w:color="000000" w:sz="4" w:space="0"/>
                    <w:tl2br w:val="nil"/>
                    <w:tr2bl w:val="nil"/>
                  </w:tcBorders>
                  <w:noWrap w:val="0"/>
                  <w:vAlign w:val="center"/>
                </w:tcPr>
                <w:p w14:paraId="0EA15775">
                  <w:pPr>
                    <w:pStyle w:val="82"/>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0.182</w:t>
                  </w:r>
                </w:p>
              </w:tc>
              <w:tc>
                <w:tcPr>
                  <w:tcW w:w="724" w:type="pct"/>
                  <w:tcBorders>
                    <w:right w:val="single" w:color="000000" w:sz="4" w:space="0"/>
                    <w:tl2br w:val="nil"/>
                    <w:tr2bl w:val="nil"/>
                  </w:tcBorders>
                  <w:noWrap w:val="0"/>
                  <w:vAlign w:val="center"/>
                </w:tcPr>
                <w:p w14:paraId="1A9DEA91">
                  <w:pPr>
                    <w:pStyle w:val="82"/>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0.182</w:t>
                  </w:r>
                </w:p>
              </w:tc>
              <w:tc>
                <w:tcPr>
                  <w:tcW w:w="725" w:type="pct"/>
                  <w:tcBorders>
                    <w:left w:val="single" w:color="000000" w:sz="4" w:space="0"/>
                    <w:tl2br w:val="nil"/>
                    <w:tr2bl w:val="nil"/>
                  </w:tcBorders>
                  <w:noWrap w:val="0"/>
                  <w:vAlign w:val="center"/>
                </w:tcPr>
                <w:p w14:paraId="13429154">
                  <w:pPr>
                    <w:pStyle w:val="82"/>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2.74</w:t>
                  </w:r>
                </w:p>
              </w:tc>
            </w:tr>
          </w:tbl>
          <w:p w14:paraId="6C977629">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color w:val="auto"/>
                <w:kern w:val="0"/>
                <w:sz w:val="24"/>
                <w:szCs w:val="22"/>
                <w:lang w:val="en-US" w:eastAsia="zh-CN" w:bidi="ar-SA"/>
              </w:rPr>
            </w:pPr>
          </w:p>
          <w:p w14:paraId="329F879F">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color w:val="auto"/>
                <w:kern w:val="0"/>
                <w:sz w:val="24"/>
                <w:szCs w:val="22"/>
                <w:lang w:val="en-US" w:eastAsia="zh-CN" w:bidi="ar-SA"/>
              </w:rPr>
            </w:pPr>
            <w:r>
              <w:rPr>
                <w:rFonts w:hint="eastAsia" w:ascii="Times New Roman" w:hAnsi="Times New Roman" w:eastAsia="宋体" w:cs="Times New Roman"/>
                <w:color w:val="auto"/>
                <w:kern w:val="0"/>
                <w:sz w:val="24"/>
                <w:szCs w:val="22"/>
                <w:lang w:val="en-US" w:eastAsia="zh-CN" w:bidi="ar-SA"/>
              </w:rPr>
              <w:t>经计算，</w:t>
            </w:r>
            <w:r>
              <w:rPr>
                <w:rFonts w:hint="eastAsia" w:eastAsia="宋体" w:cs="Times New Roman"/>
                <w:color w:val="auto"/>
                <w:kern w:val="0"/>
                <w:sz w:val="24"/>
                <w:szCs w:val="22"/>
                <w:lang w:val="en-US" w:eastAsia="zh-CN" w:bidi="ar-SA"/>
              </w:rPr>
              <w:t>燃烧废气</w:t>
            </w:r>
            <w:r>
              <w:rPr>
                <w:rFonts w:hint="eastAsia" w:ascii="Times New Roman" w:hAnsi="Times New Roman" w:eastAsia="宋体" w:cs="Times New Roman"/>
                <w:color w:val="auto"/>
                <w:kern w:val="0"/>
                <w:sz w:val="24"/>
                <w:szCs w:val="22"/>
                <w:lang w:val="en-US" w:eastAsia="zh-CN" w:bidi="ar-SA"/>
              </w:rPr>
              <w:t>中颗粒物、二氧化硫、氮氧化物产生量分别为：0.091t/a、0.091t/a、1.37t/a。</w:t>
            </w:r>
          </w:p>
          <w:p w14:paraId="1ACBF4DF">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kern w:val="0"/>
                <w:sz w:val="24"/>
                <w:szCs w:val="22"/>
                <w:lang w:val="en-US" w:eastAsia="zh-CN" w:bidi="ar-SA"/>
              </w:rPr>
            </w:pPr>
            <w:r>
              <w:rPr>
                <w:rFonts w:hint="eastAsia" w:ascii="Times New Roman" w:hAnsi="Times New Roman" w:eastAsia="宋体" w:cs="Times New Roman"/>
                <w:color w:val="auto"/>
                <w:kern w:val="0"/>
                <w:sz w:val="24"/>
                <w:szCs w:val="22"/>
                <w:lang w:val="en-US" w:eastAsia="zh-CN" w:bidi="ar-SA"/>
              </w:rPr>
              <w:t>项目天然气燃烧采用低氮燃烧器，可有效降低氮氧化物浓度，控制效率取50%。</w:t>
            </w:r>
            <w:r>
              <w:rPr>
                <w:rFonts w:hint="eastAsia" w:eastAsia="宋体" w:cs="Times New Roman"/>
                <w:color w:val="auto"/>
                <w:kern w:val="0"/>
                <w:sz w:val="24"/>
                <w:szCs w:val="22"/>
                <w:lang w:val="en-US" w:eastAsia="zh-CN" w:bidi="ar-SA"/>
              </w:rPr>
              <w:t>天然气经低氮燃烧后，燃烧废气经DA002排气筒（15m）高空排放。</w:t>
            </w:r>
          </w:p>
          <w:p w14:paraId="2B1536C6">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kern w:val="0"/>
                <w:sz w:val="24"/>
                <w:szCs w:val="22"/>
                <w:lang w:val="en-US" w:eastAsia="zh-CN" w:bidi="ar-SA"/>
              </w:rPr>
            </w:pPr>
            <w:r>
              <w:rPr>
                <w:rFonts w:hint="eastAsia" w:ascii="Times New Roman" w:hAnsi="Times New Roman" w:eastAsia="宋体" w:cs="Times New Roman"/>
                <w:color w:val="auto"/>
                <w:kern w:val="0"/>
                <w:sz w:val="24"/>
                <w:szCs w:val="22"/>
                <w:lang w:val="en-US" w:eastAsia="zh-CN" w:bidi="ar-SA"/>
              </w:rPr>
              <w:t>综上本项目</w:t>
            </w:r>
            <w:r>
              <w:rPr>
                <w:rFonts w:hint="eastAsia" w:eastAsia="宋体" w:cs="Times New Roman"/>
                <w:color w:val="auto"/>
                <w:kern w:val="0"/>
                <w:sz w:val="24"/>
                <w:szCs w:val="22"/>
                <w:lang w:val="en-US" w:eastAsia="zh-CN" w:bidi="ar-SA"/>
              </w:rPr>
              <w:t>燃烧废气</w:t>
            </w:r>
            <w:r>
              <w:rPr>
                <w:rFonts w:hint="eastAsia" w:ascii="Times New Roman" w:hAnsi="Times New Roman" w:eastAsia="宋体" w:cs="Times New Roman"/>
                <w:color w:val="auto"/>
                <w:kern w:val="0"/>
                <w:sz w:val="24"/>
                <w:szCs w:val="22"/>
                <w:lang w:val="en-US" w:eastAsia="zh-CN" w:bidi="ar-SA"/>
              </w:rPr>
              <w:t>中颗粒物、二氧化硫、氮氧化物</w:t>
            </w:r>
            <w:r>
              <w:rPr>
                <w:rFonts w:hint="eastAsia" w:eastAsia="宋体" w:cs="Times New Roman"/>
                <w:color w:val="auto"/>
                <w:kern w:val="0"/>
                <w:sz w:val="24"/>
                <w:szCs w:val="22"/>
                <w:lang w:val="en-US" w:eastAsia="zh-CN" w:bidi="ar-SA"/>
              </w:rPr>
              <w:t>排放</w:t>
            </w:r>
            <w:r>
              <w:rPr>
                <w:rFonts w:hint="eastAsia" w:ascii="Times New Roman" w:hAnsi="Times New Roman" w:eastAsia="宋体" w:cs="Times New Roman"/>
                <w:color w:val="auto"/>
                <w:kern w:val="0"/>
                <w:sz w:val="24"/>
                <w:szCs w:val="22"/>
                <w:lang w:val="en-US" w:eastAsia="zh-CN" w:bidi="ar-SA"/>
              </w:rPr>
              <w:t>量分别为：0.091t/a、0.091t/a、0.685t/a。</w:t>
            </w:r>
            <w:r>
              <w:rPr>
                <w:rFonts w:hint="eastAsia" w:eastAsia="宋体" w:cs="Times New Roman"/>
                <w:color w:val="auto"/>
                <w:kern w:val="0"/>
                <w:sz w:val="24"/>
                <w:szCs w:val="22"/>
                <w:lang w:val="en-US" w:eastAsia="zh-CN" w:bidi="ar-SA"/>
              </w:rPr>
              <w:t>根据建设单位提供材料，</w:t>
            </w:r>
            <w:r>
              <w:rPr>
                <w:rFonts w:hint="eastAsia" w:ascii="Times New Roman" w:hAnsi="Times New Roman" w:eastAsia="宋体" w:cs="Times New Roman"/>
                <w:color w:val="auto"/>
                <w:kern w:val="0"/>
                <w:sz w:val="24"/>
                <w:szCs w:val="22"/>
                <w:lang w:val="en-US" w:eastAsia="zh-CN" w:bidi="ar-SA"/>
              </w:rPr>
              <w:t>风机额定风量为5000m</w:t>
            </w:r>
            <w:r>
              <w:rPr>
                <w:rFonts w:hint="eastAsia" w:ascii="Times New Roman" w:hAnsi="Times New Roman" w:eastAsia="宋体" w:cs="Times New Roman"/>
                <w:color w:val="auto"/>
                <w:kern w:val="0"/>
                <w:sz w:val="24"/>
                <w:szCs w:val="22"/>
                <w:vertAlign w:val="superscript"/>
                <w:lang w:val="en-US" w:eastAsia="zh-CN" w:bidi="ar-SA"/>
              </w:rPr>
              <w:t>3</w:t>
            </w:r>
            <w:r>
              <w:rPr>
                <w:rFonts w:hint="eastAsia" w:ascii="Times New Roman" w:hAnsi="Times New Roman" w:eastAsia="宋体" w:cs="Times New Roman"/>
                <w:color w:val="auto"/>
                <w:kern w:val="0"/>
                <w:sz w:val="24"/>
                <w:szCs w:val="22"/>
                <w:lang w:val="en-US" w:eastAsia="zh-CN" w:bidi="ar-SA"/>
              </w:rPr>
              <w:t>/h。</w:t>
            </w:r>
          </w:p>
          <w:p w14:paraId="58C7BB99">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kern w:val="0"/>
                <w:sz w:val="24"/>
                <w:szCs w:val="22"/>
                <w:lang w:val="en-US" w:eastAsia="zh-CN" w:bidi="ar-SA"/>
              </w:rPr>
            </w:pPr>
            <w:r>
              <w:rPr>
                <w:rFonts w:hint="eastAsia" w:ascii="Times New Roman" w:hAnsi="Times New Roman" w:eastAsia="宋体" w:cs="Times New Roman"/>
                <w:color w:val="auto"/>
                <w:kern w:val="0"/>
                <w:sz w:val="24"/>
                <w:szCs w:val="22"/>
                <w:lang w:val="en-US" w:eastAsia="zh-CN" w:bidi="ar-SA"/>
              </w:rPr>
              <w:t>②烘干废气</w:t>
            </w:r>
          </w:p>
          <w:p w14:paraId="3732A304">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kern w:val="0"/>
                <w:sz w:val="24"/>
                <w:szCs w:val="22"/>
                <w:lang w:val="en-US" w:eastAsia="zh-CN" w:bidi="ar-SA"/>
              </w:rPr>
            </w:pPr>
            <w:r>
              <w:rPr>
                <w:rFonts w:hint="eastAsia" w:ascii="Times New Roman" w:hAnsi="Times New Roman" w:eastAsia="宋体" w:cs="Times New Roman"/>
                <w:color w:val="auto"/>
                <w:kern w:val="0"/>
                <w:sz w:val="24"/>
                <w:szCs w:val="22"/>
                <w:lang w:val="en-US" w:eastAsia="zh-CN" w:bidi="ar-SA"/>
              </w:rPr>
              <w:t>烘干炉由于炉温较低，干燥过程中物料仅水分蒸发，未发生炭化，不产生多余的SO</w:t>
            </w:r>
            <w:r>
              <w:rPr>
                <w:rFonts w:hint="eastAsia" w:ascii="Times New Roman" w:hAnsi="Times New Roman" w:eastAsia="宋体" w:cs="Times New Roman"/>
                <w:color w:val="auto"/>
                <w:kern w:val="0"/>
                <w:sz w:val="24"/>
                <w:szCs w:val="22"/>
                <w:vertAlign w:val="subscript"/>
                <w:lang w:val="en-US" w:eastAsia="zh-CN" w:bidi="ar-SA"/>
              </w:rPr>
              <w:t>2</w:t>
            </w:r>
            <w:r>
              <w:rPr>
                <w:rFonts w:hint="eastAsia" w:ascii="Times New Roman" w:hAnsi="Times New Roman" w:eastAsia="宋体" w:cs="Times New Roman"/>
                <w:color w:val="auto"/>
                <w:kern w:val="0"/>
                <w:sz w:val="24"/>
                <w:szCs w:val="22"/>
                <w:lang w:val="en-US" w:eastAsia="zh-CN" w:bidi="ar-SA"/>
              </w:rPr>
              <w:t>、NO</w:t>
            </w:r>
            <w:r>
              <w:rPr>
                <w:rFonts w:hint="eastAsia" w:ascii="Times New Roman" w:hAnsi="Times New Roman" w:eastAsia="宋体" w:cs="Times New Roman"/>
                <w:color w:val="auto"/>
                <w:kern w:val="0"/>
                <w:sz w:val="24"/>
                <w:szCs w:val="22"/>
                <w:vertAlign w:val="subscript"/>
                <w:lang w:val="en-US" w:eastAsia="zh-CN" w:bidi="ar-SA"/>
              </w:rPr>
              <w:t>X</w:t>
            </w:r>
            <w:r>
              <w:rPr>
                <w:rFonts w:hint="eastAsia" w:ascii="Times New Roman" w:hAnsi="Times New Roman" w:eastAsia="宋体" w:cs="Times New Roman"/>
                <w:color w:val="auto"/>
                <w:kern w:val="0"/>
                <w:sz w:val="24"/>
                <w:szCs w:val="22"/>
                <w:lang w:val="en-US" w:eastAsia="zh-CN" w:bidi="ar-SA"/>
              </w:rPr>
              <w:t>，因此烘干废气污染物主要为颗粒物</w:t>
            </w:r>
            <w:r>
              <w:rPr>
                <w:rFonts w:hint="eastAsia" w:eastAsia="宋体" w:cs="Times New Roman"/>
                <w:color w:val="auto"/>
                <w:kern w:val="0"/>
                <w:sz w:val="24"/>
                <w:szCs w:val="22"/>
                <w:lang w:val="en-US" w:eastAsia="zh-CN" w:bidi="ar-SA"/>
              </w:rPr>
              <w:t>。由于本行业无相关污染物产生系数，且项目原材料炭渣是成型生物质经生物质炭化装置高温缺氧炭化而产生的固体炭渣，故</w:t>
            </w:r>
            <w:r>
              <w:rPr>
                <w:rFonts w:hint="eastAsia" w:ascii="Times New Roman" w:hAnsi="Times New Roman" w:eastAsia="宋体" w:cs="Times New Roman"/>
                <w:color w:val="auto"/>
                <w:kern w:val="0"/>
                <w:sz w:val="24"/>
                <w:szCs w:val="22"/>
                <w:lang w:val="en-US" w:eastAsia="zh-CN" w:bidi="ar-SA"/>
              </w:rPr>
              <w:t>参照《排放源统计调查产排污核算方法和系数手册》中《2542生物质致密成型燃料加工行业系数表》中烘干工艺产生的颗粒物产生系数为4.01×10</w:t>
            </w:r>
            <w:r>
              <w:rPr>
                <w:rFonts w:hint="eastAsia" w:ascii="Times New Roman" w:hAnsi="Times New Roman" w:eastAsia="宋体" w:cs="Times New Roman"/>
                <w:color w:val="auto"/>
                <w:kern w:val="0"/>
                <w:sz w:val="24"/>
                <w:szCs w:val="22"/>
                <w:vertAlign w:val="superscript"/>
                <w:lang w:val="en-US" w:eastAsia="zh-CN" w:bidi="ar-SA"/>
              </w:rPr>
              <w:t>-3</w:t>
            </w:r>
            <w:r>
              <w:rPr>
                <w:rFonts w:hint="eastAsia" w:ascii="Times New Roman" w:hAnsi="Times New Roman" w:eastAsia="宋体" w:cs="Times New Roman"/>
                <w:color w:val="auto"/>
                <w:kern w:val="0"/>
                <w:sz w:val="24"/>
                <w:szCs w:val="22"/>
                <w:lang w:val="en-US" w:eastAsia="zh-CN" w:bidi="ar-SA"/>
              </w:rPr>
              <w:t>t/t产品，烘干炉设备全密闭收集</w:t>
            </w:r>
            <w:r>
              <w:rPr>
                <w:rFonts w:hint="eastAsia" w:eastAsia="宋体" w:cs="Times New Roman"/>
                <w:color w:val="auto"/>
                <w:kern w:val="0"/>
                <w:sz w:val="24"/>
                <w:szCs w:val="22"/>
                <w:lang w:val="en-US" w:eastAsia="zh-CN" w:bidi="ar-SA"/>
              </w:rPr>
              <w:t>，</w:t>
            </w:r>
            <w:r>
              <w:rPr>
                <w:rFonts w:hint="eastAsia" w:ascii="Times New Roman" w:hAnsi="Times New Roman" w:eastAsia="宋体" w:cs="Times New Roman"/>
                <w:color w:val="auto"/>
                <w:kern w:val="0"/>
                <w:sz w:val="24"/>
                <w:szCs w:val="22"/>
                <w:lang w:val="en-US" w:eastAsia="zh-CN" w:bidi="ar-SA"/>
              </w:rPr>
              <w:t>采用布袋除尘器处理。本项目</w:t>
            </w:r>
            <w:r>
              <w:rPr>
                <w:rFonts w:hint="eastAsia" w:eastAsia="宋体" w:cs="Times New Roman"/>
                <w:color w:val="auto"/>
                <w:kern w:val="0"/>
                <w:sz w:val="24"/>
                <w:szCs w:val="22"/>
                <w:lang w:val="en-US" w:eastAsia="zh-CN" w:bidi="ar-SA"/>
              </w:rPr>
              <w:t>产品为15000</w:t>
            </w:r>
            <w:r>
              <w:rPr>
                <w:rFonts w:hint="eastAsia" w:ascii="Times New Roman" w:hAnsi="Times New Roman" w:eastAsia="宋体" w:cs="Times New Roman"/>
                <w:color w:val="auto"/>
                <w:kern w:val="0"/>
                <w:sz w:val="24"/>
                <w:szCs w:val="22"/>
                <w:lang w:val="en-US" w:eastAsia="zh-CN" w:bidi="ar-SA"/>
              </w:rPr>
              <w:t>吨/年，故该工序颗粒物产生量为</w:t>
            </w:r>
            <w:r>
              <w:rPr>
                <w:rFonts w:hint="eastAsia" w:eastAsia="宋体" w:cs="Times New Roman"/>
                <w:color w:val="auto"/>
                <w:kern w:val="0"/>
                <w:sz w:val="24"/>
                <w:szCs w:val="22"/>
                <w:lang w:val="en-US" w:eastAsia="zh-CN" w:bidi="ar-SA"/>
              </w:rPr>
              <w:t>60.15</w:t>
            </w:r>
            <w:r>
              <w:rPr>
                <w:rFonts w:hint="eastAsia" w:ascii="Times New Roman" w:hAnsi="Times New Roman" w:eastAsia="宋体" w:cs="Times New Roman"/>
                <w:color w:val="auto"/>
                <w:kern w:val="0"/>
                <w:sz w:val="24"/>
                <w:szCs w:val="22"/>
                <w:lang w:val="en-US" w:eastAsia="zh-CN" w:bidi="ar-SA"/>
              </w:rPr>
              <w:t>t/a。</w:t>
            </w:r>
          </w:p>
          <w:p w14:paraId="55AB2EF7">
            <w:pPr>
              <w:snapToGrid w:val="0"/>
              <w:spacing w:line="360" w:lineRule="auto"/>
              <w:ind w:firstLine="480" w:firstLineChars="200"/>
              <w:rPr>
                <w:rFonts w:hint="eastAsia" w:ascii="Times New Roman" w:hAnsi="Times New Roman" w:eastAsia="宋体" w:cs="Times New Roman"/>
                <w:color w:val="auto"/>
                <w:kern w:val="0"/>
                <w:sz w:val="24"/>
                <w:szCs w:val="22"/>
                <w:lang w:val="en-US" w:eastAsia="zh-CN" w:bidi="ar-SA"/>
              </w:rPr>
            </w:pPr>
            <w:r>
              <w:rPr>
                <w:rFonts w:hint="eastAsia" w:cs="Times New Roman"/>
                <w:color w:val="auto"/>
                <w:sz w:val="24"/>
                <w:szCs w:val="24"/>
                <w:lang w:val="en-US" w:eastAsia="zh-CN"/>
              </w:rPr>
              <w:t>参照《2542生物质致密成型燃料加工行业系数表》中袋式除尘对颗粒物处置效率为92%，本项目布袋除尘器除尘效率取92%。根据建设单位提供材料，</w:t>
            </w:r>
            <w:r>
              <w:rPr>
                <w:rFonts w:hint="eastAsia" w:ascii="Times New Roman" w:hAnsi="Times New Roman" w:eastAsia="宋体" w:cs="Times New Roman"/>
                <w:color w:val="auto"/>
                <w:kern w:val="0"/>
                <w:sz w:val="24"/>
                <w:szCs w:val="22"/>
                <w:lang w:val="en-US" w:eastAsia="zh-CN" w:bidi="ar-SA"/>
              </w:rPr>
              <w:t>风机额定风量为10000m</w:t>
            </w:r>
            <w:r>
              <w:rPr>
                <w:rFonts w:hint="eastAsia" w:ascii="Times New Roman" w:hAnsi="Times New Roman" w:eastAsia="宋体" w:cs="Times New Roman"/>
                <w:color w:val="auto"/>
                <w:kern w:val="0"/>
                <w:sz w:val="24"/>
                <w:szCs w:val="22"/>
                <w:vertAlign w:val="superscript"/>
                <w:lang w:val="en-US" w:eastAsia="zh-CN" w:bidi="ar-SA"/>
              </w:rPr>
              <w:t>3</w:t>
            </w:r>
            <w:r>
              <w:rPr>
                <w:rFonts w:hint="eastAsia" w:ascii="Times New Roman" w:hAnsi="Times New Roman" w:eastAsia="宋体" w:cs="Times New Roman"/>
                <w:color w:val="auto"/>
                <w:kern w:val="0"/>
                <w:sz w:val="24"/>
                <w:szCs w:val="22"/>
                <w:lang w:val="en-US" w:eastAsia="zh-CN" w:bidi="ar-SA"/>
              </w:rPr>
              <w:t>/h。</w:t>
            </w:r>
          </w:p>
          <w:p w14:paraId="5E496F96">
            <w:pPr>
              <w:snapToGrid w:val="0"/>
              <w:spacing w:line="360" w:lineRule="auto"/>
              <w:ind w:firstLine="480" w:firstLineChars="200"/>
              <w:rPr>
                <w:rFonts w:hint="default" w:ascii="Times New Roman" w:hAnsi="Times New Roman" w:eastAsia="宋体" w:cs="Times New Roman"/>
                <w:color w:val="auto"/>
                <w:kern w:val="0"/>
                <w:sz w:val="24"/>
                <w:szCs w:val="22"/>
                <w:lang w:val="en-US" w:eastAsia="zh-CN" w:bidi="ar-SA"/>
              </w:rPr>
            </w:pPr>
            <w:r>
              <w:rPr>
                <w:rFonts w:hint="eastAsia" w:ascii="Times New Roman" w:hAnsi="Times New Roman" w:eastAsia="宋体" w:cs="Times New Roman"/>
                <w:color w:val="auto"/>
                <w:kern w:val="0"/>
                <w:sz w:val="24"/>
                <w:szCs w:val="22"/>
                <w:lang w:val="en-US" w:eastAsia="zh-CN" w:bidi="ar-SA"/>
              </w:rPr>
              <w:t>烘干废气</w:t>
            </w:r>
            <w:r>
              <w:rPr>
                <w:rFonts w:hint="eastAsia" w:cs="Times New Roman"/>
                <w:color w:val="auto"/>
                <w:kern w:val="0"/>
                <w:sz w:val="24"/>
                <w:szCs w:val="22"/>
                <w:lang w:val="en-US" w:eastAsia="zh-CN" w:bidi="ar-SA"/>
              </w:rPr>
              <w:t>经2#布袋除尘器处置后经DA003排气筒（15m）高空排放，</w:t>
            </w:r>
            <w:r>
              <w:rPr>
                <w:rFonts w:hint="eastAsia" w:ascii="Times New Roman" w:hAnsi="Times New Roman" w:eastAsia="宋体" w:cs="Times New Roman"/>
                <w:color w:val="auto"/>
                <w:kern w:val="0"/>
                <w:sz w:val="24"/>
                <w:szCs w:val="22"/>
                <w:lang w:val="en-US" w:eastAsia="zh-CN" w:bidi="ar-SA"/>
              </w:rPr>
              <w:t>颗粒物</w:t>
            </w:r>
            <w:r>
              <w:rPr>
                <w:rFonts w:hint="eastAsia" w:cs="Times New Roman"/>
                <w:color w:val="auto"/>
                <w:kern w:val="0"/>
                <w:sz w:val="24"/>
                <w:szCs w:val="22"/>
                <w:lang w:val="en-US" w:eastAsia="zh-CN" w:bidi="ar-SA"/>
              </w:rPr>
              <w:t>排放</w:t>
            </w:r>
            <w:r>
              <w:rPr>
                <w:rFonts w:hint="eastAsia" w:ascii="Times New Roman" w:hAnsi="Times New Roman" w:eastAsia="宋体" w:cs="Times New Roman"/>
                <w:color w:val="auto"/>
                <w:kern w:val="0"/>
                <w:sz w:val="24"/>
                <w:szCs w:val="22"/>
                <w:lang w:val="en-US" w:eastAsia="zh-CN" w:bidi="ar-SA"/>
              </w:rPr>
              <w:t>量为4.812t/a。</w:t>
            </w:r>
          </w:p>
          <w:p w14:paraId="2214E715">
            <w:pPr>
              <w:pStyle w:val="236"/>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rPr>
                <w:rFonts w:hint="default" w:eastAsia="宋体"/>
                <w:color w:val="auto"/>
                <w:spacing w:val="-5"/>
                <w:position w:val="2"/>
                <w:lang w:val="en-US" w:eastAsia="zh-CN"/>
              </w:rPr>
            </w:pPr>
            <w:r>
              <w:rPr>
                <w:color w:val="auto"/>
                <w:spacing w:val="-5"/>
                <w:position w:val="2"/>
              </w:rPr>
              <w:t>（</w:t>
            </w:r>
            <w:r>
              <w:rPr>
                <w:rFonts w:hint="eastAsia" w:ascii="Times New Roman" w:hAnsi="Times New Roman" w:cs="Times New Roman"/>
                <w:color w:val="auto"/>
                <w:spacing w:val="-5"/>
                <w:position w:val="2"/>
                <w:lang w:val="en-US" w:eastAsia="zh-CN"/>
              </w:rPr>
              <w:t>2</w:t>
            </w:r>
            <w:r>
              <w:rPr>
                <w:color w:val="auto"/>
                <w:spacing w:val="-5"/>
                <w:position w:val="2"/>
              </w:rPr>
              <w:t>）</w:t>
            </w:r>
            <w:r>
              <w:rPr>
                <w:rFonts w:hint="eastAsia"/>
                <w:color w:val="auto"/>
                <w:spacing w:val="-5"/>
                <w:position w:val="2"/>
                <w:lang w:val="en-US" w:eastAsia="zh-CN"/>
              </w:rPr>
              <w:t>加工工序粉尘</w:t>
            </w:r>
          </w:p>
          <w:p w14:paraId="2250E9DA">
            <w:pPr>
              <w:snapToGrid w:val="0"/>
              <w:spacing w:line="360" w:lineRule="auto"/>
              <w:ind w:firstLine="480" w:firstLineChars="200"/>
              <w:rPr>
                <w:rFonts w:hint="default" w:cs="Times New Roman"/>
                <w:color w:val="auto"/>
                <w:sz w:val="24"/>
                <w:szCs w:val="24"/>
                <w:lang w:val="en-US" w:eastAsia="zh-CN"/>
              </w:rPr>
            </w:pPr>
            <w:r>
              <w:rPr>
                <w:rFonts w:hint="eastAsia" w:cs="Times New Roman"/>
                <w:color w:val="auto"/>
                <w:sz w:val="24"/>
                <w:szCs w:val="24"/>
                <w:lang w:val="en-US" w:eastAsia="zh-CN"/>
              </w:rPr>
              <w:t>①筛分粉尘</w:t>
            </w:r>
          </w:p>
          <w:p w14:paraId="5D3B5090">
            <w:pPr>
              <w:snapToGrid w:val="0"/>
              <w:spacing w:line="360" w:lineRule="auto"/>
              <w:ind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参照《排放源统计调查产排污核算方法和系数手册》中《2542生物质致密成型燃料加工行业系数表》中筛分工序，颗粒物产生系数为6.69×10</w:t>
            </w:r>
            <w:r>
              <w:rPr>
                <w:rFonts w:hint="eastAsia" w:cs="Times New Roman"/>
                <w:color w:val="auto"/>
                <w:sz w:val="24"/>
                <w:szCs w:val="24"/>
                <w:vertAlign w:val="superscript"/>
                <w:lang w:val="en-US" w:eastAsia="zh-CN"/>
              </w:rPr>
              <w:t>-4</w:t>
            </w:r>
            <w:r>
              <w:rPr>
                <w:rFonts w:hint="eastAsia" w:cs="Times New Roman"/>
                <w:color w:val="auto"/>
                <w:sz w:val="24"/>
                <w:szCs w:val="24"/>
                <w:lang w:val="en-US" w:eastAsia="zh-CN"/>
              </w:rPr>
              <w:t>t/t产品。本项目年生产1.5万吨生物质炭黑，则筛分粉尘产生量为10.035t/a。</w:t>
            </w:r>
          </w:p>
          <w:p w14:paraId="7C993C4F">
            <w:pPr>
              <w:snapToGrid w:val="0"/>
              <w:spacing w:line="360" w:lineRule="auto"/>
              <w:ind w:firstLine="480" w:firstLineChars="200"/>
              <w:rPr>
                <w:rFonts w:hint="default" w:cs="Times New Roman"/>
                <w:color w:val="auto"/>
                <w:sz w:val="24"/>
                <w:szCs w:val="24"/>
                <w:lang w:val="en-US" w:eastAsia="zh-CN"/>
              </w:rPr>
            </w:pPr>
            <w:r>
              <w:rPr>
                <w:rFonts w:hint="eastAsia" w:cs="Times New Roman"/>
                <w:color w:val="auto"/>
                <w:sz w:val="24"/>
                <w:szCs w:val="24"/>
                <w:lang w:val="en-US" w:eastAsia="zh-CN"/>
              </w:rPr>
              <w:t>项目厂房密闭，筛分设备上方设置集气罩，取收集效率为90%。则</w:t>
            </w:r>
            <w:r>
              <w:rPr>
                <w:rFonts w:hint="default" w:cs="Times New Roman"/>
                <w:color w:val="auto"/>
                <w:sz w:val="24"/>
                <w:szCs w:val="24"/>
                <w:lang w:val="en-US" w:eastAsia="zh-CN"/>
              </w:rPr>
              <w:t>该工序</w:t>
            </w:r>
            <w:r>
              <w:rPr>
                <w:rFonts w:hint="eastAsia" w:cs="Times New Roman"/>
                <w:color w:val="auto"/>
                <w:sz w:val="24"/>
                <w:szCs w:val="24"/>
                <w:lang w:val="en-US" w:eastAsia="zh-CN"/>
              </w:rPr>
              <w:t>有组织颗粒物产生量为9.03t/a，无组织颗粒物产生量为1.005t/a。</w:t>
            </w:r>
          </w:p>
          <w:p w14:paraId="21016E54">
            <w:pPr>
              <w:snapToGrid w:val="0"/>
              <w:spacing w:line="360" w:lineRule="auto"/>
              <w:ind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②破碎粉尘</w:t>
            </w:r>
          </w:p>
          <w:p w14:paraId="5292C16A">
            <w:pPr>
              <w:snapToGrid w:val="0"/>
              <w:spacing w:line="360" w:lineRule="auto"/>
              <w:ind w:firstLine="480" w:firstLineChars="200"/>
              <w:rPr>
                <w:rFonts w:hint="default" w:cs="Times New Roman"/>
                <w:color w:val="auto"/>
                <w:sz w:val="24"/>
                <w:szCs w:val="24"/>
                <w:lang w:val="en-US" w:eastAsia="zh-CN"/>
              </w:rPr>
            </w:pPr>
            <w:r>
              <w:rPr>
                <w:rFonts w:hint="default" w:cs="Times New Roman"/>
                <w:color w:val="auto"/>
                <w:sz w:val="24"/>
                <w:szCs w:val="24"/>
                <w:lang w:val="en-US" w:eastAsia="zh-CN"/>
              </w:rPr>
              <w:t>经烘干后，仍有一些炭结成块没有碎开</w:t>
            </w:r>
            <w:r>
              <w:rPr>
                <w:rFonts w:hint="eastAsia" w:cs="Times New Roman"/>
                <w:color w:val="auto"/>
                <w:sz w:val="24"/>
                <w:szCs w:val="24"/>
                <w:lang w:val="en-US" w:eastAsia="zh-CN"/>
              </w:rPr>
              <w:t>，需</w:t>
            </w:r>
            <w:r>
              <w:rPr>
                <w:rFonts w:hint="default" w:cs="Times New Roman"/>
                <w:color w:val="auto"/>
                <w:sz w:val="24"/>
                <w:szCs w:val="24"/>
                <w:lang w:val="en-US" w:eastAsia="zh-CN"/>
              </w:rPr>
              <w:t>经过粗破后变成中度颗粒</w:t>
            </w:r>
            <w:r>
              <w:rPr>
                <w:rFonts w:hint="eastAsia" w:cs="Times New Roman"/>
                <w:color w:val="auto"/>
                <w:sz w:val="24"/>
                <w:szCs w:val="24"/>
                <w:lang w:val="en-US" w:eastAsia="zh-CN"/>
              </w:rPr>
              <w:t>。根据建设单位提供材料，需破碎颗粒占比约为原料的5%，本项目原料约为35000吨/年，需破碎的产品量约为1750t/a。</w:t>
            </w:r>
          </w:p>
          <w:p w14:paraId="5087AC49">
            <w:pPr>
              <w:snapToGrid w:val="0"/>
              <w:spacing w:line="360" w:lineRule="auto"/>
              <w:ind w:firstLine="480" w:firstLineChars="200"/>
              <w:rPr>
                <w:rFonts w:hint="default" w:cs="Times New Roman"/>
                <w:color w:val="auto"/>
                <w:sz w:val="24"/>
                <w:szCs w:val="24"/>
                <w:lang w:val="en-US" w:eastAsia="zh-CN"/>
              </w:rPr>
            </w:pPr>
            <w:r>
              <w:rPr>
                <w:rFonts w:hint="eastAsia" w:cs="Times New Roman"/>
                <w:color w:val="auto"/>
                <w:sz w:val="24"/>
                <w:szCs w:val="24"/>
                <w:lang w:val="en-US" w:eastAsia="zh-CN"/>
              </w:rPr>
              <w:t>参照《排放源统计调查产排污核算方法和系数手册》中《2542生物质致密成型燃料加工行业系数表》中破碎工序，颗粒物产生系数为6.69×10</w:t>
            </w:r>
            <w:r>
              <w:rPr>
                <w:rFonts w:hint="eastAsia" w:cs="Times New Roman"/>
                <w:color w:val="auto"/>
                <w:sz w:val="24"/>
                <w:szCs w:val="24"/>
                <w:vertAlign w:val="superscript"/>
                <w:lang w:val="en-US" w:eastAsia="zh-CN"/>
              </w:rPr>
              <w:t>-4</w:t>
            </w:r>
            <w:r>
              <w:rPr>
                <w:rFonts w:hint="eastAsia" w:cs="Times New Roman"/>
                <w:color w:val="auto"/>
                <w:sz w:val="24"/>
                <w:szCs w:val="24"/>
                <w:lang w:val="en-US" w:eastAsia="zh-CN"/>
              </w:rPr>
              <w:t>t/t产品。</w:t>
            </w:r>
          </w:p>
          <w:p w14:paraId="145415CE">
            <w:pPr>
              <w:snapToGrid w:val="0"/>
              <w:spacing w:line="360" w:lineRule="auto"/>
              <w:rPr>
                <w:rFonts w:hint="default" w:cs="Times New Roman"/>
                <w:color w:val="auto"/>
                <w:sz w:val="24"/>
                <w:szCs w:val="24"/>
                <w:lang w:val="en-US" w:eastAsia="zh-CN"/>
              </w:rPr>
            </w:pPr>
            <w:r>
              <w:rPr>
                <w:rFonts w:hint="eastAsia" w:cs="Times New Roman"/>
                <w:color w:val="auto"/>
                <w:sz w:val="24"/>
                <w:szCs w:val="24"/>
                <w:lang w:val="en-US" w:eastAsia="zh-CN"/>
              </w:rPr>
              <w:t>故项目破碎粉尘产生量约为1.17t/a。破碎设备上方设置集气罩，取收集效率为90%。则</w:t>
            </w:r>
            <w:r>
              <w:rPr>
                <w:rFonts w:hint="default" w:cs="Times New Roman"/>
                <w:color w:val="auto"/>
                <w:sz w:val="24"/>
                <w:szCs w:val="24"/>
                <w:lang w:val="en-US" w:eastAsia="zh-CN"/>
              </w:rPr>
              <w:t>该工序</w:t>
            </w:r>
            <w:r>
              <w:rPr>
                <w:rFonts w:hint="eastAsia" w:cs="Times New Roman"/>
                <w:color w:val="auto"/>
                <w:sz w:val="24"/>
                <w:szCs w:val="24"/>
                <w:lang w:val="en-US" w:eastAsia="zh-CN"/>
              </w:rPr>
              <w:t>有组织颗粒物产生量为1.05t/a，无组织颗粒物产生量为0.12t/a。</w:t>
            </w:r>
          </w:p>
          <w:p w14:paraId="50840F58">
            <w:pPr>
              <w:snapToGrid w:val="0"/>
              <w:spacing w:line="360" w:lineRule="auto"/>
              <w:ind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③制粉粉尘</w:t>
            </w:r>
          </w:p>
          <w:p w14:paraId="3469E014">
            <w:pPr>
              <w:snapToGrid w:val="0"/>
              <w:spacing w:line="360" w:lineRule="auto"/>
              <w:ind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项目</w:t>
            </w:r>
            <w:r>
              <w:rPr>
                <w:rFonts w:hint="default" w:cs="Times New Roman"/>
                <w:color w:val="auto"/>
                <w:sz w:val="24"/>
                <w:szCs w:val="24"/>
                <w:lang w:val="en-US" w:eastAsia="zh-CN"/>
              </w:rPr>
              <w:t>采用机械磨工艺，把物料从颗粒状制成粉末状。</w:t>
            </w:r>
            <w:r>
              <w:rPr>
                <w:rFonts w:hint="eastAsia" w:cs="Times New Roman"/>
                <w:color w:val="auto"/>
                <w:sz w:val="24"/>
                <w:szCs w:val="24"/>
                <w:lang w:val="en-US" w:eastAsia="zh-CN"/>
              </w:rPr>
              <w:t>本项目参照《排放源统计调查产排污核算方法和系数手册》（公告 2021年 第24号）——“3099其他非金属矿物制品制造行业系数表”中“粉磨”颗粒物产生系数，该系数为1.19kg/t-产品。本项目年生产1.5万吨生物质炭黑，则制粉粉尘产生量为10.035t/a。设备机体为密闭机体，物料输送管道为全密闭管道，收集效率可达100%。则</w:t>
            </w:r>
            <w:r>
              <w:rPr>
                <w:rFonts w:hint="default" w:cs="Times New Roman"/>
                <w:color w:val="auto"/>
                <w:sz w:val="24"/>
                <w:szCs w:val="24"/>
                <w:lang w:val="en-US" w:eastAsia="zh-CN"/>
              </w:rPr>
              <w:t>该工序</w:t>
            </w:r>
            <w:r>
              <w:rPr>
                <w:rFonts w:hint="eastAsia" w:cs="Times New Roman"/>
                <w:color w:val="auto"/>
                <w:sz w:val="24"/>
                <w:szCs w:val="24"/>
                <w:lang w:val="en-US" w:eastAsia="zh-CN"/>
              </w:rPr>
              <w:t>有组织颗粒物产生量为10.035t/a。</w:t>
            </w:r>
          </w:p>
          <w:p w14:paraId="4B4BD23F">
            <w:pPr>
              <w:snapToGrid w:val="0"/>
              <w:spacing w:line="360" w:lineRule="auto"/>
              <w:ind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④包装粉尘</w:t>
            </w:r>
          </w:p>
          <w:p w14:paraId="5DF6A6B9">
            <w:pPr>
              <w:snapToGrid w:val="0"/>
              <w:spacing w:line="360" w:lineRule="auto"/>
              <w:ind w:firstLine="480" w:firstLineChars="200"/>
              <w:rPr>
                <w:rFonts w:hint="default" w:cs="Times New Roman"/>
                <w:color w:val="auto"/>
                <w:sz w:val="24"/>
                <w:szCs w:val="24"/>
                <w:lang w:val="en-US" w:eastAsia="zh-CN"/>
              </w:rPr>
            </w:pPr>
            <w:r>
              <w:rPr>
                <w:rFonts w:hint="default" w:cs="Times New Roman"/>
                <w:color w:val="auto"/>
                <w:sz w:val="24"/>
                <w:szCs w:val="24"/>
                <w:lang w:val="en-US" w:eastAsia="zh-CN"/>
              </w:rPr>
              <w:t>项目</w:t>
            </w:r>
            <w:r>
              <w:rPr>
                <w:rFonts w:hint="eastAsia" w:cs="Times New Roman"/>
                <w:color w:val="auto"/>
                <w:sz w:val="24"/>
                <w:szCs w:val="24"/>
                <w:lang w:val="en-US" w:eastAsia="zh-CN"/>
              </w:rPr>
              <w:t>粉料</w:t>
            </w:r>
            <w:r>
              <w:rPr>
                <w:rFonts w:hint="default" w:cs="Times New Roman"/>
                <w:color w:val="auto"/>
                <w:sz w:val="24"/>
                <w:szCs w:val="24"/>
                <w:lang w:val="en-US" w:eastAsia="zh-CN"/>
              </w:rPr>
              <w:t>装袋包装</w:t>
            </w:r>
            <w:r>
              <w:rPr>
                <w:rFonts w:hint="eastAsia" w:cs="Times New Roman"/>
                <w:color w:val="auto"/>
                <w:sz w:val="24"/>
                <w:szCs w:val="24"/>
                <w:lang w:val="en-US" w:eastAsia="zh-CN"/>
              </w:rPr>
              <w:t>过程可能产生一定量包装粉尘</w:t>
            </w:r>
            <w:r>
              <w:rPr>
                <w:rFonts w:hint="default" w:cs="Times New Roman"/>
                <w:color w:val="auto"/>
                <w:sz w:val="24"/>
                <w:szCs w:val="24"/>
                <w:lang w:val="en-US" w:eastAsia="zh-CN"/>
              </w:rPr>
              <w:t>，参考《逸散性工业粉尘控制技术》中逸散尘排放系数，粉粒物料包装产尘系数为0.125kg/t-产品，项目需进行包装的产品产量为</w:t>
            </w:r>
            <w:r>
              <w:rPr>
                <w:rFonts w:hint="eastAsia" w:cs="Times New Roman"/>
                <w:color w:val="auto"/>
                <w:sz w:val="24"/>
                <w:szCs w:val="24"/>
                <w:lang w:val="en-US" w:eastAsia="zh-CN"/>
              </w:rPr>
              <w:t>15</w:t>
            </w:r>
            <w:r>
              <w:rPr>
                <w:rFonts w:hint="default" w:cs="Times New Roman"/>
                <w:color w:val="auto"/>
                <w:sz w:val="24"/>
                <w:szCs w:val="24"/>
                <w:lang w:val="en-US" w:eastAsia="zh-CN"/>
              </w:rPr>
              <w:t>000 t/a，则产品包装粉尘产生量为</w:t>
            </w:r>
            <w:r>
              <w:rPr>
                <w:rFonts w:hint="eastAsia" w:cs="Times New Roman"/>
                <w:color w:val="auto"/>
                <w:sz w:val="24"/>
                <w:szCs w:val="24"/>
                <w:lang w:val="en-US" w:eastAsia="zh-CN"/>
              </w:rPr>
              <w:t>1.875</w:t>
            </w:r>
            <w:r>
              <w:rPr>
                <w:rFonts w:hint="default" w:cs="Times New Roman"/>
                <w:color w:val="auto"/>
                <w:sz w:val="24"/>
                <w:szCs w:val="24"/>
                <w:lang w:val="en-US" w:eastAsia="zh-CN"/>
              </w:rPr>
              <w:t>t/a。</w:t>
            </w:r>
          </w:p>
          <w:p w14:paraId="193DD9E6">
            <w:pPr>
              <w:snapToGrid w:val="0"/>
              <w:spacing w:line="360" w:lineRule="auto"/>
              <w:ind w:firstLine="480" w:firstLineChars="200"/>
              <w:rPr>
                <w:rFonts w:hint="default" w:cs="Times New Roman"/>
                <w:color w:val="auto"/>
                <w:sz w:val="24"/>
                <w:szCs w:val="24"/>
                <w:lang w:val="en-US" w:eastAsia="zh-CN"/>
              </w:rPr>
            </w:pPr>
            <w:r>
              <w:rPr>
                <w:rFonts w:hint="default" w:cs="Times New Roman"/>
                <w:color w:val="auto"/>
                <w:sz w:val="24"/>
                <w:szCs w:val="24"/>
                <w:lang w:val="en-US" w:eastAsia="zh-CN"/>
              </w:rPr>
              <w:t>包装粉尘经集气罩收集，集气罩收集效率为90%，故该工序有组织粉尘产生量为</w:t>
            </w:r>
            <w:r>
              <w:rPr>
                <w:rFonts w:hint="eastAsia" w:cs="Times New Roman"/>
                <w:color w:val="auto"/>
                <w:sz w:val="24"/>
                <w:szCs w:val="24"/>
                <w:lang w:val="en-US" w:eastAsia="zh-CN"/>
              </w:rPr>
              <w:t>1.69</w:t>
            </w:r>
            <w:r>
              <w:rPr>
                <w:rFonts w:hint="default" w:cs="Times New Roman"/>
                <w:color w:val="auto"/>
                <w:sz w:val="24"/>
                <w:szCs w:val="24"/>
                <w:lang w:val="en-US" w:eastAsia="zh-CN"/>
              </w:rPr>
              <w:t>t/a，无组织粉尘产生量为0</w:t>
            </w:r>
            <w:r>
              <w:rPr>
                <w:rFonts w:hint="eastAsia" w:cs="Times New Roman"/>
                <w:color w:val="auto"/>
                <w:sz w:val="24"/>
                <w:szCs w:val="24"/>
                <w:lang w:val="en-US" w:eastAsia="zh-CN"/>
              </w:rPr>
              <w:t>.185</w:t>
            </w:r>
            <w:r>
              <w:rPr>
                <w:rFonts w:hint="default" w:cs="Times New Roman"/>
                <w:color w:val="auto"/>
                <w:sz w:val="24"/>
                <w:szCs w:val="24"/>
                <w:lang w:val="en-US" w:eastAsia="zh-CN"/>
              </w:rPr>
              <w:t>t/a。</w:t>
            </w:r>
          </w:p>
          <w:p w14:paraId="5EAC1E0C">
            <w:pPr>
              <w:snapToGrid w:val="0"/>
              <w:spacing w:line="360" w:lineRule="auto"/>
              <w:ind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综上，项目筛分、破碎、制粉、包装等加工工序过程颗粒物有组织产生量为29.62t/a，无组织颗粒物产生量为1.31t/a。</w:t>
            </w:r>
          </w:p>
          <w:p w14:paraId="1323260A">
            <w:pPr>
              <w:snapToGrid w:val="0"/>
              <w:spacing w:line="360" w:lineRule="auto"/>
              <w:ind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加工工序废气经收集一并由1#布袋除尘器处置后通过DA001排气筒（15m）高空排放。参照《2542生物质致密成型燃料加工行业系数表》中袋式除尘对颗粒物处置效率约为92%，本项目布袋除尘器除尘效率取92%。根据建设单位提供材料，风机额定风量为30000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/h。</w:t>
            </w:r>
          </w:p>
          <w:p w14:paraId="11766987">
            <w:pPr>
              <w:snapToGrid w:val="0"/>
              <w:spacing w:line="360" w:lineRule="auto"/>
              <w:ind w:firstLine="480" w:firstLineChars="200"/>
              <w:rPr>
                <w:rFonts w:hint="default" w:cs="Times New Roman"/>
                <w:color w:val="auto"/>
                <w:sz w:val="24"/>
                <w:szCs w:val="24"/>
                <w:lang w:val="en-US" w:eastAsia="zh-CN"/>
              </w:rPr>
            </w:pPr>
            <w:r>
              <w:rPr>
                <w:rFonts w:hint="eastAsia" w:cs="Times New Roman"/>
                <w:color w:val="auto"/>
                <w:sz w:val="24"/>
                <w:szCs w:val="24"/>
                <w:lang w:val="en-US" w:eastAsia="zh-CN"/>
              </w:rPr>
              <w:t>故项目筛分、破碎、制粉、包装等加工工序有组织颗粒物排放量为2.37t/a（0.329kg/h），无组织排放量为1.31t/a（0.182kg/h）。</w:t>
            </w:r>
          </w:p>
          <w:p w14:paraId="42BB1A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bCs/>
                <w:color w:val="auto"/>
                <w:szCs w:val="21"/>
              </w:rPr>
            </w:pPr>
          </w:p>
        </w:tc>
      </w:tr>
    </w:tbl>
    <w:p w14:paraId="71ACFD0B">
      <w:pPr>
        <w:rPr>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62F52A1">
      <w:pPr>
        <w:pStyle w:val="22"/>
        <w:numPr>
          <w:ilvl w:val="0"/>
          <w:numId w:val="8"/>
        </w:numPr>
        <w:spacing w:before="120" w:beforeLines="50" w:after="0" w:line="240" w:lineRule="auto"/>
        <w:rPr>
          <w:rFonts w:ascii="Times New Roman" w:hAnsi="Times New Roman"/>
          <w:color w:val="auto"/>
          <w:sz w:val="24"/>
          <w:szCs w:val="24"/>
        </w:rPr>
      </w:pPr>
      <w:bookmarkStart w:id="17" w:name="_Ref68640555"/>
      <w:r>
        <w:rPr>
          <w:rFonts w:hint="eastAsia" w:ascii="Times New Roman" w:hAnsi="Times New Roman"/>
          <w:color w:val="auto"/>
          <w:sz w:val="24"/>
          <w:szCs w:val="24"/>
          <w:lang w:val="en-US" w:eastAsia="zh-CN"/>
        </w:rPr>
        <w:t>项目</w:t>
      </w:r>
      <w:r>
        <w:rPr>
          <w:rFonts w:ascii="Times New Roman" w:hAnsi="Times New Roman"/>
          <w:color w:val="auto"/>
          <w:sz w:val="24"/>
          <w:szCs w:val="24"/>
        </w:rPr>
        <w:t>废气污染物排放信息一览表</w:t>
      </w:r>
      <w:bookmarkEnd w:id="17"/>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39"/>
        <w:gridCol w:w="1082"/>
        <w:gridCol w:w="748"/>
        <w:gridCol w:w="1037"/>
        <w:gridCol w:w="796"/>
        <w:gridCol w:w="658"/>
        <w:gridCol w:w="719"/>
        <w:gridCol w:w="945"/>
        <w:gridCol w:w="705"/>
        <w:gridCol w:w="529"/>
        <w:gridCol w:w="1100"/>
        <w:gridCol w:w="807"/>
        <w:gridCol w:w="1290"/>
        <w:gridCol w:w="941"/>
      </w:tblGrid>
      <w:tr w14:paraId="6ABC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restart"/>
            <w:tcBorders>
              <w:tl2br w:val="nil"/>
              <w:tr2bl w:val="nil"/>
            </w:tcBorders>
            <w:noWrap w:val="0"/>
            <w:vAlign w:val="center"/>
          </w:tcPr>
          <w:p w14:paraId="3C9FFC3B">
            <w:pPr>
              <w:adjustRightInd w:val="0"/>
              <w:snapToGrid w:val="0"/>
              <w:jc w:val="center"/>
              <w:rPr>
                <w:rFonts w:ascii="Times New Roman" w:hAnsi="Times New Roman"/>
                <w:color w:val="auto"/>
                <w:kern w:val="0"/>
                <w:szCs w:val="21"/>
              </w:rPr>
            </w:pPr>
            <w:r>
              <w:rPr>
                <w:rFonts w:ascii="Times New Roman" w:hAnsi="Times New Roman"/>
                <w:color w:val="auto"/>
                <w:kern w:val="0"/>
                <w:szCs w:val="21"/>
              </w:rPr>
              <w:t>运营</w:t>
            </w:r>
          </w:p>
          <w:p w14:paraId="07E84DDB">
            <w:pPr>
              <w:adjustRightInd w:val="0"/>
              <w:snapToGrid w:val="0"/>
              <w:jc w:val="center"/>
              <w:rPr>
                <w:rFonts w:ascii="Times New Roman" w:hAnsi="Times New Roman"/>
                <w:color w:val="auto"/>
                <w:kern w:val="0"/>
                <w:szCs w:val="21"/>
              </w:rPr>
            </w:pPr>
            <w:r>
              <w:rPr>
                <w:rFonts w:ascii="Times New Roman" w:hAnsi="Times New Roman"/>
                <w:color w:val="auto"/>
                <w:kern w:val="0"/>
                <w:szCs w:val="21"/>
              </w:rPr>
              <w:t>期环</w:t>
            </w:r>
          </w:p>
          <w:p w14:paraId="63F110C7">
            <w:pPr>
              <w:adjustRightInd w:val="0"/>
              <w:snapToGrid w:val="0"/>
              <w:jc w:val="center"/>
              <w:rPr>
                <w:rFonts w:ascii="Times New Roman" w:hAnsi="Times New Roman"/>
                <w:color w:val="auto"/>
                <w:kern w:val="0"/>
                <w:szCs w:val="21"/>
              </w:rPr>
            </w:pPr>
            <w:r>
              <w:rPr>
                <w:rFonts w:ascii="Times New Roman" w:hAnsi="Times New Roman"/>
                <w:color w:val="auto"/>
                <w:kern w:val="0"/>
                <w:szCs w:val="21"/>
              </w:rPr>
              <w:t>境影</w:t>
            </w:r>
          </w:p>
          <w:p w14:paraId="77CF9CC5">
            <w:pPr>
              <w:adjustRightInd w:val="0"/>
              <w:snapToGrid w:val="0"/>
              <w:jc w:val="center"/>
              <w:rPr>
                <w:rFonts w:ascii="Times New Roman" w:hAnsi="Times New Roman"/>
                <w:color w:val="auto"/>
                <w:kern w:val="0"/>
                <w:szCs w:val="21"/>
              </w:rPr>
            </w:pPr>
            <w:r>
              <w:rPr>
                <w:rFonts w:ascii="Times New Roman" w:hAnsi="Times New Roman"/>
                <w:color w:val="auto"/>
                <w:kern w:val="0"/>
                <w:szCs w:val="21"/>
              </w:rPr>
              <w:t>响和</w:t>
            </w:r>
          </w:p>
          <w:p w14:paraId="4B846990">
            <w:pPr>
              <w:adjustRightInd w:val="0"/>
              <w:snapToGrid w:val="0"/>
              <w:jc w:val="center"/>
              <w:rPr>
                <w:rFonts w:ascii="Times New Roman" w:hAnsi="Times New Roman"/>
                <w:color w:val="auto"/>
                <w:kern w:val="0"/>
                <w:szCs w:val="21"/>
              </w:rPr>
            </w:pPr>
            <w:r>
              <w:rPr>
                <w:rFonts w:ascii="Times New Roman" w:hAnsi="Times New Roman"/>
                <w:color w:val="auto"/>
                <w:kern w:val="0"/>
                <w:szCs w:val="21"/>
              </w:rPr>
              <w:t>保护</w:t>
            </w:r>
          </w:p>
          <w:p w14:paraId="6925313B">
            <w:pPr>
              <w:adjustRightInd w:val="0"/>
              <w:snapToGrid w:val="0"/>
              <w:jc w:val="center"/>
              <w:rPr>
                <w:rFonts w:ascii="Times New Roman" w:hAnsi="Times New Roman"/>
                <w:color w:val="auto"/>
                <w:kern w:val="0"/>
                <w:szCs w:val="21"/>
              </w:rPr>
            </w:pPr>
            <w:r>
              <w:rPr>
                <w:rFonts w:ascii="Times New Roman" w:hAnsi="Times New Roman"/>
                <w:color w:val="auto"/>
                <w:kern w:val="0"/>
                <w:szCs w:val="21"/>
              </w:rPr>
              <w:t>措施</w:t>
            </w:r>
          </w:p>
        </w:tc>
        <w:tc>
          <w:tcPr>
            <w:tcW w:w="544" w:type="pct"/>
            <w:vMerge w:val="restart"/>
            <w:tcBorders>
              <w:tl2br w:val="nil"/>
              <w:tr2bl w:val="nil"/>
            </w:tcBorders>
            <w:noWrap w:val="0"/>
            <w:vAlign w:val="center"/>
          </w:tcPr>
          <w:p w14:paraId="1E0535B1">
            <w:pPr>
              <w:adjustRightInd w:val="0"/>
              <w:snapToGrid w:val="0"/>
              <w:jc w:val="center"/>
              <w:rPr>
                <w:rFonts w:ascii="Times New Roman" w:hAnsi="Times New Roman"/>
                <w:color w:val="auto"/>
                <w:kern w:val="0"/>
                <w:szCs w:val="21"/>
              </w:rPr>
            </w:pPr>
            <w:r>
              <w:rPr>
                <w:rFonts w:ascii="Times New Roman" w:hAnsi="Times New Roman"/>
                <w:color w:val="auto"/>
                <w:kern w:val="0"/>
                <w:szCs w:val="21"/>
              </w:rPr>
              <w:t>产排污环节</w:t>
            </w:r>
          </w:p>
        </w:tc>
        <w:tc>
          <w:tcPr>
            <w:tcW w:w="409" w:type="pct"/>
            <w:vMerge w:val="restart"/>
            <w:tcBorders>
              <w:tl2br w:val="nil"/>
              <w:tr2bl w:val="nil"/>
            </w:tcBorders>
            <w:noWrap w:val="0"/>
            <w:vAlign w:val="center"/>
          </w:tcPr>
          <w:p w14:paraId="5AFD8F2D">
            <w:pPr>
              <w:adjustRightInd w:val="0"/>
              <w:snapToGrid w:val="0"/>
              <w:jc w:val="center"/>
              <w:rPr>
                <w:rFonts w:ascii="Times New Roman" w:hAnsi="Times New Roman"/>
                <w:color w:val="auto"/>
                <w:kern w:val="0"/>
                <w:szCs w:val="21"/>
              </w:rPr>
            </w:pPr>
            <w:r>
              <w:rPr>
                <w:rFonts w:ascii="Times New Roman" w:hAnsi="Times New Roman"/>
                <w:color w:val="auto"/>
                <w:kern w:val="0"/>
                <w:szCs w:val="21"/>
              </w:rPr>
              <w:t>污染物种类</w:t>
            </w:r>
          </w:p>
        </w:tc>
        <w:tc>
          <w:tcPr>
            <w:tcW w:w="976" w:type="pct"/>
            <w:gridSpan w:val="3"/>
            <w:tcBorders>
              <w:tl2br w:val="nil"/>
              <w:tr2bl w:val="nil"/>
            </w:tcBorders>
            <w:noWrap w:val="0"/>
            <w:vAlign w:val="center"/>
          </w:tcPr>
          <w:p w14:paraId="07B395BE">
            <w:pPr>
              <w:adjustRightInd w:val="0"/>
              <w:snapToGrid w:val="0"/>
              <w:jc w:val="center"/>
              <w:rPr>
                <w:rFonts w:ascii="Times New Roman" w:hAnsi="Times New Roman"/>
                <w:color w:val="auto"/>
                <w:kern w:val="0"/>
                <w:szCs w:val="21"/>
              </w:rPr>
            </w:pPr>
            <w:r>
              <w:rPr>
                <w:rFonts w:ascii="Times New Roman" w:hAnsi="Times New Roman"/>
                <w:color w:val="auto"/>
                <w:kern w:val="0"/>
                <w:szCs w:val="21"/>
              </w:rPr>
              <w:t>产生情况</w:t>
            </w:r>
          </w:p>
        </w:tc>
        <w:tc>
          <w:tcPr>
            <w:tcW w:w="248" w:type="pct"/>
            <w:vMerge w:val="restart"/>
            <w:tcBorders>
              <w:tl2br w:val="nil"/>
              <w:tr2bl w:val="nil"/>
            </w:tcBorders>
            <w:noWrap w:val="0"/>
            <w:vAlign w:val="center"/>
          </w:tcPr>
          <w:p w14:paraId="3251F326">
            <w:pPr>
              <w:adjustRightInd w:val="0"/>
              <w:snapToGrid w:val="0"/>
              <w:jc w:val="center"/>
              <w:rPr>
                <w:rFonts w:ascii="Times New Roman" w:hAnsi="Times New Roman"/>
                <w:color w:val="auto"/>
                <w:kern w:val="0"/>
                <w:szCs w:val="21"/>
              </w:rPr>
            </w:pPr>
            <w:r>
              <w:rPr>
                <w:rFonts w:ascii="Times New Roman" w:hAnsi="Times New Roman"/>
                <w:color w:val="auto"/>
                <w:kern w:val="0"/>
                <w:szCs w:val="21"/>
              </w:rPr>
              <w:t>排放</w:t>
            </w:r>
          </w:p>
          <w:p w14:paraId="393E47FA">
            <w:pPr>
              <w:adjustRightInd w:val="0"/>
              <w:snapToGrid w:val="0"/>
              <w:jc w:val="center"/>
              <w:rPr>
                <w:rFonts w:ascii="Times New Roman" w:hAnsi="Times New Roman"/>
                <w:color w:val="auto"/>
                <w:kern w:val="0"/>
                <w:szCs w:val="21"/>
              </w:rPr>
            </w:pPr>
            <w:r>
              <w:rPr>
                <w:rFonts w:ascii="Times New Roman" w:hAnsi="Times New Roman"/>
                <w:color w:val="auto"/>
                <w:kern w:val="0"/>
                <w:szCs w:val="21"/>
              </w:rPr>
              <w:t>形式</w:t>
            </w:r>
          </w:p>
        </w:tc>
        <w:tc>
          <w:tcPr>
            <w:tcW w:w="1511" w:type="pct"/>
            <w:gridSpan w:val="5"/>
            <w:tcBorders>
              <w:tl2br w:val="nil"/>
              <w:tr2bl w:val="nil"/>
            </w:tcBorders>
            <w:noWrap w:val="0"/>
            <w:vAlign w:val="center"/>
          </w:tcPr>
          <w:p w14:paraId="13915486">
            <w:pPr>
              <w:adjustRightInd w:val="0"/>
              <w:snapToGrid w:val="0"/>
              <w:jc w:val="center"/>
              <w:rPr>
                <w:rFonts w:ascii="Times New Roman" w:hAnsi="Times New Roman"/>
                <w:color w:val="auto"/>
                <w:kern w:val="0"/>
                <w:szCs w:val="21"/>
              </w:rPr>
            </w:pPr>
            <w:r>
              <w:rPr>
                <w:rFonts w:ascii="Times New Roman" w:hAnsi="Times New Roman"/>
                <w:color w:val="auto"/>
                <w:kern w:val="0"/>
                <w:szCs w:val="21"/>
              </w:rPr>
              <w:t>治理设施</w:t>
            </w:r>
          </w:p>
        </w:tc>
        <w:tc>
          <w:tcPr>
            <w:tcW w:w="1148" w:type="pct"/>
            <w:gridSpan w:val="3"/>
            <w:tcBorders>
              <w:tl2br w:val="nil"/>
              <w:tr2bl w:val="nil"/>
            </w:tcBorders>
            <w:noWrap w:val="0"/>
            <w:vAlign w:val="center"/>
          </w:tcPr>
          <w:p w14:paraId="7655CDEC">
            <w:pPr>
              <w:adjustRightInd w:val="0"/>
              <w:snapToGrid w:val="0"/>
              <w:jc w:val="center"/>
              <w:rPr>
                <w:rFonts w:ascii="Times New Roman" w:hAnsi="Times New Roman"/>
                <w:color w:val="auto"/>
                <w:kern w:val="0"/>
                <w:szCs w:val="21"/>
              </w:rPr>
            </w:pPr>
            <w:r>
              <w:rPr>
                <w:rFonts w:ascii="Times New Roman" w:hAnsi="Times New Roman"/>
                <w:color w:val="auto"/>
                <w:kern w:val="0"/>
                <w:szCs w:val="21"/>
              </w:rPr>
              <w:t>排放情况</w:t>
            </w:r>
          </w:p>
        </w:tc>
      </w:tr>
      <w:tr w14:paraId="56B4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5FC09A02">
            <w:pPr>
              <w:adjustRightInd w:val="0"/>
              <w:snapToGrid w:val="0"/>
              <w:jc w:val="center"/>
              <w:rPr>
                <w:rFonts w:ascii="Times New Roman" w:hAnsi="Times New Roman"/>
                <w:color w:val="auto"/>
                <w:kern w:val="0"/>
                <w:szCs w:val="21"/>
              </w:rPr>
            </w:pPr>
          </w:p>
        </w:tc>
        <w:tc>
          <w:tcPr>
            <w:tcW w:w="544" w:type="pct"/>
            <w:vMerge w:val="continue"/>
            <w:tcBorders>
              <w:tl2br w:val="nil"/>
              <w:tr2bl w:val="nil"/>
            </w:tcBorders>
            <w:noWrap w:val="0"/>
            <w:vAlign w:val="center"/>
          </w:tcPr>
          <w:p w14:paraId="06DCAB1C">
            <w:pPr>
              <w:adjustRightInd w:val="0"/>
              <w:snapToGrid w:val="0"/>
              <w:jc w:val="center"/>
              <w:rPr>
                <w:rFonts w:ascii="Times New Roman" w:hAnsi="Times New Roman"/>
                <w:color w:val="auto"/>
                <w:kern w:val="0"/>
                <w:szCs w:val="21"/>
              </w:rPr>
            </w:pPr>
          </w:p>
        </w:tc>
        <w:tc>
          <w:tcPr>
            <w:tcW w:w="409" w:type="pct"/>
            <w:vMerge w:val="continue"/>
            <w:tcBorders>
              <w:tl2br w:val="nil"/>
              <w:tr2bl w:val="nil"/>
            </w:tcBorders>
            <w:noWrap w:val="0"/>
            <w:vAlign w:val="center"/>
          </w:tcPr>
          <w:p w14:paraId="579B1489">
            <w:pPr>
              <w:adjustRightInd w:val="0"/>
              <w:snapToGrid w:val="0"/>
              <w:jc w:val="center"/>
              <w:rPr>
                <w:rFonts w:ascii="Times New Roman" w:hAnsi="Times New Roman"/>
                <w:color w:val="auto"/>
                <w:kern w:val="0"/>
                <w:szCs w:val="21"/>
              </w:rPr>
            </w:pPr>
          </w:p>
        </w:tc>
        <w:tc>
          <w:tcPr>
            <w:tcW w:w="282" w:type="pct"/>
            <w:tcBorders>
              <w:tl2br w:val="nil"/>
              <w:tr2bl w:val="nil"/>
            </w:tcBorders>
            <w:noWrap w:val="0"/>
            <w:vAlign w:val="center"/>
          </w:tcPr>
          <w:p w14:paraId="73286739">
            <w:pPr>
              <w:wordWrap w:val="0"/>
              <w:adjustRightInd w:val="0"/>
              <w:snapToGrid w:val="0"/>
              <w:jc w:val="center"/>
              <w:rPr>
                <w:rFonts w:ascii="Times New Roman" w:hAnsi="Times New Roman"/>
                <w:bCs/>
                <w:color w:val="auto"/>
                <w:szCs w:val="21"/>
              </w:rPr>
            </w:pPr>
            <w:r>
              <w:rPr>
                <w:rFonts w:ascii="Times New Roman" w:hAnsi="Times New Roman"/>
                <w:bCs/>
                <w:color w:val="auto"/>
                <w:szCs w:val="21"/>
              </w:rPr>
              <w:t>产生</w:t>
            </w:r>
          </w:p>
          <w:p w14:paraId="7BA428AF">
            <w:pPr>
              <w:wordWrap w:val="0"/>
              <w:adjustRightInd w:val="0"/>
              <w:snapToGrid w:val="0"/>
              <w:jc w:val="center"/>
              <w:rPr>
                <w:rFonts w:ascii="Times New Roman" w:hAnsi="Times New Roman"/>
                <w:bCs/>
                <w:color w:val="auto"/>
                <w:szCs w:val="21"/>
              </w:rPr>
            </w:pPr>
            <w:r>
              <w:rPr>
                <w:rFonts w:ascii="Times New Roman" w:hAnsi="Times New Roman"/>
                <w:bCs/>
                <w:color w:val="auto"/>
                <w:szCs w:val="21"/>
              </w:rPr>
              <w:t>浓度</w:t>
            </w:r>
          </w:p>
          <w:p w14:paraId="3311AD23">
            <w:pPr>
              <w:wordWrap w:val="0"/>
              <w:adjustRightInd w:val="0"/>
              <w:snapToGrid w:val="0"/>
              <w:jc w:val="center"/>
              <w:rPr>
                <w:rFonts w:ascii="Times New Roman" w:hAnsi="Times New Roman"/>
                <w:bCs/>
                <w:color w:val="auto"/>
                <w:szCs w:val="21"/>
              </w:rPr>
            </w:pPr>
            <w:r>
              <w:rPr>
                <w:rFonts w:ascii="Times New Roman" w:hAnsi="Times New Roman"/>
                <w:bCs/>
                <w:color w:val="auto"/>
                <w:szCs w:val="21"/>
              </w:rPr>
              <w:t>mg/m³</w:t>
            </w:r>
          </w:p>
        </w:tc>
        <w:tc>
          <w:tcPr>
            <w:tcW w:w="392" w:type="pct"/>
            <w:tcBorders>
              <w:tl2br w:val="nil"/>
              <w:tr2bl w:val="nil"/>
            </w:tcBorders>
            <w:noWrap w:val="0"/>
            <w:vAlign w:val="center"/>
          </w:tcPr>
          <w:p w14:paraId="2557001C">
            <w:pPr>
              <w:adjustRightInd w:val="0"/>
              <w:snapToGrid w:val="0"/>
              <w:jc w:val="center"/>
              <w:rPr>
                <w:rFonts w:ascii="Times New Roman" w:hAnsi="Times New Roman"/>
                <w:bCs/>
                <w:color w:val="auto"/>
                <w:szCs w:val="21"/>
              </w:rPr>
            </w:pPr>
            <w:r>
              <w:rPr>
                <w:rFonts w:ascii="Times New Roman" w:hAnsi="Times New Roman"/>
                <w:bCs/>
                <w:color w:val="auto"/>
                <w:szCs w:val="21"/>
              </w:rPr>
              <w:t>产生速率kg/h</w:t>
            </w:r>
          </w:p>
        </w:tc>
        <w:tc>
          <w:tcPr>
            <w:tcW w:w="301" w:type="pct"/>
            <w:tcBorders>
              <w:tl2br w:val="nil"/>
              <w:tr2bl w:val="nil"/>
            </w:tcBorders>
            <w:noWrap w:val="0"/>
            <w:vAlign w:val="center"/>
          </w:tcPr>
          <w:p w14:paraId="6C91D9B3">
            <w:pPr>
              <w:adjustRightInd w:val="0"/>
              <w:snapToGrid w:val="0"/>
              <w:jc w:val="center"/>
              <w:rPr>
                <w:rFonts w:ascii="Times New Roman" w:hAnsi="Times New Roman"/>
                <w:color w:val="auto"/>
                <w:kern w:val="0"/>
                <w:szCs w:val="21"/>
              </w:rPr>
            </w:pPr>
            <w:r>
              <w:rPr>
                <w:rFonts w:ascii="Times New Roman" w:hAnsi="Times New Roman"/>
                <w:color w:val="auto"/>
                <w:kern w:val="0"/>
                <w:szCs w:val="21"/>
              </w:rPr>
              <w:t>产生量t/a</w:t>
            </w:r>
          </w:p>
        </w:tc>
        <w:tc>
          <w:tcPr>
            <w:tcW w:w="248" w:type="pct"/>
            <w:vMerge w:val="continue"/>
            <w:tcBorders>
              <w:tl2br w:val="nil"/>
              <w:tr2bl w:val="nil"/>
            </w:tcBorders>
            <w:noWrap w:val="0"/>
            <w:vAlign w:val="center"/>
          </w:tcPr>
          <w:p w14:paraId="0B15C4A4">
            <w:pPr>
              <w:adjustRightInd w:val="0"/>
              <w:snapToGrid w:val="0"/>
              <w:jc w:val="center"/>
              <w:rPr>
                <w:rFonts w:ascii="Times New Roman" w:hAnsi="Times New Roman"/>
                <w:color w:val="auto"/>
                <w:kern w:val="0"/>
                <w:szCs w:val="21"/>
              </w:rPr>
            </w:pPr>
          </w:p>
        </w:tc>
        <w:tc>
          <w:tcPr>
            <w:tcW w:w="271" w:type="pct"/>
            <w:tcBorders>
              <w:tl2br w:val="nil"/>
              <w:tr2bl w:val="nil"/>
            </w:tcBorders>
            <w:noWrap w:val="0"/>
            <w:vAlign w:val="center"/>
          </w:tcPr>
          <w:p w14:paraId="7AC6A148">
            <w:pPr>
              <w:adjustRightInd w:val="0"/>
              <w:snapToGrid w:val="0"/>
              <w:jc w:val="center"/>
              <w:rPr>
                <w:rFonts w:ascii="Times New Roman" w:hAnsi="Times New Roman"/>
                <w:color w:val="auto"/>
                <w:kern w:val="0"/>
                <w:szCs w:val="21"/>
              </w:rPr>
            </w:pPr>
            <w:r>
              <w:rPr>
                <w:rFonts w:ascii="Times New Roman" w:hAnsi="Times New Roman"/>
                <w:color w:val="auto"/>
                <w:kern w:val="0"/>
                <w:szCs w:val="21"/>
              </w:rPr>
              <w:t>风量</w:t>
            </w:r>
          </w:p>
          <w:p w14:paraId="474BF562">
            <w:pPr>
              <w:adjustRightInd w:val="0"/>
              <w:snapToGrid w:val="0"/>
              <w:jc w:val="center"/>
              <w:rPr>
                <w:rFonts w:ascii="Times New Roman" w:hAnsi="Times New Roman"/>
                <w:color w:val="auto"/>
                <w:kern w:val="0"/>
                <w:szCs w:val="21"/>
              </w:rPr>
            </w:pPr>
            <w:r>
              <w:rPr>
                <w:rFonts w:ascii="Times New Roman" w:hAnsi="Times New Roman"/>
                <w:color w:val="auto"/>
                <w:kern w:val="0"/>
                <w:szCs w:val="21"/>
              </w:rPr>
              <w:t>m³/h</w:t>
            </w:r>
          </w:p>
        </w:tc>
        <w:tc>
          <w:tcPr>
            <w:tcW w:w="357" w:type="pct"/>
            <w:tcBorders>
              <w:tl2br w:val="nil"/>
              <w:tr2bl w:val="nil"/>
            </w:tcBorders>
            <w:noWrap w:val="0"/>
            <w:vAlign w:val="center"/>
          </w:tcPr>
          <w:p w14:paraId="30A7CC19">
            <w:pPr>
              <w:adjustRightInd w:val="0"/>
              <w:snapToGrid w:val="0"/>
              <w:jc w:val="center"/>
              <w:rPr>
                <w:rFonts w:ascii="Times New Roman" w:hAnsi="Times New Roman"/>
                <w:color w:val="auto"/>
                <w:kern w:val="0"/>
                <w:szCs w:val="21"/>
              </w:rPr>
            </w:pPr>
            <w:r>
              <w:rPr>
                <w:rFonts w:ascii="Times New Roman" w:hAnsi="Times New Roman"/>
                <w:color w:val="auto"/>
                <w:kern w:val="0"/>
                <w:szCs w:val="21"/>
              </w:rPr>
              <w:t>收集效率</w:t>
            </w:r>
          </w:p>
          <w:p w14:paraId="6025047E">
            <w:pPr>
              <w:adjustRightInd w:val="0"/>
              <w:snapToGrid w:val="0"/>
              <w:jc w:val="center"/>
              <w:rPr>
                <w:rFonts w:ascii="Times New Roman" w:hAnsi="Times New Roman"/>
                <w:color w:val="auto"/>
                <w:kern w:val="0"/>
                <w:szCs w:val="21"/>
              </w:rPr>
            </w:pPr>
            <w:r>
              <w:rPr>
                <w:rFonts w:ascii="Times New Roman" w:hAnsi="Times New Roman"/>
                <w:color w:val="auto"/>
                <w:kern w:val="0"/>
                <w:szCs w:val="21"/>
              </w:rPr>
              <w:t>%</w:t>
            </w:r>
          </w:p>
        </w:tc>
        <w:tc>
          <w:tcPr>
            <w:tcW w:w="466" w:type="pct"/>
            <w:gridSpan w:val="2"/>
            <w:tcBorders>
              <w:tl2br w:val="nil"/>
              <w:tr2bl w:val="nil"/>
            </w:tcBorders>
            <w:noWrap w:val="0"/>
            <w:vAlign w:val="center"/>
          </w:tcPr>
          <w:p w14:paraId="56C528D6">
            <w:pPr>
              <w:adjustRightInd w:val="0"/>
              <w:snapToGrid w:val="0"/>
              <w:jc w:val="center"/>
              <w:rPr>
                <w:rFonts w:ascii="Times New Roman" w:hAnsi="Times New Roman"/>
                <w:color w:val="auto"/>
                <w:kern w:val="0"/>
                <w:szCs w:val="21"/>
              </w:rPr>
            </w:pPr>
            <w:r>
              <w:rPr>
                <w:rFonts w:ascii="Times New Roman" w:hAnsi="Times New Roman"/>
                <w:color w:val="auto"/>
                <w:kern w:val="0"/>
                <w:szCs w:val="21"/>
              </w:rPr>
              <w:t>去除率%</w:t>
            </w:r>
          </w:p>
        </w:tc>
        <w:tc>
          <w:tcPr>
            <w:tcW w:w="415" w:type="pct"/>
            <w:tcBorders>
              <w:tl2br w:val="nil"/>
              <w:tr2bl w:val="nil"/>
            </w:tcBorders>
            <w:noWrap w:val="0"/>
            <w:vAlign w:val="center"/>
          </w:tcPr>
          <w:p w14:paraId="5021E580">
            <w:pPr>
              <w:adjustRightInd w:val="0"/>
              <w:snapToGrid w:val="0"/>
              <w:jc w:val="center"/>
              <w:rPr>
                <w:rFonts w:ascii="Times New Roman" w:hAnsi="Times New Roman"/>
                <w:color w:val="auto"/>
                <w:kern w:val="0"/>
                <w:szCs w:val="21"/>
              </w:rPr>
            </w:pPr>
            <w:r>
              <w:rPr>
                <w:rFonts w:ascii="Times New Roman" w:hAnsi="Times New Roman"/>
                <w:color w:val="auto"/>
                <w:kern w:val="0"/>
                <w:szCs w:val="21"/>
              </w:rPr>
              <w:t>是否为可行技术</w:t>
            </w:r>
          </w:p>
        </w:tc>
        <w:tc>
          <w:tcPr>
            <w:tcW w:w="305" w:type="pct"/>
            <w:tcBorders>
              <w:tl2br w:val="nil"/>
              <w:tr2bl w:val="nil"/>
            </w:tcBorders>
            <w:noWrap w:val="0"/>
            <w:vAlign w:val="center"/>
          </w:tcPr>
          <w:p w14:paraId="44575ED6">
            <w:pPr>
              <w:adjustRightInd w:val="0"/>
              <w:snapToGrid w:val="0"/>
              <w:jc w:val="center"/>
              <w:rPr>
                <w:rFonts w:ascii="Times New Roman" w:hAnsi="Times New Roman"/>
                <w:bCs/>
                <w:color w:val="auto"/>
                <w:szCs w:val="21"/>
              </w:rPr>
            </w:pPr>
            <w:r>
              <w:rPr>
                <w:rFonts w:ascii="Times New Roman" w:hAnsi="Times New Roman"/>
                <w:bCs/>
                <w:color w:val="auto"/>
                <w:szCs w:val="21"/>
              </w:rPr>
              <w:t>排放</w:t>
            </w:r>
          </w:p>
          <w:p w14:paraId="0078EE19">
            <w:pPr>
              <w:adjustRightInd w:val="0"/>
              <w:snapToGrid w:val="0"/>
              <w:jc w:val="center"/>
              <w:rPr>
                <w:rFonts w:ascii="Times New Roman" w:hAnsi="Times New Roman"/>
                <w:bCs/>
                <w:color w:val="auto"/>
                <w:szCs w:val="21"/>
              </w:rPr>
            </w:pPr>
            <w:r>
              <w:rPr>
                <w:rFonts w:ascii="Times New Roman" w:hAnsi="Times New Roman"/>
                <w:bCs/>
                <w:color w:val="auto"/>
                <w:szCs w:val="21"/>
              </w:rPr>
              <w:t>浓度mg/m³</w:t>
            </w:r>
          </w:p>
        </w:tc>
        <w:tc>
          <w:tcPr>
            <w:tcW w:w="487" w:type="pct"/>
            <w:tcBorders>
              <w:tl2br w:val="nil"/>
              <w:tr2bl w:val="nil"/>
            </w:tcBorders>
            <w:noWrap w:val="0"/>
            <w:vAlign w:val="center"/>
          </w:tcPr>
          <w:p w14:paraId="5D0F56DA">
            <w:pPr>
              <w:adjustRightInd w:val="0"/>
              <w:snapToGrid w:val="0"/>
              <w:jc w:val="center"/>
              <w:rPr>
                <w:rFonts w:ascii="Times New Roman" w:hAnsi="Times New Roman"/>
                <w:bCs/>
                <w:color w:val="auto"/>
                <w:szCs w:val="21"/>
              </w:rPr>
            </w:pPr>
            <w:r>
              <w:rPr>
                <w:rFonts w:ascii="Times New Roman" w:hAnsi="Times New Roman"/>
                <w:bCs/>
                <w:color w:val="auto"/>
                <w:szCs w:val="21"/>
              </w:rPr>
              <w:t>排放速率kg/h</w:t>
            </w:r>
          </w:p>
        </w:tc>
        <w:tc>
          <w:tcPr>
            <w:tcW w:w="355" w:type="pct"/>
            <w:tcBorders>
              <w:tl2br w:val="nil"/>
              <w:tr2bl w:val="nil"/>
            </w:tcBorders>
            <w:noWrap w:val="0"/>
            <w:vAlign w:val="center"/>
          </w:tcPr>
          <w:p w14:paraId="558C6472">
            <w:pPr>
              <w:adjustRightInd w:val="0"/>
              <w:snapToGrid w:val="0"/>
              <w:jc w:val="center"/>
              <w:rPr>
                <w:rFonts w:ascii="Times New Roman" w:hAnsi="Times New Roman"/>
                <w:color w:val="auto"/>
                <w:kern w:val="0"/>
                <w:szCs w:val="21"/>
              </w:rPr>
            </w:pPr>
            <w:r>
              <w:rPr>
                <w:rFonts w:ascii="Times New Roman" w:hAnsi="Times New Roman"/>
                <w:color w:val="auto"/>
                <w:kern w:val="0"/>
                <w:szCs w:val="21"/>
              </w:rPr>
              <w:t>排放量t/a</w:t>
            </w:r>
          </w:p>
        </w:tc>
      </w:tr>
      <w:tr w14:paraId="7790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3DF01350">
            <w:pPr>
              <w:adjustRightInd w:val="0"/>
              <w:snapToGrid w:val="0"/>
              <w:jc w:val="center"/>
              <w:rPr>
                <w:rFonts w:ascii="Times New Roman" w:hAnsi="Times New Roman"/>
                <w:color w:val="auto"/>
                <w:kern w:val="0"/>
                <w:szCs w:val="21"/>
              </w:rPr>
            </w:pPr>
          </w:p>
        </w:tc>
        <w:tc>
          <w:tcPr>
            <w:tcW w:w="544" w:type="pct"/>
            <w:vMerge w:val="restart"/>
            <w:tcBorders>
              <w:tl2br w:val="nil"/>
              <w:tr2bl w:val="nil"/>
            </w:tcBorders>
            <w:shd w:val="clear" w:color="auto" w:fill="auto"/>
            <w:noWrap w:val="0"/>
            <w:vAlign w:val="center"/>
          </w:tcPr>
          <w:p w14:paraId="557BA36F">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破碎工序、制粉工序</w:t>
            </w:r>
            <w:r>
              <w:rPr>
                <w:rFonts w:hint="eastAsia" w:ascii="Times New Roman" w:hAnsi="Times New Roman" w:eastAsia="宋体" w:cs="Times New Roman"/>
                <w:color w:val="auto"/>
                <w:kern w:val="0"/>
                <w:sz w:val="21"/>
                <w:szCs w:val="21"/>
                <w:lang w:val="en-US" w:eastAsia="zh-CN" w:bidi="ar-SA"/>
              </w:rPr>
              <w:t>、</w:t>
            </w:r>
            <w:r>
              <w:rPr>
                <w:rFonts w:hint="eastAsia"/>
                <w:color w:val="auto"/>
                <w:kern w:val="0"/>
                <w:lang w:val="en-US" w:eastAsia="zh-CN"/>
              </w:rPr>
              <w:t>筛分、包装工序</w:t>
            </w:r>
          </w:p>
        </w:tc>
        <w:tc>
          <w:tcPr>
            <w:tcW w:w="409" w:type="pct"/>
            <w:vMerge w:val="restart"/>
            <w:tcBorders>
              <w:tl2br w:val="nil"/>
              <w:tr2bl w:val="nil"/>
            </w:tcBorders>
            <w:shd w:val="clear" w:color="auto" w:fill="auto"/>
            <w:noWrap w:val="0"/>
            <w:vAlign w:val="center"/>
          </w:tcPr>
          <w:p w14:paraId="7E638A69">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颗粒物</w:t>
            </w:r>
          </w:p>
        </w:tc>
        <w:tc>
          <w:tcPr>
            <w:tcW w:w="282" w:type="pct"/>
            <w:vMerge w:val="restart"/>
            <w:tcBorders>
              <w:tl2br w:val="nil"/>
              <w:tr2bl w:val="nil"/>
            </w:tcBorders>
            <w:shd w:val="clear" w:color="auto" w:fill="auto"/>
            <w:noWrap w:val="0"/>
            <w:vAlign w:val="center"/>
          </w:tcPr>
          <w:p w14:paraId="291BC3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137</w:t>
            </w:r>
          </w:p>
        </w:tc>
        <w:tc>
          <w:tcPr>
            <w:tcW w:w="392" w:type="pct"/>
            <w:vMerge w:val="restart"/>
            <w:tcBorders>
              <w:tl2br w:val="nil"/>
              <w:tr2bl w:val="nil"/>
            </w:tcBorders>
            <w:shd w:val="clear" w:color="auto" w:fill="auto"/>
            <w:noWrap w:val="0"/>
            <w:vAlign w:val="center"/>
          </w:tcPr>
          <w:p w14:paraId="294FF16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4.11</w:t>
            </w:r>
          </w:p>
        </w:tc>
        <w:tc>
          <w:tcPr>
            <w:tcW w:w="301" w:type="pct"/>
            <w:vMerge w:val="restart"/>
            <w:tcBorders>
              <w:tl2br w:val="nil"/>
              <w:tr2bl w:val="nil"/>
            </w:tcBorders>
            <w:shd w:val="clear" w:color="auto" w:fill="auto"/>
            <w:noWrap w:val="0"/>
            <w:vAlign w:val="center"/>
          </w:tcPr>
          <w:p w14:paraId="21068B1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29.62</w:t>
            </w:r>
          </w:p>
        </w:tc>
        <w:tc>
          <w:tcPr>
            <w:tcW w:w="248" w:type="pct"/>
            <w:vMerge w:val="restart"/>
            <w:tcBorders>
              <w:tl2br w:val="nil"/>
              <w:tr2bl w:val="nil"/>
            </w:tcBorders>
            <w:noWrap w:val="0"/>
            <w:vAlign w:val="center"/>
          </w:tcPr>
          <w:p w14:paraId="55851D3D">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有组织</w:t>
            </w:r>
          </w:p>
        </w:tc>
        <w:tc>
          <w:tcPr>
            <w:tcW w:w="271" w:type="pct"/>
            <w:vMerge w:val="restart"/>
            <w:tcBorders>
              <w:tl2br w:val="nil"/>
              <w:tr2bl w:val="nil"/>
            </w:tcBorders>
            <w:noWrap w:val="0"/>
            <w:vAlign w:val="center"/>
          </w:tcPr>
          <w:p w14:paraId="0CBC1651">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30000</w:t>
            </w:r>
          </w:p>
        </w:tc>
        <w:tc>
          <w:tcPr>
            <w:tcW w:w="357" w:type="pct"/>
            <w:tcBorders>
              <w:tl2br w:val="nil"/>
              <w:tr2bl w:val="nil"/>
            </w:tcBorders>
            <w:noWrap w:val="0"/>
            <w:vAlign w:val="center"/>
          </w:tcPr>
          <w:p w14:paraId="6261418E">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集气罩：90%</w:t>
            </w:r>
          </w:p>
        </w:tc>
        <w:tc>
          <w:tcPr>
            <w:tcW w:w="266" w:type="pct"/>
            <w:vMerge w:val="restart"/>
            <w:tcBorders>
              <w:tl2br w:val="nil"/>
              <w:tr2bl w:val="nil"/>
            </w:tcBorders>
            <w:noWrap w:val="0"/>
            <w:vAlign w:val="center"/>
          </w:tcPr>
          <w:p w14:paraId="545D808A">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1#袋式除尘</w:t>
            </w:r>
          </w:p>
        </w:tc>
        <w:tc>
          <w:tcPr>
            <w:tcW w:w="200" w:type="pct"/>
            <w:vMerge w:val="restart"/>
            <w:tcBorders>
              <w:tl2br w:val="nil"/>
              <w:tr2bl w:val="nil"/>
            </w:tcBorders>
            <w:noWrap w:val="0"/>
            <w:vAlign w:val="center"/>
          </w:tcPr>
          <w:p w14:paraId="2C9B86B6">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92</w:t>
            </w:r>
          </w:p>
        </w:tc>
        <w:tc>
          <w:tcPr>
            <w:tcW w:w="415" w:type="pct"/>
            <w:vMerge w:val="restart"/>
            <w:tcBorders>
              <w:tl2br w:val="nil"/>
              <w:tr2bl w:val="nil"/>
            </w:tcBorders>
            <w:noWrap w:val="0"/>
            <w:vAlign w:val="center"/>
          </w:tcPr>
          <w:p w14:paraId="4C6AA340">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是</w:t>
            </w:r>
          </w:p>
        </w:tc>
        <w:tc>
          <w:tcPr>
            <w:tcW w:w="305" w:type="pct"/>
            <w:vMerge w:val="restart"/>
            <w:tcBorders>
              <w:tl2br w:val="nil"/>
              <w:tr2bl w:val="nil"/>
            </w:tcBorders>
            <w:noWrap w:val="0"/>
            <w:vAlign w:val="center"/>
          </w:tcPr>
          <w:p w14:paraId="264F6D92">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11</w:t>
            </w:r>
          </w:p>
        </w:tc>
        <w:tc>
          <w:tcPr>
            <w:tcW w:w="487" w:type="pct"/>
            <w:vMerge w:val="restart"/>
            <w:tcBorders>
              <w:tl2br w:val="nil"/>
              <w:tr2bl w:val="nil"/>
            </w:tcBorders>
            <w:noWrap w:val="0"/>
            <w:vAlign w:val="center"/>
          </w:tcPr>
          <w:p w14:paraId="20F1AA3B">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0.329</w:t>
            </w:r>
          </w:p>
        </w:tc>
        <w:tc>
          <w:tcPr>
            <w:tcW w:w="355" w:type="pct"/>
            <w:vMerge w:val="restart"/>
            <w:tcBorders>
              <w:tl2br w:val="nil"/>
              <w:tr2bl w:val="nil"/>
            </w:tcBorders>
            <w:noWrap w:val="0"/>
            <w:vAlign w:val="center"/>
          </w:tcPr>
          <w:p w14:paraId="34633C55">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2.37</w:t>
            </w:r>
          </w:p>
        </w:tc>
      </w:tr>
      <w:tr w14:paraId="6A72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61" w:type="pct"/>
            <w:vMerge w:val="continue"/>
            <w:tcBorders>
              <w:tl2br w:val="nil"/>
              <w:tr2bl w:val="nil"/>
            </w:tcBorders>
            <w:noWrap w:val="0"/>
            <w:vAlign w:val="center"/>
          </w:tcPr>
          <w:p w14:paraId="062086DF">
            <w:pPr>
              <w:adjustRightInd w:val="0"/>
              <w:snapToGrid w:val="0"/>
              <w:jc w:val="center"/>
              <w:rPr>
                <w:rFonts w:ascii="Times New Roman" w:hAnsi="Times New Roman"/>
                <w:color w:val="auto"/>
                <w:kern w:val="0"/>
                <w:szCs w:val="21"/>
              </w:rPr>
            </w:pPr>
          </w:p>
        </w:tc>
        <w:tc>
          <w:tcPr>
            <w:tcW w:w="544" w:type="pct"/>
            <w:vMerge w:val="continue"/>
            <w:tcBorders>
              <w:tl2br w:val="nil"/>
              <w:tr2bl w:val="nil"/>
            </w:tcBorders>
            <w:shd w:val="clear" w:color="auto" w:fill="auto"/>
            <w:noWrap w:val="0"/>
            <w:vAlign w:val="center"/>
          </w:tcPr>
          <w:p w14:paraId="2D231810">
            <w:pPr>
              <w:adjustRightInd w:val="0"/>
              <w:snapToGrid w:val="0"/>
              <w:jc w:val="center"/>
              <w:rPr>
                <w:rFonts w:hint="default" w:ascii="Times New Roman" w:hAnsi="Times New Roman" w:eastAsia="宋体" w:cs="Times New Roman"/>
                <w:color w:val="auto"/>
                <w:kern w:val="0"/>
                <w:sz w:val="21"/>
                <w:szCs w:val="21"/>
                <w:lang w:val="en-US" w:eastAsia="zh-CN" w:bidi="ar-SA"/>
              </w:rPr>
            </w:pPr>
          </w:p>
        </w:tc>
        <w:tc>
          <w:tcPr>
            <w:tcW w:w="409" w:type="pct"/>
            <w:vMerge w:val="continue"/>
            <w:tcBorders>
              <w:tl2br w:val="nil"/>
              <w:tr2bl w:val="nil"/>
            </w:tcBorders>
            <w:shd w:val="clear" w:color="auto" w:fill="auto"/>
            <w:noWrap w:val="0"/>
            <w:vAlign w:val="center"/>
          </w:tcPr>
          <w:p w14:paraId="1CB87AAA">
            <w:pPr>
              <w:adjustRightInd w:val="0"/>
              <w:snapToGrid w:val="0"/>
              <w:jc w:val="center"/>
              <w:rPr>
                <w:rFonts w:hint="default" w:ascii="Times New Roman" w:hAnsi="Times New Roman" w:eastAsia="宋体" w:cs="Times New Roman"/>
                <w:bCs/>
                <w:color w:val="auto"/>
                <w:kern w:val="2"/>
                <w:sz w:val="21"/>
                <w:szCs w:val="21"/>
                <w:lang w:val="en-US" w:eastAsia="zh-CN" w:bidi="ar-SA"/>
              </w:rPr>
            </w:pPr>
          </w:p>
        </w:tc>
        <w:tc>
          <w:tcPr>
            <w:tcW w:w="282" w:type="pct"/>
            <w:vMerge w:val="continue"/>
            <w:tcBorders>
              <w:tl2br w:val="nil"/>
              <w:tr2bl w:val="nil"/>
            </w:tcBorders>
            <w:shd w:val="clear" w:color="auto" w:fill="auto"/>
            <w:noWrap w:val="0"/>
            <w:vAlign w:val="center"/>
          </w:tcPr>
          <w:p w14:paraId="35C1F2D2">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92" w:type="pct"/>
            <w:vMerge w:val="continue"/>
            <w:tcBorders>
              <w:tl2br w:val="nil"/>
              <w:tr2bl w:val="nil"/>
            </w:tcBorders>
            <w:shd w:val="clear" w:color="auto" w:fill="auto"/>
            <w:noWrap w:val="0"/>
            <w:vAlign w:val="center"/>
          </w:tcPr>
          <w:p w14:paraId="4C82C040">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01" w:type="pct"/>
            <w:vMerge w:val="continue"/>
            <w:tcBorders>
              <w:tl2br w:val="nil"/>
              <w:tr2bl w:val="nil"/>
            </w:tcBorders>
            <w:shd w:val="clear" w:color="auto" w:fill="auto"/>
            <w:noWrap w:val="0"/>
            <w:vAlign w:val="center"/>
          </w:tcPr>
          <w:p w14:paraId="7ACB224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p>
        </w:tc>
        <w:tc>
          <w:tcPr>
            <w:tcW w:w="248" w:type="pct"/>
            <w:vMerge w:val="continue"/>
            <w:tcBorders>
              <w:tl2br w:val="nil"/>
              <w:tr2bl w:val="nil"/>
            </w:tcBorders>
            <w:shd w:val="clear" w:color="auto" w:fill="auto"/>
            <w:noWrap w:val="0"/>
            <w:vAlign w:val="center"/>
          </w:tcPr>
          <w:p w14:paraId="0D59BE46">
            <w:pPr>
              <w:pStyle w:val="82"/>
              <w:jc w:val="center"/>
              <w:rPr>
                <w:rFonts w:hint="eastAsia" w:ascii="Times New Roman" w:hAnsi="Times New Roman" w:eastAsia="宋体" w:cs="Times New Roman"/>
                <w:color w:val="auto"/>
                <w:kern w:val="2"/>
                <w:sz w:val="21"/>
                <w:szCs w:val="21"/>
                <w:highlight w:val="none"/>
                <w:lang w:val="en-US" w:eastAsia="zh-CN" w:bidi="ar-SA"/>
              </w:rPr>
            </w:pPr>
          </w:p>
        </w:tc>
        <w:tc>
          <w:tcPr>
            <w:tcW w:w="271" w:type="pct"/>
            <w:vMerge w:val="continue"/>
            <w:tcBorders>
              <w:tl2br w:val="nil"/>
              <w:tr2bl w:val="nil"/>
            </w:tcBorders>
            <w:shd w:val="clear" w:color="auto" w:fill="auto"/>
            <w:noWrap w:val="0"/>
            <w:vAlign w:val="center"/>
          </w:tcPr>
          <w:p w14:paraId="1BBC1DC0">
            <w:pPr>
              <w:pStyle w:val="82"/>
              <w:jc w:val="center"/>
              <w:rPr>
                <w:rFonts w:hint="default" w:ascii="Times New Roman" w:hAnsi="Times New Roman" w:eastAsia="宋体" w:cs="Times New Roman"/>
                <w:color w:val="auto"/>
                <w:kern w:val="2"/>
                <w:sz w:val="21"/>
                <w:szCs w:val="21"/>
                <w:highlight w:val="none"/>
                <w:lang w:val="en-US" w:eastAsia="zh-CN" w:bidi="ar-SA"/>
              </w:rPr>
            </w:pPr>
          </w:p>
        </w:tc>
        <w:tc>
          <w:tcPr>
            <w:tcW w:w="357" w:type="pct"/>
            <w:tcBorders>
              <w:tl2br w:val="nil"/>
              <w:tr2bl w:val="nil"/>
            </w:tcBorders>
            <w:shd w:val="clear" w:color="auto" w:fill="auto"/>
            <w:noWrap w:val="0"/>
            <w:vAlign w:val="center"/>
          </w:tcPr>
          <w:p w14:paraId="2D0B5352">
            <w:pPr>
              <w:pStyle w:val="82"/>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lang w:val="en-US" w:eastAsia="zh-CN"/>
              </w:rPr>
              <w:t>密闭机体：</w:t>
            </w:r>
            <w:r>
              <w:rPr>
                <w:rFonts w:hint="eastAsia" w:cs="Times New Roman"/>
                <w:color w:val="auto"/>
                <w:kern w:val="2"/>
                <w:sz w:val="21"/>
                <w:szCs w:val="21"/>
                <w:highlight w:val="none"/>
                <w:lang w:val="en-US" w:eastAsia="zh-CN" w:bidi="ar-SA"/>
              </w:rPr>
              <w:t>100</w:t>
            </w:r>
          </w:p>
        </w:tc>
        <w:tc>
          <w:tcPr>
            <w:tcW w:w="266" w:type="pct"/>
            <w:vMerge w:val="continue"/>
            <w:tcBorders>
              <w:tl2br w:val="nil"/>
              <w:tr2bl w:val="nil"/>
            </w:tcBorders>
            <w:shd w:val="clear" w:color="auto" w:fill="auto"/>
            <w:noWrap w:val="0"/>
            <w:vAlign w:val="center"/>
          </w:tcPr>
          <w:p w14:paraId="38368E4E">
            <w:pPr>
              <w:pStyle w:val="82"/>
              <w:jc w:val="center"/>
              <w:rPr>
                <w:rFonts w:hint="default" w:ascii="Times New Roman" w:hAnsi="Times New Roman" w:eastAsia="宋体" w:cs="Times New Roman"/>
                <w:color w:val="auto"/>
                <w:kern w:val="2"/>
                <w:sz w:val="21"/>
                <w:szCs w:val="21"/>
                <w:highlight w:val="none"/>
                <w:lang w:val="en-US" w:eastAsia="zh-CN" w:bidi="ar-SA"/>
              </w:rPr>
            </w:pPr>
          </w:p>
        </w:tc>
        <w:tc>
          <w:tcPr>
            <w:tcW w:w="200" w:type="pct"/>
            <w:vMerge w:val="continue"/>
            <w:tcBorders>
              <w:tl2br w:val="nil"/>
              <w:tr2bl w:val="nil"/>
            </w:tcBorders>
            <w:shd w:val="clear" w:color="auto" w:fill="auto"/>
            <w:noWrap w:val="0"/>
            <w:vAlign w:val="center"/>
          </w:tcPr>
          <w:p w14:paraId="5DB708EA">
            <w:pPr>
              <w:pStyle w:val="82"/>
              <w:jc w:val="center"/>
              <w:rPr>
                <w:rFonts w:hint="default" w:ascii="Times New Roman" w:hAnsi="Times New Roman" w:eastAsia="宋体" w:cs="Times New Roman"/>
                <w:color w:val="auto"/>
                <w:kern w:val="2"/>
                <w:sz w:val="21"/>
                <w:szCs w:val="21"/>
                <w:highlight w:val="none"/>
                <w:lang w:val="en-US" w:eastAsia="zh-CN" w:bidi="ar-SA"/>
              </w:rPr>
            </w:pPr>
          </w:p>
        </w:tc>
        <w:tc>
          <w:tcPr>
            <w:tcW w:w="415" w:type="pct"/>
            <w:vMerge w:val="continue"/>
            <w:tcBorders>
              <w:tl2br w:val="nil"/>
              <w:tr2bl w:val="nil"/>
            </w:tcBorders>
            <w:noWrap w:val="0"/>
            <w:vAlign w:val="center"/>
          </w:tcPr>
          <w:p w14:paraId="7EC37E43">
            <w:pPr>
              <w:keepNext w:val="0"/>
              <w:keepLines w:val="0"/>
              <w:widowControl/>
              <w:suppressLineNumbers w:val="0"/>
              <w:jc w:val="center"/>
              <w:textAlignment w:val="center"/>
              <w:rPr>
                <w:rFonts w:hint="eastAsia"/>
                <w:color w:val="auto"/>
                <w:szCs w:val="21"/>
                <w:lang w:val="en-US" w:eastAsia="zh-CN"/>
              </w:rPr>
            </w:pPr>
          </w:p>
        </w:tc>
        <w:tc>
          <w:tcPr>
            <w:tcW w:w="305" w:type="pct"/>
            <w:vMerge w:val="continue"/>
            <w:tcBorders>
              <w:tl2br w:val="nil"/>
              <w:tr2bl w:val="nil"/>
            </w:tcBorders>
            <w:noWrap w:val="0"/>
            <w:vAlign w:val="center"/>
          </w:tcPr>
          <w:p w14:paraId="0C482341">
            <w:pPr>
              <w:keepNext w:val="0"/>
              <w:keepLines w:val="0"/>
              <w:widowControl/>
              <w:suppressLineNumbers w:val="0"/>
              <w:jc w:val="center"/>
              <w:textAlignment w:val="center"/>
              <w:rPr>
                <w:rFonts w:hint="default"/>
                <w:color w:val="auto"/>
                <w:szCs w:val="21"/>
                <w:lang w:val="en-US" w:eastAsia="zh-CN"/>
              </w:rPr>
            </w:pPr>
          </w:p>
        </w:tc>
        <w:tc>
          <w:tcPr>
            <w:tcW w:w="487" w:type="pct"/>
            <w:vMerge w:val="continue"/>
            <w:tcBorders>
              <w:tl2br w:val="nil"/>
              <w:tr2bl w:val="nil"/>
            </w:tcBorders>
            <w:noWrap w:val="0"/>
            <w:vAlign w:val="center"/>
          </w:tcPr>
          <w:p w14:paraId="7495114F">
            <w:pPr>
              <w:keepNext w:val="0"/>
              <w:keepLines w:val="0"/>
              <w:widowControl/>
              <w:suppressLineNumbers w:val="0"/>
              <w:jc w:val="center"/>
              <w:textAlignment w:val="center"/>
              <w:rPr>
                <w:rFonts w:hint="eastAsia"/>
                <w:color w:val="auto"/>
                <w:szCs w:val="21"/>
                <w:lang w:val="en-US" w:eastAsia="zh-CN"/>
              </w:rPr>
            </w:pPr>
          </w:p>
        </w:tc>
        <w:tc>
          <w:tcPr>
            <w:tcW w:w="355" w:type="pct"/>
            <w:vMerge w:val="continue"/>
            <w:tcBorders>
              <w:tl2br w:val="nil"/>
              <w:tr2bl w:val="nil"/>
            </w:tcBorders>
            <w:noWrap w:val="0"/>
            <w:vAlign w:val="center"/>
          </w:tcPr>
          <w:p w14:paraId="2C1D4586">
            <w:pPr>
              <w:keepNext w:val="0"/>
              <w:keepLines w:val="0"/>
              <w:widowControl/>
              <w:suppressLineNumbers w:val="0"/>
              <w:jc w:val="center"/>
              <w:textAlignment w:val="center"/>
              <w:rPr>
                <w:rFonts w:hint="default"/>
                <w:color w:val="auto"/>
                <w:szCs w:val="21"/>
                <w:lang w:val="en-US" w:eastAsia="zh-CN"/>
              </w:rPr>
            </w:pPr>
          </w:p>
        </w:tc>
      </w:tr>
      <w:tr w14:paraId="4F9B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53EF1794">
            <w:pPr>
              <w:adjustRightInd w:val="0"/>
              <w:snapToGrid w:val="0"/>
              <w:jc w:val="center"/>
              <w:rPr>
                <w:rFonts w:ascii="Times New Roman" w:hAnsi="Times New Roman"/>
                <w:color w:val="auto"/>
                <w:kern w:val="0"/>
                <w:szCs w:val="21"/>
              </w:rPr>
            </w:pPr>
          </w:p>
        </w:tc>
        <w:tc>
          <w:tcPr>
            <w:tcW w:w="544" w:type="pct"/>
            <w:vMerge w:val="restart"/>
            <w:tcBorders>
              <w:tl2br w:val="nil"/>
              <w:tr2bl w:val="nil"/>
            </w:tcBorders>
            <w:shd w:val="clear" w:color="auto" w:fill="auto"/>
            <w:noWrap w:val="0"/>
            <w:vAlign w:val="center"/>
          </w:tcPr>
          <w:p w14:paraId="767D0543">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天然气燃烧</w:t>
            </w:r>
          </w:p>
        </w:tc>
        <w:tc>
          <w:tcPr>
            <w:tcW w:w="409" w:type="pct"/>
            <w:tcBorders>
              <w:tl2br w:val="nil"/>
              <w:tr2bl w:val="nil"/>
            </w:tcBorders>
            <w:shd w:val="clear" w:color="auto" w:fill="auto"/>
            <w:noWrap w:val="0"/>
            <w:vAlign w:val="center"/>
          </w:tcPr>
          <w:p w14:paraId="133687B5">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颗粒物</w:t>
            </w:r>
          </w:p>
        </w:tc>
        <w:tc>
          <w:tcPr>
            <w:tcW w:w="282" w:type="pct"/>
            <w:tcBorders>
              <w:tl2br w:val="nil"/>
              <w:tr2bl w:val="nil"/>
            </w:tcBorders>
            <w:shd w:val="clear" w:color="auto" w:fill="auto"/>
            <w:noWrap w:val="0"/>
            <w:vAlign w:val="center"/>
          </w:tcPr>
          <w:p w14:paraId="7DE7E6BF">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2.52</w:t>
            </w:r>
          </w:p>
        </w:tc>
        <w:tc>
          <w:tcPr>
            <w:tcW w:w="392" w:type="pct"/>
            <w:tcBorders>
              <w:tl2br w:val="nil"/>
              <w:tr2bl w:val="nil"/>
            </w:tcBorders>
            <w:shd w:val="clear" w:color="auto" w:fill="auto"/>
            <w:noWrap w:val="0"/>
            <w:vAlign w:val="center"/>
          </w:tcPr>
          <w:p w14:paraId="1D7E11AB">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0.0126</w:t>
            </w:r>
          </w:p>
        </w:tc>
        <w:tc>
          <w:tcPr>
            <w:tcW w:w="301" w:type="pct"/>
            <w:tcBorders>
              <w:tl2br w:val="nil"/>
              <w:tr2bl w:val="nil"/>
            </w:tcBorders>
            <w:shd w:val="clear" w:color="auto" w:fill="auto"/>
            <w:noWrap w:val="0"/>
            <w:vAlign w:val="center"/>
          </w:tcPr>
          <w:p w14:paraId="5D067A2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highlight w:val="none"/>
                <w:lang w:val="en-US" w:eastAsia="zh-CN"/>
              </w:rPr>
              <w:t>0.091</w:t>
            </w:r>
          </w:p>
        </w:tc>
        <w:tc>
          <w:tcPr>
            <w:tcW w:w="248" w:type="pct"/>
            <w:vMerge w:val="continue"/>
            <w:tcBorders>
              <w:tl2br w:val="nil"/>
              <w:tr2bl w:val="nil"/>
            </w:tcBorders>
            <w:shd w:val="clear" w:color="auto" w:fill="auto"/>
            <w:noWrap w:val="0"/>
            <w:vAlign w:val="center"/>
          </w:tcPr>
          <w:p w14:paraId="43C57AD5">
            <w:pPr>
              <w:pStyle w:val="82"/>
              <w:jc w:val="center"/>
              <w:rPr>
                <w:rFonts w:ascii="Times New Roman" w:hAnsi="Times New Roman" w:eastAsia="宋体" w:cs="Times New Roman"/>
                <w:color w:val="auto"/>
                <w:szCs w:val="21"/>
                <w:highlight w:val="none"/>
              </w:rPr>
            </w:pPr>
          </w:p>
        </w:tc>
        <w:tc>
          <w:tcPr>
            <w:tcW w:w="271" w:type="pct"/>
            <w:vMerge w:val="restart"/>
            <w:tcBorders>
              <w:tl2br w:val="nil"/>
              <w:tr2bl w:val="nil"/>
            </w:tcBorders>
            <w:shd w:val="clear" w:color="auto" w:fill="auto"/>
            <w:noWrap w:val="0"/>
            <w:vAlign w:val="center"/>
          </w:tcPr>
          <w:p w14:paraId="5B308C3F">
            <w:pPr>
              <w:pStyle w:val="82"/>
              <w:jc w:val="center"/>
              <w:rPr>
                <w:rFonts w:hint="default"/>
                <w:color w:val="auto"/>
                <w:szCs w:val="21"/>
                <w:lang w:val="en-US" w:eastAsia="zh-CN"/>
              </w:rPr>
            </w:pPr>
            <w:r>
              <w:rPr>
                <w:rFonts w:hint="eastAsia"/>
                <w:color w:val="auto"/>
                <w:szCs w:val="21"/>
                <w:lang w:val="en-US" w:eastAsia="zh-CN"/>
              </w:rPr>
              <w:t>5000</w:t>
            </w:r>
          </w:p>
        </w:tc>
        <w:tc>
          <w:tcPr>
            <w:tcW w:w="357" w:type="pct"/>
            <w:vMerge w:val="restart"/>
            <w:tcBorders>
              <w:tl2br w:val="nil"/>
              <w:tr2bl w:val="nil"/>
            </w:tcBorders>
            <w:shd w:val="clear" w:color="auto" w:fill="auto"/>
            <w:noWrap w:val="0"/>
            <w:vAlign w:val="center"/>
          </w:tcPr>
          <w:p w14:paraId="6E4B6CCE">
            <w:pPr>
              <w:pStyle w:val="82"/>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100</w:t>
            </w:r>
          </w:p>
        </w:tc>
        <w:tc>
          <w:tcPr>
            <w:tcW w:w="266" w:type="pct"/>
            <w:vMerge w:val="restart"/>
            <w:tcBorders>
              <w:tl2br w:val="nil"/>
              <w:tr2bl w:val="nil"/>
            </w:tcBorders>
            <w:shd w:val="clear" w:color="auto" w:fill="auto"/>
            <w:noWrap w:val="0"/>
            <w:vAlign w:val="center"/>
          </w:tcPr>
          <w:p w14:paraId="0A94EB0F">
            <w:pPr>
              <w:pStyle w:val="82"/>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200" w:type="pct"/>
            <w:vMerge w:val="restart"/>
            <w:tcBorders>
              <w:tl2br w:val="nil"/>
              <w:tr2bl w:val="nil"/>
            </w:tcBorders>
            <w:shd w:val="clear" w:color="auto" w:fill="auto"/>
            <w:noWrap w:val="0"/>
            <w:vAlign w:val="center"/>
          </w:tcPr>
          <w:p w14:paraId="7C104CC2">
            <w:pPr>
              <w:pStyle w:val="82"/>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15" w:type="pct"/>
            <w:vMerge w:val="restart"/>
            <w:tcBorders>
              <w:tl2br w:val="nil"/>
              <w:tr2bl w:val="nil"/>
            </w:tcBorders>
            <w:noWrap w:val="0"/>
            <w:vAlign w:val="center"/>
          </w:tcPr>
          <w:p w14:paraId="3538848D">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是</w:t>
            </w:r>
          </w:p>
        </w:tc>
        <w:tc>
          <w:tcPr>
            <w:tcW w:w="305" w:type="pct"/>
            <w:tcBorders>
              <w:tl2br w:val="nil"/>
              <w:tr2bl w:val="nil"/>
            </w:tcBorders>
            <w:noWrap w:val="0"/>
            <w:vAlign w:val="center"/>
          </w:tcPr>
          <w:p w14:paraId="51D1A37C">
            <w:pPr>
              <w:keepNext w:val="0"/>
              <w:keepLines w:val="0"/>
              <w:widowControl/>
              <w:suppressLineNumbers w:val="0"/>
              <w:jc w:val="center"/>
              <w:textAlignment w:val="center"/>
              <w:rPr>
                <w:rFonts w:hint="default"/>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2.52</w:t>
            </w:r>
          </w:p>
        </w:tc>
        <w:tc>
          <w:tcPr>
            <w:tcW w:w="487" w:type="pct"/>
            <w:tcBorders>
              <w:tl2br w:val="nil"/>
              <w:tr2bl w:val="nil"/>
            </w:tcBorders>
            <w:noWrap w:val="0"/>
            <w:vAlign w:val="center"/>
          </w:tcPr>
          <w:p w14:paraId="631FD4DD">
            <w:pPr>
              <w:keepNext w:val="0"/>
              <w:keepLines w:val="0"/>
              <w:widowControl/>
              <w:suppressLineNumbers w:val="0"/>
              <w:jc w:val="center"/>
              <w:textAlignment w:val="center"/>
              <w:rPr>
                <w:rFonts w:hint="eastAsia"/>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0.0126</w:t>
            </w:r>
          </w:p>
        </w:tc>
        <w:tc>
          <w:tcPr>
            <w:tcW w:w="355" w:type="pct"/>
            <w:tcBorders>
              <w:tl2br w:val="nil"/>
              <w:tr2bl w:val="nil"/>
            </w:tcBorders>
            <w:noWrap w:val="0"/>
            <w:vAlign w:val="center"/>
          </w:tcPr>
          <w:p w14:paraId="69A803DF">
            <w:pPr>
              <w:keepNext w:val="0"/>
              <w:keepLines w:val="0"/>
              <w:widowControl/>
              <w:suppressLineNumbers w:val="0"/>
              <w:jc w:val="center"/>
              <w:textAlignment w:val="center"/>
              <w:rPr>
                <w:rFonts w:hint="default"/>
                <w:color w:val="auto"/>
                <w:szCs w:val="21"/>
                <w:lang w:val="en-US" w:eastAsia="zh-CN"/>
              </w:rPr>
            </w:pPr>
            <w:r>
              <w:rPr>
                <w:rFonts w:hint="default" w:ascii="Times New Roman" w:hAnsi="Times New Roman" w:cs="Times New Roman"/>
                <w:color w:val="auto"/>
                <w:szCs w:val="21"/>
                <w:highlight w:val="none"/>
                <w:lang w:val="en-US" w:eastAsia="zh-CN"/>
              </w:rPr>
              <w:t>0.091</w:t>
            </w:r>
          </w:p>
        </w:tc>
      </w:tr>
      <w:tr w14:paraId="2A89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4D8A82EA">
            <w:pPr>
              <w:adjustRightInd w:val="0"/>
              <w:snapToGrid w:val="0"/>
              <w:jc w:val="center"/>
              <w:rPr>
                <w:rFonts w:ascii="Times New Roman" w:hAnsi="Times New Roman"/>
                <w:color w:val="auto"/>
                <w:kern w:val="0"/>
                <w:szCs w:val="21"/>
              </w:rPr>
            </w:pPr>
          </w:p>
        </w:tc>
        <w:tc>
          <w:tcPr>
            <w:tcW w:w="544" w:type="pct"/>
            <w:vMerge w:val="continue"/>
            <w:tcBorders>
              <w:tl2br w:val="nil"/>
              <w:tr2bl w:val="nil"/>
            </w:tcBorders>
            <w:shd w:val="clear" w:color="auto" w:fill="auto"/>
            <w:noWrap w:val="0"/>
            <w:vAlign w:val="center"/>
          </w:tcPr>
          <w:p w14:paraId="0819DFCE">
            <w:pPr>
              <w:adjustRightInd w:val="0"/>
              <w:snapToGrid w:val="0"/>
              <w:jc w:val="center"/>
              <w:rPr>
                <w:rFonts w:hint="eastAsia" w:cs="Times New Roman"/>
                <w:color w:val="auto"/>
                <w:kern w:val="0"/>
                <w:sz w:val="21"/>
                <w:szCs w:val="21"/>
                <w:lang w:val="en-US" w:eastAsia="zh-CN" w:bidi="ar-SA"/>
              </w:rPr>
            </w:pPr>
          </w:p>
        </w:tc>
        <w:tc>
          <w:tcPr>
            <w:tcW w:w="409" w:type="pct"/>
            <w:tcBorders>
              <w:tl2br w:val="nil"/>
              <w:tr2bl w:val="nil"/>
            </w:tcBorders>
            <w:shd w:val="clear" w:color="auto" w:fill="auto"/>
            <w:noWrap w:val="0"/>
            <w:vAlign w:val="center"/>
          </w:tcPr>
          <w:p w14:paraId="20289684">
            <w:pPr>
              <w:adjustRightInd w:val="0"/>
              <w:snapToGrid w:val="0"/>
              <w:jc w:val="center"/>
              <w:rPr>
                <w:rFonts w:hint="default"/>
                <w:bCs/>
                <w:color w:val="auto"/>
                <w:szCs w:val="21"/>
                <w:lang w:val="en-US" w:eastAsia="zh-CN"/>
              </w:rPr>
            </w:pPr>
            <w:r>
              <w:rPr>
                <w:rFonts w:hint="eastAsia"/>
                <w:bCs/>
                <w:color w:val="auto"/>
                <w:szCs w:val="21"/>
                <w:lang w:val="en-US" w:eastAsia="zh-CN"/>
              </w:rPr>
              <w:t>二氧化硫</w:t>
            </w:r>
          </w:p>
        </w:tc>
        <w:tc>
          <w:tcPr>
            <w:tcW w:w="282" w:type="pct"/>
            <w:tcBorders>
              <w:tl2br w:val="nil"/>
              <w:tr2bl w:val="nil"/>
            </w:tcBorders>
            <w:shd w:val="clear" w:color="auto" w:fill="auto"/>
            <w:noWrap w:val="0"/>
            <w:vAlign w:val="center"/>
          </w:tcPr>
          <w:p w14:paraId="118062E5">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2.52</w:t>
            </w:r>
          </w:p>
        </w:tc>
        <w:tc>
          <w:tcPr>
            <w:tcW w:w="392" w:type="pct"/>
            <w:tcBorders>
              <w:tl2br w:val="nil"/>
              <w:tr2bl w:val="nil"/>
            </w:tcBorders>
            <w:shd w:val="clear" w:color="auto" w:fill="auto"/>
            <w:noWrap w:val="0"/>
            <w:vAlign w:val="center"/>
          </w:tcPr>
          <w:p w14:paraId="62E43C8B">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0.0126</w:t>
            </w:r>
          </w:p>
        </w:tc>
        <w:tc>
          <w:tcPr>
            <w:tcW w:w="301" w:type="pct"/>
            <w:tcBorders>
              <w:tl2br w:val="nil"/>
              <w:tr2bl w:val="nil"/>
            </w:tcBorders>
            <w:shd w:val="clear" w:color="auto" w:fill="auto"/>
            <w:noWrap w:val="0"/>
            <w:vAlign w:val="center"/>
          </w:tcPr>
          <w:p w14:paraId="4ABAB0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Cs w:val="21"/>
                <w:highlight w:val="none"/>
                <w:lang w:val="en-US" w:eastAsia="zh-CN"/>
              </w:rPr>
              <w:t>0.091</w:t>
            </w:r>
          </w:p>
        </w:tc>
        <w:tc>
          <w:tcPr>
            <w:tcW w:w="248" w:type="pct"/>
            <w:vMerge w:val="continue"/>
            <w:tcBorders>
              <w:tl2br w:val="nil"/>
              <w:tr2bl w:val="nil"/>
            </w:tcBorders>
            <w:shd w:val="clear" w:color="auto" w:fill="auto"/>
            <w:noWrap w:val="0"/>
            <w:vAlign w:val="center"/>
          </w:tcPr>
          <w:p w14:paraId="15460D31">
            <w:pPr>
              <w:pStyle w:val="82"/>
              <w:jc w:val="center"/>
              <w:rPr>
                <w:rFonts w:ascii="Times New Roman" w:hAnsi="Times New Roman" w:eastAsia="宋体" w:cs="Times New Roman"/>
                <w:color w:val="auto"/>
                <w:szCs w:val="21"/>
                <w:highlight w:val="none"/>
              </w:rPr>
            </w:pPr>
          </w:p>
        </w:tc>
        <w:tc>
          <w:tcPr>
            <w:tcW w:w="271" w:type="pct"/>
            <w:vMerge w:val="continue"/>
            <w:tcBorders>
              <w:tl2br w:val="nil"/>
              <w:tr2bl w:val="nil"/>
            </w:tcBorders>
            <w:shd w:val="clear" w:color="auto" w:fill="auto"/>
            <w:noWrap w:val="0"/>
            <w:vAlign w:val="center"/>
          </w:tcPr>
          <w:p w14:paraId="2092EC18">
            <w:pPr>
              <w:pStyle w:val="82"/>
              <w:jc w:val="center"/>
              <w:rPr>
                <w:rFonts w:hint="eastAsia"/>
                <w:color w:val="auto"/>
                <w:szCs w:val="21"/>
                <w:lang w:val="en-US" w:eastAsia="zh-CN"/>
              </w:rPr>
            </w:pPr>
          </w:p>
        </w:tc>
        <w:tc>
          <w:tcPr>
            <w:tcW w:w="357" w:type="pct"/>
            <w:vMerge w:val="continue"/>
            <w:tcBorders>
              <w:tl2br w:val="nil"/>
              <w:tr2bl w:val="nil"/>
            </w:tcBorders>
            <w:shd w:val="clear" w:color="auto" w:fill="auto"/>
            <w:noWrap w:val="0"/>
            <w:vAlign w:val="center"/>
          </w:tcPr>
          <w:p w14:paraId="347BF376">
            <w:pPr>
              <w:pStyle w:val="82"/>
              <w:jc w:val="center"/>
              <w:rPr>
                <w:rFonts w:hint="eastAsia" w:cs="Times New Roman"/>
                <w:color w:val="auto"/>
                <w:kern w:val="2"/>
                <w:sz w:val="21"/>
                <w:szCs w:val="21"/>
                <w:highlight w:val="none"/>
                <w:lang w:val="en-US" w:eastAsia="zh-CN" w:bidi="ar-SA"/>
              </w:rPr>
            </w:pPr>
          </w:p>
        </w:tc>
        <w:tc>
          <w:tcPr>
            <w:tcW w:w="266" w:type="pct"/>
            <w:vMerge w:val="continue"/>
            <w:tcBorders>
              <w:tl2br w:val="nil"/>
              <w:tr2bl w:val="nil"/>
            </w:tcBorders>
            <w:shd w:val="clear" w:color="auto" w:fill="auto"/>
            <w:noWrap w:val="0"/>
            <w:vAlign w:val="center"/>
          </w:tcPr>
          <w:p w14:paraId="66E52798">
            <w:pPr>
              <w:pStyle w:val="82"/>
              <w:jc w:val="center"/>
              <w:rPr>
                <w:rFonts w:hint="default" w:ascii="Times New Roman" w:hAnsi="Times New Roman" w:eastAsia="宋体" w:cs="Times New Roman"/>
                <w:color w:val="auto"/>
                <w:kern w:val="2"/>
                <w:sz w:val="21"/>
                <w:szCs w:val="21"/>
                <w:highlight w:val="none"/>
                <w:lang w:val="en-US" w:eastAsia="zh-CN" w:bidi="ar-SA"/>
              </w:rPr>
            </w:pPr>
          </w:p>
        </w:tc>
        <w:tc>
          <w:tcPr>
            <w:tcW w:w="200" w:type="pct"/>
            <w:vMerge w:val="continue"/>
            <w:tcBorders>
              <w:tl2br w:val="nil"/>
              <w:tr2bl w:val="nil"/>
            </w:tcBorders>
            <w:shd w:val="clear" w:color="auto" w:fill="auto"/>
            <w:noWrap w:val="0"/>
            <w:vAlign w:val="center"/>
          </w:tcPr>
          <w:p w14:paraId="7E6F05DE">
            <w:pPr>
              <w:pStyle w:val="82"/>
              <w:jc w:val="center"/>
              <w:rPr>
                <w:rFonts w:hint="default" w:ascii="Times New Roman" w:hAnsi="Times New Roman" w:eastAsia="宋体" w:cs="Times New Roman"/>
                <w:color w:val="auto"/>
                <w:kern w:val="2"/>
                <w:sz w:val="21"/>
                <w:szCs w:val="21"/>
                <w:highlight w:val="none"/>
                <w:lang w:val="en-US" w:eastAsia="zh-CN" w:bidi="ar-SA"/>
              </w:rPr>
            </w:pPr>
          </w:p>
        </w:tc>
        <w:tc>
          <w:tcPr>
            <w:tcW w:w="415" w:type="pct"/>
            <w:vMerge w:val="continue"/>
            <w:tcBorders>
              <w:tl2br w:val="nil"/>
              <w:tr2bl w:val="nil"/>
            </w:tcBorders>
            <w:noWrap w:val="0"/>
            <w:vAlign w:val="center"/>
          </w:tcPr>
          <w:p w14:paraId="11FE9A65">
            <w:pPr>
              <w:keepNext w:val="0"/>
              <w:keepLines w:val="0"/>
              <w:widowControl/>
              <w:suppressLineNumbers w:val="0"/>
              <w:jc w:val="center"/>
              <w:textAlignment w:val="center"/>
              <w:rPr>
                <w:rFonts w:hint="eastAsia"/>
                <w:color w:val="auto"/>
                <w:szCs w:val="21"/>
                <w:lang w:val="en-US" w:eastAsia="zh-CN"/>
              </w:rPr>
            </w:pPr>
          </w:p>
        </w:tc>
        <w:tc>
          <w:tcPr>
            <w:tcW w:w="305" w:type="pct"/>
            <w:tcBorders>
              <w:tl2br w:val="nil"/>
              <w:tr2bl w:val="nil"/>
            </w:tcBorders>
            <w:noWrap w:val="0"/>
            <w:vAlign w:val="center"/>
          </w:tcPr>
          <w:p w14:paraId="3CB65370">
            <w:pPr>
              <w:keepNext w:val="0"/>
              <w:keepLines w:val="0"/>
              <w:widowControl/>
              <w:suppressLineNumbers w:val="0"/>
              <w:jc w:val="center"/>
              <w:textAlignment w:val="center"/>
              <w:rPr>
                <w:rFonts w:hint="default"/>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2.52</w:t>
            </w:r>
          </w:p>
        </w:tc>
        <w:tc>
          <w:tcPr>
            <w:tcW w:w="487" w:type="pct"/>
            <w:tcBorders>
              <w:tl2br w:val="nil"/>
              <w:tr2bl w:val="nil"/>
            </w:tcBorders>
            <w:noWrap w:val="0"/>
            <w:vAlign w:val="center"/>
          </w:tcPr>
          <w:p w14:paraId="0E35FBD2">
            <w:pPr>
              <w:keepNext w:val="0"/>
              <w:keepLines w:val="0"/>
              <w:widowControl/>
              <w:suppressLineNumbers w:val="0"/>
              <w:jc w:val="center"/>
              <w:textAlignment w:val="center"/>
              <w:rPr>
                <w:rFonts w:hint="eastAsia"/>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0.0126</w:t>
            </w:r>
          </w:p>
        </w:tc>
        <w:tc>
          <w:tcPr>
            <w:tcW w:w="355" w:type="pct"/>
            <w:tcBorders>
              <w:tl2br w:val="nil"/>
              <w:tr2bl w:val="nil"/>
            </w:tcBorders>
            <w:noWrap w:val="0"/>
            <w:vAlign w:val="center"/>
          </w:tcPr>
          <w:p w14:paraId="3CBB108B">
            <w:pPr>
              <w:keepNext w:val="0"/>
              <w:keepLines w:val="0"/>
              <w:widowControl/>
              <w:suppressLineNumbers w:val="0"/>
              <w:jc w:val="center"/>
              <w:textAlignment w:val="center"/>
              <w:rPr>
                <w:rFonts w:hint="default"/>
                <w:color w:val="auto"/>
                <w:szCs w:val="21"/>
                <w:lang w:val="en-US" w:eastAsia="zh-CN"/>
              </w:rPr>
            </w:pPr>
            <w:r>
              <w:rPr>
                <w:rFonts w:hint="default" w:ascii="Times New Roman" w:hAnsi="Times New Roman" w:cs="Times New Roman"/>
                <w:color w:val="auto"/>
                <w:szCs w:val="21"/>
                <w:highlight w:val="none"/>
                <w:lang w:val="en-US" w:eastAsia="zh-CN"/>
              </w:rPr>
              <w:t>0.091</w:t>
            </w:r>
          </w:p>
        </w:tc>
      </w:tr>
      <w:tr w14:paraId="7A21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1357834C">
            <w:pPr>
              <w:adjustRightInd w:val="0"/>
              <w:snapToGrid w:val="0"/>
              <w:jc w:val="center"/>
              <w:rPr>
                <w:rFonts w:ascii="Times New Roman" w:hAnsi="Times New Roman"/>
                <w:color w:val="auto"/>
                <w:kern w:val="0"/>
                <w:szCs w:val="21"/>
              </w:rPr>
            </w:pPr>
          </w:p>
        </w:tc>
        <w:tc>
          <w:tcPr>
            <w:tcW w:w="544" w:type="pct"/>
            <w:vMerge w:val="continue"/>
            <w:tcBorders>
              <w:bottom w:val="single" w:color="000000" w:sz="4" w:space="0"/>
              <w:tl2br w:val="nil"/>
              <w:tr2bl w:val="nil"/>
            </w:tcBorders>
            <w:shd w:val="clear" w:color="auto" w:fill="auto"/>
            <w:noWrap w:val="0"/>
            <w:vAlign w:val="center"/>
          </w:tcPr>
          <w:p w14:paraId="0A6319F5">
            <w:pPr>
              <w:adjustRightInd w:val="0"/>
              <w:snapToGrid w:val="0"/>
              <w:jc w:val="center"/>
              <w:rPr>
                <w:rFonts w:hint="eastAsia" w:cs="Times New Roman"/>
                <w:color w:val="auto"/>
                <w:kern w:val="0"/>
                <w:sz w:val="21"/>
                <w:szCs w:val="21"/>
                <w:lang w:val="en-US" w:eastAsia="zh-CN" w:bidi="ar-SA"/>
              </w:rPr>
            </w:pPr>
          </w:p>
        </w:tc>
        <w:tc>
          <w:tcPr>
            <w:tcW w:w="409" w:type="pct"/>
            <w:tcBorders>
              <w:tl2br w:val="nil"/>
              <w:tr2bl w:val="nil"/>
            </w:tcBorders>
            <w:shd w:val="clear" w:color="auto" w:fill="auto"/>
            <w:noWrap w:val="0"/>
            <w:vAlign w:val="center"/>
          </w:tcPr>
          <w:p w14:paraId="5F9F1E0F">
            <w:pPr>
              <w:adjustRightInd w:val="0"/>
              <w:snapToGrid w:val="0"/>
              <w:jc w:val="center"/>
              <w:rPr>
                <w:rFonts w:hint="default"/>
                <w:bCs/>
                <w:color w:val="auto"/>
                <w:szCs w:val="21"/>
                <w:lang w:val="en-US" w:eastAsia="zh-CN"/>
              </w:rPr>
            </w:pPr>
            <w:r>
              <w:rPr>
                <w:rFonts w:hint="eastAsia"/>
                <w:bCs/>
                <w:color w:val="auto"/>
                <w:szCs w:val="21"/>
                <w:lang w:val="en-US" w:eastAsia="zh-CN"/>
              </w:rPr>
              <w:t>氮氧化物</w:t>
            </w:r>
          </w:p>
        </w:tc>
        <w:tc>
          <w:tcPr>
            <w:tcW w:w="282" w:type="pct"/>
            <w:tcBorders>
              <w:tl2br w:val="nil"/>
              <w:tr2bl w:val="nil"/>
            </w:tcBorders>
            <w:shd w:val="clear" w:color="auto" w:fill="auto"/>
            <w:noWrap w:val="0"/>
            <w:vAlign w:val="center"/>
          </w:tcPr>
          <w:p w14:paraId="20F08B2D">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19</w:t>
            </w:r>
          </w:p>
        </w:tc>
        <w:tc>
          <w:tcPr>
            <w:tcW w:w="392" w:type="pct"/>
            <w:tcBorders>
              <w:tl2br w:val="nil"/>
              <w:tr2bl w:val="nil"/>
            </w:tcBorders>
            <w:shd w:val="clear" w:color="auto" w:fill="auto"/>
            <w:noWrap w:val="0"/>
            <w:vAlign w:val="center"/>
          </w:tcPr>
          <w:p w14:paraId="6A31C304">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0.095</w:t>
            </w:r>
          </w:p>
        </w:tc>
        <w:tc>
          <w:tcPr>
            <w:tcW w:w="301" w:type="pct"/>
            <w:tcBorders>
              <w:tl2br w:val="nil"/>
              <w:tr2bl w:val="nil"/>
            </w:tcBorders>
            <w:shd w:val="clear" w:color="auto" w:fill="auto"/>
            <w:noWrap w:val="0"/>
            <w:vAlign w:val="center"/>
          </w:tcPr>
          <w:p w14:paraId="2EA8E83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Cs w:val="21"/>
                <w:highlight w:val="none"/>
                <w:lang w:val="en-US" w:eastAsia="zh-CN"/>
              </w:rPr>
              <w:t>0.685</w:t>
            </w:r>
          </w:p>
        </w:tc>
        <w:tc>
          <w:tcPr>
            <w:tcW w:w="248" w:type="pct"/>
            <w:vMerge w:val="continue"/>
            <w:tcBorders>
              <w:tl2br w:val="nil"/>
              <w:tr2bl w:val="nil"/>
            </w:tcBorders>
            <w:shd w:val="clear" w:color="auto" w:fill="auto"/>
            <w:noWrap w:val="0"/>
            <w:vAlign w:val="center"/>
          </w:tcPr>
          <w:p w14:paraId="074F3B0D">
            <w:pPr>
              <w:pStyle w:val="82"/>
              <w:jc w:val="center"/>
              <w:rPr>
                <w:rFonts w:ascii="Times New Roman" w:hAnsi="Times New Roman" w:eastAsia="宋体" w:cs="Times New Roman"/>
                <w:color w:val="auto"/>
                <w:szCs w:val="21"/>
                <w:highlight w:val="none"/>
              </w:rPr>
            </w:pPr>
          </w:p>
        </w:tc>
        <w:tc>
          <w:tcPr>
            <w:tcW w:w="271" w:type="pct"/>
            <w:vMerge w:val="continue"/>
            <w:tcBorders>
              <w:tl2br w:val="nil"/>
              <w:tr2bl w:val="nil"/>
            </w:tcBorders>
            <w:shd w:val="clear" w:color="auto" w:fill="auto"/>
            <w:noWrap w:val="0"/>
            <w:vAlign w:val="center"/>
          </w:tcPr>
          <w:p w14:paraId="7690CF69">
            <w:pPr>
              <w:pStyle w:val="82"/>
              <w:jc w:val="center"/>
              <w:rPr>
                <w:rFonts w:hint="eastAsia"/>
                <w:color w:val="auto"/>
                <w:szCs w:val="21"/>
                <w:lang w:val="en-US" w:eastAsia="zh-CN"/>
              </w:rPr>
            </w:pPr>
          </w:p>
        </w:tc>
        <w:tc>
          <w:tcPr>
            <w:tcW w:w="357" w:type="pct"/>
            <w:vMerge w:val="continue"/>
            <w:tcBorders>
              <w:tl2br w:val="nil"/>
              <w:tr2bl w:val="nil"/>
            </w:tcBorders>
            <w:shd w:val="clear" w:color="auto" w:fill="auto"/>
            <w:noWrap w:val="0"/>
            <w:vAlign w:val="center"/>
          </w:tcPr>
          <w:p w14:paraId="1EC1F094">
            <w:pPr>
              <w:pStyle w:val="82"/>
              <w:jc w:val="center"/>
              <w:rPr>
                <w:rFonts w:hint="eastAsia" w:cs="Times New Roman"/>
                <w:color w:val="auto"/>
                <w:kern w:val="2"/>
                <w:sz w:val="21"/>
                <w:szCs w:val="21"/>
                <w:highlight w:val="none"/>
                <w:lang w:val="en-US" w:eastAsia="zh-CN" w:bidi="ar-SA"/>
              </w:rPr>
            </w:pPr>
          </w:p>
        </w:tc>
        <w:tc>
          <w:tcPr>
            <w:tcW w:w="266" w:type="pct"/>
            <w:vMerge w:val="continue"/>
            <w:tcBorders>
              <w:tl2br w:val="nil"/>
              <w:tr2bl w:val="nil"/>
            </w:tcBorders>
            <w:shd w:val="clear" w:color="auto" w:fill="auto"/>
            <w:noWrap w:val="0"/>
            <w:vAlign w:val="center"/>
          </w:tcPr>
          <w:p w14:paraId="059D791C">
            <w:pPr>
              <w:pStyle w:val="82"/>
              <w:jc w:val="center"/>
              <w:rPr>
                <w:rFonts w:hint="default" w:ascii="Times New Roman" w:hAnsi="Times New Roman" w:eastAsia="宋体" w:cs="Times New Roman"/>
                <w:color w:val="auto"/>
                <w:kern w:val="2"/>
                <w:sz w:val="21"/>
                <w:szCs w:val="21"/>
                <w:highlight w:val="none"/>
                <w:lang w:val="en-US" w:eastAsia="zh-CN" w:bidi="ar-SA"/>
              </w:rPr>
            </w:pPr>
          </w:p>
        </w:tc>
        <w:tc>
          <w:tcPr>
            <w:tcW w:w="200" w:type="pct"/>
            <w:vMerge w:val="continue"/>
            <w:tcBorders>
              <w:tl2br w:val="nil"/>
              <w:tr2bl w:val="nil"/>
            </w:tcBorders>
            <w:shd w:val="clear" w:color="auto" w:fill="auto"/>
            <w:noWrap w:val="0"/>
            <w:vAlign w:val="center"/>
          </w:tcPr>
          <w:p w14:paraId="40AFA33A">
            <w:pPr>
              <w:pStyle w:val="82"/>
              <w:jc w:val="center"/>
              <w:rPr>
                <w:rFonts w:hint="default" w:ascii="Times New Roman" w:hAnsi="Times New Roman" w:eastAsia="宋体" w:cs="Times New Roman"/>
                <w:color w:val="auto"/>
                <w:kern w:val="2"/>
                <w:sz w:val="21"/>
                <w:szCs w:val="21"/>
                <w:highlight w:val="none"/>
                <w:lang w:val="en-US" w:eastAsia="zh-CN" w:bidi="ar-SA"/>
              </w:rPr>
            </w:pPr>
          </w:p>
        </w:tc>
        <w:tc>
          <w:tcPr>
            <w:tcW w:w="415" w:type="pct"/>
            <w:vMerge w:val="continue"/>
            <w:tcBorders>
              <w:tl2br w:val="nil"/>
              <w:tr2bl w:val="nil"/>
            </w:tcBorders>
            <w:noWrap w:val="0"/>
            <w:vAlign w:val="center"/>
          </w:tcPr>
          <w:p w14:paraId="711EE312">
            <w:pPr>
              <w:keepNext w:val="0"/>
              <w:keepLines w:val="0"/>
              <w:widowControl/>
              <w:suppressLineNumbers w:val="0"/>
              <w:jc w:val="center"/>
              <w:textAlignment w:val="center"/>
              <w:rPr>
                <w:rFonts w:hint="eastAsia"/>
                <w:color w:val="auto"/>
                <w:szCs w:val="21"/>
                <w:lang w:val="en-US" w:eastAsia="zh-CN"/>
              </w:rPr>
            </w:pPr>
          </w:p>
        </w:tc>
        <w:tc>
          <w:tcPr>
            <w:tcW w:w="305" w:type="pct"/>
            <w:tcBorders>
              <w:tl2br w:val="nil"/>
              <w:tr2bl w:val="nil"/>
            </w:tcBorders>
            <w:noWrap w:val="0"/>
            <w:vAlign w:val="center"/>
          </w:tcPr>
          <w:p w14:paraId="5B713026">
            <w:pPr>
              <w:keepNext w:val="0"/>
              <w:keepLines w:val="0"/>
              <w:widowControl/>
              <w:suppressLineNumbers w:val="0"/>
              <w:jc w:val="center"/>
              <w:textAlignment w:val="center"/>
              <w:rPr>
                <w:rFonts w:hint="default"/>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19</w:t>
            </w:r>
          </w:p>
        </w:tc>
        <w:tc>
          <w:tcPr>
            <w:tcW w:w="487" w:type="pct"/>
            <w:tcBorders>
              <w:tl2br w:val="nil"/>
              <w:tr2bl w:val="nil"/>
            </w:tcBorders>
            <w:noWrap w:val="0"/>
            <w:vAlign w:val="center"/>
          </w:tcPr>
          <w:p w14:paraId="62A9A557">
            <w:pPr>
              <w:keepNext w:val="0"/>
              <w:keepLines w:val="0"/>
              <w:widowControl/>
              <w:suppressLineNumbers w:val="0"/>
              <w:jc w:val="center"/>
              <w:textAlignment w:val="center"/>
              <w:rPr>
                <w:rFonts w:hint="eastAsia"/>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0.095</w:t>
            </w:r>
          </w:p>
        </w:tc>
        <w:tc>
          <w:tcPr>
            <w:tcW w:w="355" w:type="pct"/>
            <w:tcBorders>
              <w:tl2br w:val="nil"/>
              <w:tr2bl w:val="nil"/>
            </w:tcBorders>
            <w:noWrap w:val="0"/>
            <w:vAlign w:val="center"/>
          </w:tcPr>
          <w:p w14:paraId="2C8C6F4D">
            <w:pPr>
              <w:keepNext w:val="0"/>
              <w:keepLines w:val="0"/>
              <w:widowControl/>
              <w:suppressLineNumbers w:val="0"/>
              <w:jc w:val="center"/>
              <w:textAlignment w:val="center"/>
              <w:rPr>
                <w:rFonts w:hint="default"/>
                <w:color w:val="auto"/>
                <w:szCs w:val="21"/>
                <w:lang w:val="en-US" w:eastAsia="zh-CN"/>
              </w:rPr>
            </w:pPr>
            <w:r>
              <w:rPr>
                <w:rFonts w:hint="default" w:ascii="Times New Roman" w:hAnsi="Times New Roman" w:cs="Times New Roman"/>
                <w:color w:val="auto"/>
                <w:szCs w:val="21"/>
                <w:highlight w:val="none"/>
                <w:lang w:val="en-US" w:eastAsia="zh-CN"/>
              </w:rPr>
              <w:t>0.685</w:t>
            </w:r>
          </w:p>
        </w:tc>
      </w:tr>
      <w:tr w14:paraId="480A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07D5A8C1">
            <w:pPr>
              <w:adjustRightInd w:val="0"/>
              <w:snapToGrid w:val="0"/>
              <w:jc w:val="center"/>
              <w:rPr>
                <w:rFonts w:ascii="Times New Roman" w:hAnsi="Times New Roman"/>
                <w:color w:val="auto"/>
                <w:kern w:val="0"/>
                <w:szCs w:val="21"/>
              </w:rPr>
            </w:pPr>
          </w:p>
        </w:tc>
        <w:tc>
          <w:tcPr>
            <w:tcW w:w="544" w:type="pct"/>
            <w:tcBorders>
              <w:bottom w:val="single" w:color="000000" w:sz="4" w:space="0"/>
              <w:tl2br w:val="nil"/>
              <w:tr2bl w:val="nil"/>
            </w:tcBorders>
            <w:noWrap w:val="0"/>
            <w:vAlign w:val="center"/>
          </w:tcPr>
          <w:p w14:paraId="56F34065">
            <w:pPr>
              <w:adjustRightInd w:val="0"/>
              <w:snapToGrid w:val="0"/>
              <w:jc w:val="center"/>
              <w:rPr>
                <w:rFonts w:hint="default"/>
                <w:color w:val="auto"/>
                <w:kern w:val="0"/>
                <w:lang w:val="en-US" w:eastAsia="zh-CN"/>
              </w:rPr>
            </w:pPr>
            <w:r>
              <w:rPr>
                <w:rFonts w:hint="eastAsia"/>
                <w:color w:val="auto"/>
                <w:kern w:val="0"/>
                <w:lang w:val="en-US" w:eastAsia="zh-CN"/>
              </w:rPr>
              <w:t>烘干尾气</w:t>
            </w:r>
          </w:p>
        </w:tc>
        <w:tc>
          <w:tcPr>
            <w:tcW w:w="409" w:type="pct"/>
            <w:tcBorders>
              <w:tl2br w:val="nil"/>
              <w:tr2bl w:val="nil"/>
            </w:tcBorders>
            <w:noWrap w:val="0"/>
            <w:vAlign w:val="center"/>
          </w:tcPr>
          <w:p w14:paraId="71FE64A6">
            <w:pPr>
              <w:adjustRightInd w:val="0"/>
              <w:snapToGrid w:val="0"/>
              <w:jc w:val="center"/>
              <w:rPr>
                <w:rFonts w:hint="eastAsia"/>
                <w:bCs/>
                <w:color w:val="auto"/>
                <w:szCs w:val="21"/>
                <w:lang w:val="en-US" w:eastAsia="zh-CN"/>
              </w:rPr>
            </w:pPr>
            <w:r>
              <w:rPr>
                <w:rFonts w:hint="eastAsia"/>
                <w:bCs/>
                <w:color w:val="auto"/>
                <w:szCs w:val="21"/>
                <w:lang w:val="en-US" w:eastAsia="zh-CN"/>
              </w:rPr>
              <w:t>颗粒物</w:t>
            </w:r>
          </w:p>
        </w:tc>
        <w:tc>
          <w:tcPr>
            <w:tcW w:w="282" w:type="pct"/>
            <w:tcBorders>
              <w:tl2br w:val="nil"/>
              <w:tr2bl w:val="nil"/>
            </w:tcBorders>
            <w:shd w:val="clear" w:color="auto" w:fill="auto"/>
            <w:noWrap w:val="0"/>
            <w:vAlign w:val="center"/>
          </w:tcPr>
          <w:p w14:paraId="0AE6E0F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835</w:t>
            </w:r>
          </w:p>
        </w:tc>
        <w:tc>
          <w:tcPr>
            <w:tcW w:w="392" w:type="pct"/>
            <w:tcBorders>
              <w:tl2br w:val="nil"/>
              <w:tr2bl w:val="nil"/>
            </w:tcBorders>
            <w:shd w:val="clear" w:color="auto" w:fill="auto"/>
            <w:noWrap w:val="0"/>
            <w:vAlign w:val="center"/>
          </w:tcPr>
          <w:p w14:paraId="2DED719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8.35</w:t>
            </w:r>
          </w:p>
        </w:tc>
        <w:tc>
          <w:tcPr>
            <w:tcW w:w="301" w:type="pct"/>
            <w:tcBorders>
              <w:tl2br w:val="nil"/>
              <w:tr2bl w:val="nil"/>
            </w:tcBorders>
            <w:shd w:val="clear" w:color="auto" w:fill="auto"/>
            <w:noWrap w:val="0"/>
            <w:vAlign w:val="center"/>
          </w:tcPr>
          <w:p w14:paraId="1CC08B9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60.15</w:t>
            </w:r>
          </w:p>
        </w:tc>
        <w:tc>
          <w:tcPr>
            <w:tcW w:w="248" w:type="pct"/>
            <w:vMerge w:val="continue"/>
            <w:tcBorders>
              <w:tl2br w:val="nil"/>
              <w:tr2bl w:val="nil"/>
            </w:tcBorders>
            <w:shd w:val="clear" w:color="auto" w:fill="auto"/>
            <w:noWrap w:val="0"/>
            <w:vAlign w:val="center"/>
          </w:tcPr>
          <w:p w14:paraId="41D57A0A">
            <w:pPr>
              <w:pStyle w:val="82"/>
              <w:jc w:val="center"/>
              <w:rPr>
                <w:rFonts w:ascii="Times New Roman" w:hAnsi="Times New Roman" w:eastAsia="宋体" w:cs="Times New Roman"/>
                <w:color w:val="auto"/>
                <w:szCs w:val="21"/>
                <w:highlight w:val="none"/>
              </w:rPr>
            </w:pPr>
          </w:p>
        </w:tc>
        <w:tc>
          <w:tcPr>
            <w:tcW w:w="271" w:type="pct"/>
            <w:tcBorders>
              <w:tl2br w:val="nil"/>
              <w:tr2bl w:val="nil"/>
            </w:tcBorders>
            <w:shd w:val="clear" w:color="auto" w:fill="auto"/>
            <w:noWrap w:val="0"/>
            <w:vAlign w:val="center"/>
          </w:tcPr>
          <w:p w14:paraId="0561EBC1">
            <w:pPr>
              <w:pStyle w:val="82"/>
              <w:jc w:val="center"/>
              <w:rPr>
                <w:rFonts w:hint="default"/>
                <w:color w:val="auto"/>
                <w:szCs w:val="21"/>
                <w:lang w:val="en-US" w:eastAsia="zh-CN"/>
              </w:rPr>
            </w:pPr>
            <w:r>
              <w:rPr>
                <w:rFonts w:hint="eastAsia"/>
                <w:color w:val="auto"/>
                <w:szCs w:val="21"/>
                <w:lang w:val="en-US" w:eastAsia="zh-CN"/>
              </w:rPr>
              <w:t>10000</w:t>
            </w:r>
          </w:p>
        </w:tc>
        <w:tc>
          <w:tcPr>
            <w:tcW w:w="357" w:type="pct"/>
            <w:tcBorders>
              <w:tl2br w:val="nil"/>
              <w:tr2bl w:val="nil"/>
            </w:tcBorders>
            <w:shd w:val="clear" w:color="auto" w:fill="auto"/>
            <w:noWrap w:val="0"/>
            <w:vAlign w:val="center"/>
          </w:tcPr>
          <w:p w14:paraId="1586B3F3">
            <w:pPr>
              <w:pStyle w:val="82"/>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100</w:t>
            </w:r>
          </w:p>
        </w:tc>
        <w:tc>
          <w:tcPr>
            <w:tcW w:w="266" w:type="pct"/>
            <w:tcBorders>
              <w:tl2br w:val="nil"/>
              <w:tr2bl w:val="nil"/>
            </w:tcBorders>
            <w:shd w:val="clear" w:color="auto" w:fill="auto"/>
            <w:noWrap w:val="0"/>
            <w:vAlign w:val="center"/>
          </w:tcPr>
          <w:p w14:paraId="5B475F07">
            <w:pPr>
              <w:pStyle w:val="82"/>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lang w:val="en-US" w:eastAsia="zh-CN"/>
              </w:rPr>
              <w:t>2#袋式除尘</w:t>
            </w:r>
          </w:p>
        </w:tc>
        <w:tc>
          <w:tcPr>
            <w:tcW w:w="200" w:type="pct"/>
            <w:tcBorders>
              <w:tl2br w:val="nil"/>
              <w:tr2bl w:val="nil"/>
            </w:tcBorders>
            <w:shd w:val="clear" w:color="auto" w:fill="auto"/>
            <w:noWrap w:val="0"/>
            <w:vAlign w:val="center"/>
          </w:tcPr>
          <w:p w14:paraId="65E1BEC9">
            <w:pPr>
              <w:pStyle w:val="82"/>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92</w:t>
            </w:r>
          </w:p>
        </w:tc>
        <w:tc>
          <w:tcPr>
            <w:tcW w:w="415" w:type="pct"/>
            <w:tcBorders>
              <w:tl2br w:val="nil"/>
              <w:tr2bl w:val="nil"/>
            </w:tcBorders>
            <w:shd w:val="clear" w:color="auto" w:fill="auto"/>
            <w:noWrap w:val="0"/>
            <w:vAlign w:val="center"/>
          </w:tcPr>
          <w:p w14:paraId="01478250">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是</w:t>
            </w:r>
          </w:p>
        </w:tc>
        <w:tc>
          <w:tcPr>
            <w:tcW w:w="305" w:type="pct"/>
            <w:tcBorders>
              <w:tl2br w:val="nil"/>
              <w:tr2bl w:val="nil"/>
            </w:tcBorders>
            <w:shd w:val="clear" w:color="auto" w:fill="auto"/>
            <w:noWrap w:val="0"/>
            <w:vAlign w:val="center"/>
          </w:tcPr>
          <w:p w14:paraId="2B49F3D1">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66.8</w:t>
            </w:r>
          </w:p>
        </w:tc>
        <w:tc>
          <w:tcPr>
            <w:tcW w:w="487" w:type="pct"/>
            <w:tcBorders>
              <w:tl2br w:val="nil"/>
              <w:tr2bl w:val="nil"/>
            </w:tcBorders>
            <w:shd w:val="clear" w:color="auto" w:fill="auto"/>
            <w:noWrap w:val="0"/>
            <w:vAlign w:val="center"/>
          </w:tcPr>
          <w:p w14:paraId="59537914">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0.668</w:t>
            </w:r>
          </w:p>
        </w:tc>
        <w:tc>
          <w:tcPr>
            <w:tcW w:w="355" w:type="pct"/>
            <w:tcBorders>
              <w:tl2br w:val="nil"/>
              <w:tr2bl w:val="nil"/>
            </w:tcBorders>
            <w:shd w:val="clear" w:color="auto" w:fill="auto"/>
            <w:noWrap w:val="0"/>
            <w:vAlign w:val="center"/>
          </w:tcPr>
          <w:p w14:paraId="73DAD93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4.812</w:t>
            </w:r>
          </w:p>
        </w:tc>
      </w:tr>
      <w:tr w14:paraId="51CB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30C86684">
            <w:pPr>
              <w:adjustRightInd w:val="0"/>
              <w:snapToGrid w:val="0"/>
              <w:jc w:val="center"/>
              <w:rPr>
                <w:rFonts w:ascii="Times New Roman" w:hAnsi="Times New Roman"/>
                <w:color w:val="auto"/>
                <w:kern w:val="0"/>
                <w:szCs w:val="21"/>
              </w:rPr>
            </w:pPr>
          </w:p>
        </w:tc>
        <w:tc>
          <w:tcPr>
            <w:tcW w:w="544" w:type="pct"/>
            <w:tcBorders>
              <w:tl2br w:val="nil"/>
              <w:tr2bl w:val="nil"/>
            </w:tcBorders>
            <w:shd w:val="clear" w:color="auto" w:fill="auto"/>
            <w:noWrap w:val="0"/>
            <w:vAlign w:val="center"/>
          </w:tcPr>
          <w:p w14:paraId="0083F082">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lang w:val="en-US" w:eastAsia="zh-CN"/>
              </w:rPr>
              <w:t>加工工序</w:t>
            </w:r>
          </w:p>
        </w:tc>
        <w:tc>
          <w:tcPr>
            <w:tcW w:w="409" w:type="pct"/>
            <w:tcBorders>
              <w:tl2br w:val="nil"/>
              <w:tr2bl w:val="nil"/>
            </w:tcBorders>
            <w:shd w:val="clear" w:color="auto" w:fill="auto"/>
            <w:noWrap w:val="0"/>
            <w:vAlign w:val="center"/>
          </w:tcPr>
          <w:p w14:paraId="5DAAC4E7">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颗粒物</w:t>
            </w:r>
          </w:p>
        </w:tc>
        <w:tc>
          <w:tcPr>
            <w:tcW w:w="282" w:type="pct"/>
            <w:tcBorders>
              <w:tl2br w:val="nil"/>
              <w:tr2bl w:val="nil"/>
            </w:tcBorders>
            <w:shd w:val="clear" w:color="auto" w:fill="auto"/>
            <w:noWrap w:val="0"/>
            <w:vAlign w:val="center"/>
          </w:tcPr>
          <w:p w14:paraId="1CF792F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92" w:type="pct"/>
            <w:tcBorders>
              <w:tl2br w:val="nil"/>
              <w:tr2bl w:val="nil"/>
            </w:tcBorders>
            <w:shd w:val="clear" w:color="auto" w:fill="auto"/>
            <w:noWrap w:val="0"/>
            <w:vAlign w:val="center"/>
          </w:tcPr>
          <w:p w14:paraId="512FED6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0.182</w:t>
            </w:r>
          </w:p>
        </w:tc>
        <w:tc>
          <w:tcPr>
            <w:tcW w:w="301" w:type="pct"/>
            <w:tcBorders>
              <w:tl2br w:val="nil"/>
              <w:tr2bl w:val="nil"/>
            </w:tcBorders>
            <w:shd w:val="clear" w:color="auto" w:fill="auto"/>
            <w:noWrap w:val="0"/>
            <w:vAlign w:val="center"/>
          </w:tcPr>
          <w:p w14:paraId="06E0354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1.31</w:t>
            </w:r>
          </w:p>
        </w:tc>
        <w:tc>
          <w:tcPr>
            <w:tcW w:w="248" w:type="pct"/>
            <w:tcBorders>
              <w:tl2br w:val="nil"/>
              <w:tr2bl w:val="nil"/>
            </w:tcBorders>
            <w:shd w:val="clear" w:color="auto" w:fill="auto"/>
            <w:noWrap w:val="0"/>
            <w:vAlign w:val="center"/>
          </w:tcPr>
          <w:p w14:paraId="4B56B974">
            <w:pPr>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无组织</w:t>
            </w:r>
          </w:p>
        </w:tc>
        <w:tc>
          <w:tcPr>
            <w:tcW w:w="1095" w:type="pct"/>
            <w:gridSpan w:val="4"/>
            <w:tcBorders>
              <w:tl2br w:val="nil"/>
              <w:tr2bl w:val="nil"/>
            </w:tcBorders>
            <w:shd w:val="clear" w:color="auto" w:fill="auto"/>
            <w:noWrap w:val="0"/>
            <w:vAlign w:val="center"/>
          </w:tcPr>
          <w:p w14:paraId="570DCAE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车间密闭，加强废气收集</w:t>
            </w:r>
          </w:p>
        </w:tc>
        <w:tc>
          <w:tcPr>
            <w:tcW w:w="415" w:type="pct"/>
            <w:tcBorders>
              <w:tl2br w:val="nil"/>
              <w:tr2bl w:val="nil"/>
            </w:tcBorders>
            <w:shd w:val="clear" w:color="auto" w:fill="auto"/>
            <w:noWrap w:val="0"/>
            <w:vAlign w:val="center"/>
          </w:tcPr>
          <w:p w14:paraId="50F9EDE4">
            <w:pPr>
              <w:adjustRightInd w:val="0"/>
              <w:snapToGrid w:val="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05" w:type="pct"/>
            <w:tcBorders>
              <w:tl2br w:val="nil"/>
              <w:tr2bl w:val="nil"/>
            </w:tcBorders>
            <w:shd w:val="clear" w:color="auto" w:fill="auto"/>
            <w:noWrap w:val="0"/>
            <w:vAlign w:val="center"/>
          </w:tcPr>
          <w:p w14:paraId="073A857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290" w:type="dxa"/>
            <w:tcBorders>
              <w:tl2br w:val="nil"/>
              <w:tr2bl w:val="nil"/>
            </w:tcBorders>
            <w:shd w:val="clear" w:color="auto" w:fill="auto"/>
            <w:noWrap w:val="0"/>
            <w:vAlign w:val="center"/>
          </w:tcPr>
          <w:p w14:paraId="673D424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0.182</w:t>
            </w:r>
          </w:p>
        </w:tc>
        <w:tc>
          <w:tcPr>
            <w:tcW w:w="941" w:type="dxa"/>
            <w:tcBorders>
              <w:tl2br w:val="nil"/>
              <w:tr2bl w:val="nil"/>
            </w:tcBorders>
            <w:shd w:val="clear" w:color="auto" w:fill="auto"/>
            <w:noWrap w:val="0"/>
            <w:vAlign w:val="center"/>
          </w:tcPr>
          <w:p w14:paraId="3338117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1.31</w:t>
            </w:r>
          </w:p>
        </w:tc>
      </w:tr>
      <w:tr w14:paraId="69E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3B7F6C21">
            <w:pPr>
              <w:adjustRightInd w:val="0"/>
              <w:snapToGrid w:val="0"/>
              <w:jc w:val="center"/>
              <w:rPr>
                <w:rFonts w:ascii="Times New Roman" w:hAnsi="Times New Roman"/>
                <w:color w:val="auto"/>
                <w:kern w:val="0"/>
                <w:szCs w:val="21"/>
              </w:rPr>
            </w:pPr>
          </w:p>
        </w:tc>
        <w:tc>
          <w:tcPr>
            <w:tcW w:w="544" w:type="pct"/>
            <w:vMerge w:val="restart"/>
            <w:tcBorders>
              <w:tl2br w:val="nil"/>
              <w:tr2bl w:val="nil"/>
            </w:tcBorders>
            <w:noWrap w:val="0"/>
            <w:vAlign w:val="center"/>
          </w:tcPr>
          <w:p w14:paraId="3D7BA620">
            <w:pPr>
              <w:adjustRightInd w:val="0"/>
              <w:snapToGrid w:val="0"/>
              <w:jc w:val="center"/>
              <w:rPr>
                <w:rFonts w:hint="default"/>
                <w:color w:val="auto"/>
                <w:kern w:val="0"/>
                <w:lang w:val="en-US" w:eastAsia="zh-CN"/>
              </w:rPr>
            </w:pPr>
            <w:r>
              <w:rPr>
                <w:rFonts w:hint="eastAsia"/>
                <w:color w:val="auto"/>
                <w:kern w:val="0"/>
                <w:lang w:val="en-US" w:eastAsia="zh-CN"/>
              </w:rPr>
              <w:t>合计排放量</w:t>
            </w:r>
          </w:p>
        </w:tc>
        <w:tc>
          <w:tcPr>
            <w:tcW w:w="409" w:type="pct"/>
            <w:tcBorders>
              <w:tl2br w:val="nil"/>
              <w:tr2bl w:val="nil"/>
            </w:tcBorders>
            <w:noWrap w:val="0"/>
            <w:vAlign w:val="center"/>
          </w:tcPr>
          <w:p w14:paraId="7EAF7CE1">
            <w:pPr>
              <w:adjustRightInd w:val="0"/>
              <w:snapToGrid w:val="0"/>
              <w:jc w:val="center"/>
              <w:rPr>
                <w:rFonts w:hint="eastAsia" w:ascii="Times New Roman" w:hAnsi="Times New Roman"/>
                <w:bCs/>
                <w:color w:val="auto"/>
                <w:kern w:val="2"/>
                <w:sz w:val="21"/>
                <w:szCs w:val="21"/>
                <w:lang w:val="en-US" w:eastAsia="zh-CN" w:bidi="ar-SA"/>
              </w:rPr>
            </w:pPr>
            <w:r>
              <w:rPr>
                <w:rFonts w:hint="eastAsia"/>
                <w:bCs/>
                <w:color w:val="auto"/>
                <w:szCs w:val="21"/>
                <w:lang w:val="en-US" w:eastAsia="zh-CN"/>
              </w:rPr>
              <w:t>颗粒物</w:t>
            </w:r>
          </w:p>
        </w:tc>
        <w:tc>
          <w:tcPr>
            <w:tcW w:w="3885" w:type="pct"/>
            <w:gridSpan w:val="12"/>
            <w:tcBorders>
              <w:tl2br w:val="nil"/>
              <w:tr2bl w:val="nil"/>
            </w:tcBorders>
            <w:noWrap w:val="0"/>
            <w:vAlign w:val="center"/>
          </w:tcPr>
          <w:p w14:paraId="256EBF1A">
            <w:pPr>
              <w:adjustRightInd w:val="0"/>
              <w:snapToGrid w:val="0"/>
              <w:jc w:val="center"/>
              <w:rPr>
                <w:rFonts w:hint="default" w:ascii="Times New Roman" w:hAnsi="Times New Roman" w:eastAsia="宋体"/>
                <w:color w:val="auto"/>
                <w:kern w:val="0"/>
                <w:szCs w:val="21"/>
                <w:lang w:val="en-US" w:eastAsia="zh-CN"/>
              </w:rPr>
            </w:pPr>
            <w:r>
              <w:rPr>
                <w:rFonts w:hint="eastAsia"/>
                <w:color w:val="auto"/>
                <w:kern w:val="0"/>
                <w:szCs w:val="21"/>
                <w:lang w:val="en-US" w:eastAsia="zh-CN"/>
              </w:rPr>
              <w:t>=</w:t>
            </w:r>
            <w:r>
              <w:rPr>
                <w:rFonts w:hint="eastAsia"/>
                <w:color w:val="auto"/>
                <w:szCs w:val="21"/>
                <w:lang w:val="en-US" w:eastAsia="zh-CN"/>
              </w:rPr>
              <w:t>2.37+</w:t>
            </w:r>
            <w:r>
              <w:rPr>
                <w:rFonts w:hint="default" w:ascii="Times New Roman" w:hAnsi="Times New Roman" w:cs="Times New Roman"/>
                <w:color w:val="auto"/>
                <w:szCs w:val="21"/>
                <w:highlight w:val="none"/>
                <w:lang w:val="en-US" w:eastAsia="zh-CN"/>
              </w:rPr>
              <w:t>0.091</w:t>
            </w:r>
            <w:r>
              <w:rPr>
                <w:rFonts w:hint="eastAsia" w:ascii="Times New Roman" w:hAnsi="Times New Roman" w:eastAsia="宋体" w:cs="Times New Roman"/>
                <w:i w:val="0"/>
                <w:iCs w:val="0"/>
                <w:color w:val="auto"/>
                <w:kern w:val="2"/>
                <w:sz w:val="21"/>
                <w:szCs w:val="21"/>
                <w:u w:val="none"/>
                <w:lang w:val="en-US" w:eastAsia="zh-CN" w:bidi="ar-SA"/>
              </w:rPr>
              <w:t>+</w:t>
            </w:r>
            <w:r>
              <w:rPr>
                <w:rFonts w:hint="eastAsia" w:cs="Times New Roman"/>
                <w:i w:val="0"/>
                <w:iCs w:val="0"/>
                <w:color w:val="auto"/>
                <w:kern w:val="2"/>
                <w:sz w:val="21"/>
                <w:szCs w:val="21"/>
                <w:u w:val="none"/>
                <w:lang w:val="en-US" w:eastAsia="zh-CN" w:bidi="ar-SA"/>
              </w:rPr>
              <w:t>4.812</w:t>
            </w:r>
            <w:r>
              <w:rPr>
                <w:rFonts w:hint="eastAsia" w:ascii="Times New Roman" w:hAnsi="Times New Roman" w:cs="Times New Roman"/>
                <w:color w:val="auto"/>
                <w:szCs w:val="21"/>
                <w:highlight w:val="none"/>
                <w:lang w:val="en-US" w:eastAsia="zh-CN"/>
              </w:rPr>
              <w:t>+1.31</w:t>
            </w:r>
            <w:r>
              <w:rPr>
                <w:rFonts w:hint="eastAsia" w:ascii="Times New Roman" w:hAnsi="Times New Roman" w:eastAsia="宋体" w:cs="Times New Roman"/>
                <w:i w:val="0"/>
                <w:iCs w:val="0"/>
                <w:color w:val="auto"/>
                <w:kern w:val="2"/>
                <w:sz w:val="21"/>
                <w:szCs w:val="21"/>
                <w:u w:val="none"/>
                <w:lang w:val="en-US" w:eastAsia="zh-CN" w:bidi="ar-SA"/>
              </w:rPr>
              <w:t>=</w:t>
            </w:r>
            <w:r>
              <w:rPr>
                <w:rFonts w:hint="eastAsia" w:cs="Times New Roman"/>
                <w:i w:val="0"/>
                <w:iCs w:val="0"/>
                <w:color w:val="auto"/>
                <w:kern w:val="2"/>
                <w:sz w:val="21"/>
                <w:szCs w:val="21"/>
                <w:u w:val="none"/>
                <w:lang w:val="en-US" w:eastAsia="zh-CN" w:bidi="ar-SA"/>
              </w:rPr>
              <w:t>8.583</w:t>
            </w:r>
            <w:r>
              <w:rPr>
                <w:rFonts w:ascii="Times New Roman" w:hAnsi="Times New Roman"/>
                <w:color w:val="auto"/>
                <w:kern w:val="0"/>
                <w:szCs w:val="21"/>
              </w:rPr>
              <w:t>t/a</w:t>
            </w:r>
          </w:p>
        </w:tc>
      </w:tr>
      <w:tr w14:paraId="055C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41EE026B">
            <w:pPr>
              <w:adjustRightInd w:val="0"/>
              <w:snapToGrid w:val="0"/>
              <w:jc w:val="center"/>
              <w:rPr>
                <w:rFonts w:ascii="Times New Roman" w:hAnsi="Times New Roman"/>
                <w:color w:val="auto"/>
                <w:kern w:val="0"/>
                <w:szCs w:val="21"/>
              </w:rPr>
            </w:pPr>
          </w:p>
        </w:tc>
        <w:tc>
          <w:tcPr>
            <w:tcW w:w="544" w:type="pct"/>
            <w:vMerge w:val="continue"/>
            <w:tcBorders>
              <w:tl2br w:val="nil"/>
              <w:tr2bl w:val="nil"/>
            </w:tcBorders>
            <w:noWrap w:val="0"/>
            <w:vAlign w:val="center"/>
          </w:tcPr>
          <w:p w14:paraId="1A5C9078">
            <w:pPr>
              <w:adjustRightInd w:val="0"/>
              <w:snapToGrid w:val="0"/>
              <w:jc w:val="center"/>
              <w:rPr>
                <w:rFonts w:hint="eastAsia"/>
                <w:color w:val="auto"/>
                <w:kern w:val="0"/>
                <w:lang w:val="en-US" w:eastAsia="zh-CN"/>
              </w:rPr>
            </w:pPr>
          </w:p>
        </w:tc>
        <w:tc>
          <w:tcPr>
            <w:tcW w:w="409" w:type="pct"/>
            <w:tcBorders>
              <w:tl2br w:val="nil"/>
              <w:tr2bl w:val="nil"/>
            </w:tcBorders>
            <w:noWrap w:val="0"/>
            <w:vAlign w:val="center"/>
          </w:tcPr>
          <w:p w14:paraId="02861FDF">
            <w:pPr>
              <w:adjustRightInd w:val="0"/>
              <w:snapToGrid w:val="0"/>
              <w:jc w:val="center"/>
              <w:rPr>
                <w:rFonts w:hint="default"/>
                <w:bCs/>
                <w:color w:val="auto"/>
                <w:szCs w:val="21"/>
                <w:lang w:val="en-US" w:eastAsia="zh-CN"/>
              </w:rPr>
            </w:pPr>
            <w:r>
              <w:rPr>
                <w:rFonts w:hint="eastAsia"/>
                <w:bCs/>
                <w:color w:val="auto"/>
                <w:szCs w:val="21"/>
                <w:lang w:val="en-US" w:eastAsia="zh-CN"/>
              </w:rPr>
              <w:t>二氧化硫</w:t>
            </w:r>
          </w:p>
        </w:tc>
        <w:tc>
          <w:tcPr>
            <w:tcW w:w="3885" w:type="pct"/>
            <w:gridSpan w:val="12"/>
            <w:tcBorders>
              <w:tl2br w:val="nil"/>
              <w:tr2bl w:val="nil"/>
            </w:tcBorders>
            <w:shd w:val="clear" w:color="auto" w:fill="auto"/>
            <w:noWrap w:val="0"/>
            <w:vAlign w:val="center"/>
          </w:tcPr>
          <w:p w14:paraId="01BAD89E">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highlight w:val="none"/>
                <w:lang w:val="en-US" w:eastAsia="zh-CN"/>
              </w:rPr>
              <w:t>0.091</w:t>
            </w:r>
            <w:r>
              <w:rPr>
                <w:rFonts w:ascii="Times New Roman" w:hAnsi="Times New Roman"/>
                <w:color w:val="auto"/>
                <w:kern w:val="0"/>
                <w:szCs w:val="21"/>
              </w:rPr>
              <w:t>t/a</w:t>
            </w:r>
          </w:p>
        </w:tc>
      </w:tr>
      <w:tr w14:paraId="3881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 w:type="pct"/>
            <w:vMerge w:val="continue"/>
            <w:tcBorders>
              <w:tl2br w:val="nil"/>
              <w:tr2bl w:val="nil"/>
            </w:tcBorders>
            <w:noWrap w:val="0"/>
            <w:vAlign w:val="center"/>
          </w:tcPr>
          <w:p w14:paraId="416BB651">
            <w:pPr>
              <w:adjustRightInd w:val="0"/>
              <w:snapToGrid w:val="0"/>
              <w:jc w:val="center"/>
              <w:rPr>
                <w:rFonts w:ascii="Times New Roman" w:hAnsi="Times New Roman"/>
                <w:color w:val="auto"/>
                <w:kern w:val="0"/>
                <w:szCs w:val="21"/>
              </w:rPr>
            </w:pPr>
          </w:p>
        </w:tc>
        <w:tc>
          <w:tcPr>
            <w:tcW w:w="544" w:type="pct"/>
            <w:vMerge w:val="continue"/>
            <w:tcBorders>
              <w:tl2br w:val="nil"/>
              <w:tr2bl w:val="nil"/>
            </w:tcBorders>
            <w:noWrap w:val="0"/>
            <w:vAlign w:val="center"/>
          </w:tcPr>
          <w:p w14:paraId="5C06DBE5">
            <w:pPr>
              <w:adjustRightInd w:val="0"/>
              <w:snapToGrid w:val="0"/>
              <w:jc w:val="center"/>
              <w:rPr>
                <w:rFonts w:hint="eastAsia"/>
                <w:color w:val="auto"/>
                <w:kern w:val="0"/>
                <w:lang w:val="en-US" w:eastAsia="zh-CN"/>
              </w:rPr>
            </w:pPr>
          </w:p>
        </w:tc>
        <w:tc>
          <w:tcPr>
            <w:tcW w:w="409" w:type="pct"/>
            <w:tcBorders>
              <w:tl2br w:val="nil"/>
              <w:tr2bl w:val="nil"/>
            </w:tcBorders>
            <w:noWrap w:val="0"/>
            <w:vAlign w:val="center"/>
          </w:tcPr>
          <w:p w14:paraId="335D57FC">
            <w:pPr>
              <w:adjustRightInd w:val="0"/>
              <w:snapToGrid w:val="0"/>
              <w:jc w:val="center"/>
              <w:rPr>
                <w:rFonts w:hint="default"/>
                <w:bCs/>
                <w:color w:val="auto"/>
                <w:szCs w:val="21"/>
                <w:lang w:val="en-US" w:eastAsia="zh-CN"/>
              </w:rPr>
            </w:pPr>
            <w:r>
              <w:rPr>
                <w:rFonts w:hint="eastAsia"/>
                <w:bCs/>
                <w:color w:val="auto"/>
                <w:szCs w:val="21"/>
                <w:lang w:val="en-US" w:eastAsia="zh-CN"/>
              </w:rPr>
              <w:t>氮氧化物</w:t>
            </w:r>
          </w:p>
        </w:tc>
        <w:tc>
          <w:tcPr>
            <w:tcW w:w="3885" w:type="pct"/>
            <w:gridSpan w:val="12"/>
            <w:tcBorders>
              <w:tl2br w:val="nil"/>
              <w:tr2bl w:val="nil"/>
            </w:tcBorders>
            <w:shd w:val="clear" w:color="auto" w:fill="auto"/>
            <w:noWrap w:val="0"/>
            <w:vAlign w:val="center"/>
          </w:tcPr>
          <w:p w14:paraId="554186D3">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highlight w:val="none"/>
                <w:lang w:val="en-US" w:eastAsia="zh-CN"/>
              </w:rPr>
              <w:t>0.685</w:t>
            </w:r>
            <w:r>
              <w:rPr>
                <w:rFonts w:ascii="Times New Roman" w:hAnsi="Times New Roman"/>
                <w:color w:val="auto"/>
                <w:kern w:val="0"/>
                <w:szCs w:val="21"/>
              </w:rPr>
              <w:t>t/a</w:t>
            </w:r>
          </w:p>
        </w:tc>
      </w:tr>
    </w:tbl>
    <w:p w14:paraId="61242C7D">
      <w:pPr>
        <w:pStyle w:val="22"/>
        <w:numPr>
          <w:ilvl w:val="0"/>
          <w:numId w:val="0"/>
        </w:numPr>
        <w:spacing w:before="120" w:beforeLines="50" w:after="0" w:line="240" w:lineRule="auto"/>
        <w:ind w:leftChars="0"/>
        <w:jc w:val="both"/>
        <w:outlineLvl w:val="9"/>
        <w:rPr>
          <w:rFonts w:ascii="Times New Roman" w:hAnsi="Times New Roman"/>
          <w:color w:val="auto"/>
          <w:sz w:val="24"/>
          <w:szCs w:val="24"/>
        </w:rPr>
      </w:pPr>
    </w:p>
    <w:p w14:paraId="7E2802E3">
      <w:pPr>
        <w:outlineLvl w:val="9"/>
        <w:rPr>
          <w:rFonts w:ascii="Times New Roman" w:hAnsi="Times New Roman"/>
          <w:color w:val="auto"/>
          <w:sz w:val="24"/>
          <w:szCs w:val="24"/>
        </w:rPr>
      </w:pPr>
    </w:p>
    <w:p w14:paraId="321D1F6C">
      <w:pPr>
        <w:outlineLvl w:val="9"/>
        <w:rPr>
          <w:rFonts w:ascii="Times New Roman" w:hAnsi="Times New Roman"/>
          <w:color w:val="auto"/>
          <w:sz w:val="24"/>
          <w:szCs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801"/>
      </w:tblGrid>
      <w:tr w14:paraId="63CC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14:paraId="16D9844A">
            <w:pPr>
              <w:adjustRightInd w:val="0"/>
              <w:snapToGrid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运营</w:t>
            </w:r>
          </w:p>
          <w:p w14:paraId="4658FB81">
            <w:pPr>
              <w:adjustRightInd w:val="0"/>
              <w:snapToGrid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期环</w:t>
            </w:r>
          </w:p>
          <w:p w14:paraId="357A2098">
            <w:pPr>
              <w:adjustRightInd w:val="0"/>
              <w:snapToGrid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境影</w:t>
            </w:r>
          </w:p>
          <w:p w14:paraId="5E4A2C31">
            <w:pPr>
              <w:adjustRightInd w:val="0"/>
              <w:snapToGrid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响和</w:t>
            </w:r>
          </w:p>
          <w:p w14:paraId="5674967B">
            <w:pPr>
              <w:adjustRightInd w:val="0"/>
              <w:snapToGrid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保护</w:t>
            </w:r>
          </w:p>
          <w:p w14:paraId="677AFF73">
            <w:pPr>
              <w:adjustRightInd w:val="0"/>
              <w:snapToGrid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措施</w:t>
            </w:r>
          </w:p>
        </w:tc>
        <w:tc>
          <w:tcPr>
            <w:tcW w:w="12817" w:type="dxa"/>
          </w:tcPr>
          <w:p w14:paraId="7F720A9F">
            <w:pPr>
              <w:pStyle w:val="22"/>
              <w:numPr>
                <w:ilvl w:val="0"/>
                <w:numId w:val="8"/>
              </w:numPr>
              <w:spacing w:before="120" w:beforeLines="50" w:after="0" w:line="240" w:lineRule="auto"/>
              <w:rPr>
                <w:rFonts w:ascii="Times New Roman" w:hAnsi="Times New Roman"/>
                <w:color w:val="auto"/>
                <w:sz w:val="24"/>
                <w:szCs w:val="24"/>
              </w:rPr>
            </w:pPr>
            <w:r>
              <w:rPr>
                <w:rFonts w:hint="eastAsia" w:ascii="Times New Roman" w:hAnsi="Times New Roman"/>
                <w:color w:val="auto"/>
                <w:sz w:val="24"/>
                <w:szCs w:val="24"/>
                <w:lang w:val="en-US" w:eastAsia="zh-CN"/>
              </w:rPr>
              <w:t>项目排放口信息</w:t>
            </w:r>
            <w:r>
              <w:rPr>
                <w:rFonts w:ascii="Times New Roman" w:hAnsi="Times New Roman"/>
                <w:color w:val="auto"/>
                <w:sz w:val="24"/>
                <w:szCs w:val="24"/>
              </w:rPr>
              <w:t>一览表</w:t>
            </w:r>
          </w:p>
          <w:tbl>
            <w:tblPr>
              <w:tblStyle w:val="2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168"/>
              <w:gridCol w:w="1297"/>
              <w:gridCol w:w="959"/>
              <w:gridCol w:w="1906"/>
              <w:gridCol w:w="2185"/>
              <w:gridCol w:w="3175"/>
            </w:tblGrid>
            <w:tr w14:paraId="53C4FF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pct"/>
                  <w:tcBorders>
                    <w:tl2br w:val="nil"/>
                    <w:tr2bl w:val="nil"/>
                  </w:tcBorders>
                  <w:noWrap w:val="0"/>
                  <w:vAlign w:val="center"/>
                </w:tcPr>
                <w:p w14:paraId="1F8A3947">
                  <w:pPr>
                    <w:adjustRightInd w:val="0"/>
                    <w:snapToGrid w:val="0"/>
                    <w:jc w:val="center"/>
                    <w:rPr>
                      <w:rFonts w:ascii="Times New Roman" w:hAnsi="Times New Roman"/>
                      <w:color w:val="auto"/>
                      <w:kern w:val="0"/>
                      <w:szCs w:val="21"/>
                    </w:rPr>
                  </w:pPr>
                  <w:r>
                    <w:rPr>
                      <w:rFonts w:ascii="Times New Roman" w:hAnsi="Times New Roman"/>
                      <w:color w:val="auto"/>
                      <w:kern w:val="0"/>
                      <w:szCs w:val="21"/>
                    </w:rPr>
                    <w:t>编号</w:t>
                  </w:r>
                </w:p>
              </w:tc>
              <w:tc>
                <w:tcPr>
                  <w:tcW w:w="464" w:type="pct"/>
                  <w:tcBorders>
                    <w:tl2br w:val="nil"/>
                    <w:tr2bl w:val="nil"/>
                  </w:tcBorders>
                  <w:noWrap w:val="0"/>
                  <w:vAlign w:val="center"/>
                </w:tcPr>
                <w:p w14:paraId="459C8052">
                  <w:pPr>
                    <w:adjustRightInd w:val="0"/>
                    <w:snapToGrid w:val="0"/>
                    <w:jc w:val="center"/>
                    <w:rPr>
                      <w:rFonts w:ascii="Times New Roman" w:hAnsi="Times New Roman"/>
                      <w:color w:val="auto"/>
                      <w:kern w:val="0"/>
                      <w:szCs w:val="21"/>
                    </w:rPr>
                  </w:pPr>
                  <w:r>
                    <w:rPr>
                      <w:rFonts w:ascii="Times New Roman" w:hAnsi="Times New Roman"/>
                      <w:color w:val="auto"/>
                      <w:kern w:val="0"/>
                      <w:szCs w:val="21"/>
                    </w:rPr>
                    <w:t>高度m</w:t>
                  </w:r>
                </w:p>
              </w:tc>
              <w:tc>
                <w:tcPr>
                  <w:tcW w:w="515" w:type="pct"/>
                  <w:tcBorders>
                    <w:tl2br w:val="nil"/>
                    <w:tr2bl w:val="nil"/>
                  </w:tcBorders>
                  <w:noWrap w:val="0"/>
                  <w:vAlign w:val="center"/>
                </w:tcPr>
                <w:p w14:paraId="768C40A9">
                  <w:pPr>
                    <w:adjustRightInd w:val="0"/>
                    <w:snapToGrid w:val="0"/>
                    <w:jc w:val="center"/>
                    <w:rPr>
                      <w:rFonts w:ascii="Times New Roman" w:hAnsi="Times New Roman"/>
                      <w:color w:val="auto"/>
                      <w:kern w:val="0"/>
                      <w:szCs w:val="21"/>
                    </w:rPr>
                  </w:pPr>
                  <w:r>
                    <w:rPr>
                      <w:rFonts w:ascii="Times New Roman" w:hAnsi="Times New Roman"/>
                      <w:color w:val="auto"/>
                      <w:kern w:val="0"/>
                      <w:szCs w:val="21"/>
                    </w:rPr>
                    <w:t>内径m</w:t>
                  </w:r>
                </w:p>
              </w:tc>
              <w:tc>
                <w:tcPr>
                  <w:tcW w:w="381" w:type="pct"/>
                  <w:tcBorders>
                    <w:tl2br w:val="nil"/>
                    <w:tr2bl w:val="nil"/>
                  </w:tcBorders>
                  <w:noWrap w:val="0"/>
                  <w:vAlign w:val="center"/>
                </w:tcPr>
                <w:p w14:paraId="43242055">
                  <w:pPr>
                    <w:adjustRightInd w:val="0"/>
                    <w:snapToGrid w:val="0"/>
                    <w:jc w:val="center"/>
                    <w:rPr>
                      <w:rFonts w:ascii="Times New Roman" w:hAnsi="Times New Roman"/>
                      <w:color w:val="auto"/>
                      <w:kern w:val="0"/>
                      <w:szCs w:val="21"/>
                    </w:rPr>
                  </w:pPr>
                  <w:r>
                    <w:rPr>
                      <w:rFonts w:ascii="Times New Roman" w:hAnsi="Times New Roman"/>
                      <w:color w:val="auto"/>
                      <w:kern w:val="0"/>
                      <w:szCs w:val="21"/>
                    </w:rPr>
                    <w:t>温度℃</w:t>
                  </w:r>
                </w:p>
              </w:tc>
              <w:tc>
                <w:tcPr>
                  <w:tcW w:w="757" w:type="pct"/>
                  <w:tcBorders>
                    <w:tl2br w:val="nil"/>
                    <w:tr2bl w:val="nil"/>
                  </w:tcBorders>
                  <w:noWrap w:val="0"/>
                  <w:vAlign w:val="center"/>
                </w:tcPr>
                <w:p w14:paraId="0EC311A5">
                  <w:pPr>
                    <w:adjustRightInd w:val="0"/>
                    <w:snapToGrid w:val="0"/>
                    <w:jc w:val="center"/>
                    <w:rPr>
                      <w:rFonts w:ascii="Times New Roman" w:hAnsi="Times New Roman"/>
                      <w:color w:val="auto"/>
                      <w:kern w:val="0"/>
                      <w:szCs w:val="21"/>
                    </w:rPr>
                  </w:pPr>
                  <w:r>
                    <w:rPr>
                      <w:rFonts w:ascii="Times New Roman" w:hAnsi="Times New Roman"/>
                      <w:color w:val="auto"/>
                      <w:kern w:val="0"/>
                      <w:szCs w:val="21"/>
                    </w:rPr>
                    <w:t>名称</w:t>
                  </w:r>
                </w:p>
              </w:tc>
              <w:tc>
                <w:tcPr>
                  <w:tcW w:w="868" w:type="pct"/>
                  <w:tcBorders>
                    <w:tl2br w:val="nil"/>
                    <w:tr2bl w:val="nil"/>
                  </w:tcBorders>
                  <w:noWrap w:val="0"/>
                  <w:vAlign w:val="center"/>
                </w:tcPr>
                <w:p w14:paraId="32D767A4">
                  <w:pPr>
                    <w:adjustRightInd w:val="0"/>
                    <w:snapToGrid w:val="0"/>
                    <w:jc w:val="center"/>
                    <w:rPr>
                      <w:rFonts w:ascii="Times New Roman" w:hAnsi="Times New Roman"/>
                      <w:color w:val="auto"/>
                      <w:kern w:val="0"/>
                      <w:szCs w:val="21"/>
                    </w:rPr>
                  </w:pPr>
                  <w:r>
                    <w:rPr>
                      <w:rFonts w:ascii="Times New Roman" w:hAnsi="Times New Roman"/>
                      <w:color w:val="auto"/>
                      <w:kern w:val="0"/>
                      <w:szCs w:val="21"/>
                    </w:rPr>
                    <w:t>类型</w:t>
                  </w:r>
                </w:p>
              </w:tc>
              <w:tc>
                <w:tcPr>
                  <w:tcW w:w="1261" w:type="pct"/>
                  <w:tcBorders>
                    <w:tl2br w:val="nil"/>
                    <w:tr2bl w:val="nil"/>
                  </w:tcBorders>
                  <w:noWrap w:val="0"/>
                  <w:vAlign w:val="center"/>
                </w:tcPr>
                <w:p w14:paraId="24CD2D9A">
                  <w:pPr>
                    <w:adjustRightInd w:val="0"/>
                    <w:snapToGrid w:val="0"/>
                    <w:jc w:val="center"/>
                    <w:rPr>
                      <w:rFonts w:ascii="Times New Roman" w:hAnsi="Times New Roman"/>
                      <w:color w:val="auto"/>
                      <w:kern w:val="0"/>
                      <w:szCs w:val="21"/>
                    </w:rPr>
                  </w:pPr>
                  <w:r>
                    <w:rPr>
                      <w:rFonts w:ascii="Times New Roman" w:hAnsi="Times New Roman"/>
                      <w:color w:val="auto"/>
                      <w:kern w:val="0"/>
                      <w:szCs w:val="21"/>
                    </w:rPr>
                    <w:t>地理坐标</w:t>
                  </w:r>
                </w:p>
              </w:tc>
            </w:tr>
            <w:tr w14:paraId="038789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751" w:type="pct"/>
                  <w:tcBorders>
                    <w:tl2br w:val="nil"/>
                    <w:tr2bl w:val="nil"/>
                  </w:tcBorders>
                  <w:noWrap w:val="0"/>
                  <w:vAlign w:val="center"/>
                </w:tcPr>
                <w:p w14:paraId="3AF93031">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DA001</w:t>
                  </w:r>
                </w:p>
              </w:tc>
              <w:tc>
                <w:tcPr>
                  <w:tcW w:w="464" w:type="pct"/>
                  <w:tcBorders>
                    <w:tl2br w:val="nil"/>
                    <w:tr2bl w:val="nil"/>
                  </w:tcBorders>
                  <w:noWrap w:val="0"/>
                  <w:vAlign w:val="center"/>
                </w:tcPr>
                <w:p w14:paraId="0287B8BE">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15</w:t>
                  </w:r>
                </w:p>
              </w:tc>
              <w:tc>
                <w:tcPr>
                  <w:tcW w:w="515" w:type="pct"/>
                  <w:tcBorders>
                    <w:tl2br w:val="nil"/>
                    <w:tr2bl w:val="nil"/>
                  </w:tcBorders>
                  <w:noWrap w:val="0"/>
                  <w:vAlign w:val="center"/>
                </w:tcPr>
                <w:p w14:paraId="06250FBC">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0.6</w:t>
                  </w:r>
                </w:p>
              </w:tc>
              <w:tc>
                <w:tcPr>
                  <w:tcW w:w="381" w:type="pct"/>
                  <w:tcBorders>
                    <w:tl2br w:val="nil"/>
                    <w:tr2bl w:val="nil"/>
                  </w:tcBorders>
                  <w:noWrap w:val="0"/>
                  <w:vAlign w:val="center"/>
                </w:tcPr>
                <w:p w14:paraId="6DF48658">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25</w:t>
                  </w:r>
                </w:p>
              </w:tc>
              <w:tc>
                <w:tcPr>
                  <w:tcW w:w="757" w:type="pct"/>
                  <w:tcBorders>
                    <w:tl2br w:val="nil"/>
                    <w:tr2bl w:val="nil"/>
                  </w:tcBorders>
                  <w:noWrap w:val="0"/>
                  <w:vAlign w:val="center"/>
                </w:tcPr>
                <w:p w14:paraId="6CD65233">
                  <w:pPr>
                    <w:keepNext w:val="0"/>
                    <w:keepLines w:val="0"/>
                    <w:widowControl/>
                    <w:suppressLineNumbers w:val="0"/>
                    <w:jc w:val="center"/>
                    <w:textAlignment w:val="center"/>
                    <w:rPr>
                      <w:rFonts w:hint="default"/>
                      <w:color w:val="auto"/>
                      <w:szCs w:val="21"/>
                      <w:lang w:val="en-US" w:eastAsia="zh-CN"/>
                    </w:rPr>
                  </w:pPr>
                  <w:r>
                    <w:rPr>
                      <w:rFonts w:hint="eastAsia"/>
                      <w:color w:val="auto"/>
                      <w:szCs w:val="21"/>
                      <w:lang w:val="en-US" w:eastAsia="zh-CN"/>
                    </w:rPr>
                    <w:t>粉尘废气排放口</w:t>
                  </w:r>
                </w:p>
              </w:tc>
              <w:tc>
                <w:tcPr>
                  <w:tcW w:w="868" w:type="pct"/>
                  <w:tcBorders>
                    <w:tl2br w:val="nil"/>
                    <w:tr2bl w:val="nil"/>
                  </w:tcBorders>
                  <w:noWrap w:val="0"/>
                  <w:vAlign w:val="center"/>
                </w:tcPr>
                <w:p w14:paraId="7A7BEB36">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一般排放口</w:t>
                  </w:r>
                </w:p>
              </w:tc>
              <w:tc>
                <w:tcPr>
                  <w:tcW w:w="1261" w:type="pct"/>
                  <w:tcBorders>
                    <w:tl2br w:val="nil"/>
                    <w:tr2bl w:val="nil"/>
                  </w:tcBorders>
                  <w:noWrap w:val="0"/>
                  <w:vAlign w:val="center"/>
                </w:tcPr>
                <w:p w14:paraId="2A0F2255">
                  <w:pPr>
                    <w:keepNext w:val="0"/>
                    <w:keepLines w:val="0"/>
                    <w:widowControl/>
                    <w:suppressLineNumbers w:val="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经度：120°19′48.60</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val="en-US" w:eastAsia="zh-CN"/>
                    </w:rPr>
                    <w:t>″</w:t>
                  </w:r>
                </w:p>
                <w:p w14:paraId="182BB4E7">
                  <w:pPr>
                    <w:keepNext w:val="0"/>
                    <w:keepLines w:val="0"/>
                    <w:widowControl/>
                    <w:suppressLineNumbers w:val="0"/>
                    <w:jc w:val="center"/>
                    <w:textAlignment w:val="center"/>
                    <w:rPr>
                      <w:rFonts w:hint="default"/>
                      <w:color w:val="auto"/>
                      <w:szCs w:val="21"/>
                      <w:lang w:val="en-US" w:eastAsia="zh-CN"/>
                    </w:rPr>
                  </w:pPr>
                  <w:r>
                    <w:rPr>
                      <w:rFonts w:hint="default" w:ascii="Times New Roman" w:hAnsi="Times New Roman" w:cs="Times New Roman"/>
                      <w:color w:val="auto"/>
                      <w:szCs w:val="21"/>
                      <w:highlight w:val="none"/>
                      <w:lang w:val="en-US" w:eastAsia="zh-CN"/>
                    </w:rPr>
                    <w:t>纬度：27°17′47.849″</w:t>
                  </w:r>
                </w:p>
              </w:tc>
            </w:tr>
            <w:tr w14:paraId="755563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751" w:type="pct"/>
                  <w:tcBorders>
                    <w:tl2br w:val="nil"/>
                    <w:tr2bl w:val="nil"/>
                  </w:tcBorders>
                  <w:shd w:val="clear" w:color="auto" w:fill="auto"/>
                  <w:noWrap w:val="0"/>
                  <w:vAlign w:val="center"/>
                </w:tcPr>
                <w:p w14:paraId="399101D9">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DA002</w:t>
                  </w:r>
                </w:p>
              </w:tc>
              <w:tc>
                <w:tcPr>
                  <w:tcW w:w="464" w:type="pct"/>
                  <w:tcBorders>
                    <w:tl2br w:val="nil"/>
                    <w:tr2bl w:val="nil"/>
                  </w:tcBorders>
                  <w:shd w:val="clear" w:color="auto" w:fill="auto"/>
                  <w:noWrap w:val="0"/>
                  <w:vAlign w:val="center"/>
                </w:tcPr>
                <w:p w14:paraId="0DD73E81">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p>
              </w:tc>
              <w:tc>
                <w:tcPr>
                  <w:tcW w:w="515" w:type="pct"/>
                  <w:tcBorders>
                    <w:tl2br w:val="nil"/>
                    <w:tr2bl w:val="nil"/>
                  </w:tcBorders>
                  <w:shd w:val="clear" w:color="auto" w:fill="auto"/>
                  <w:noWrap w:val="0"/>
                  <w:vAlign w:val="center"/>
                </w:tcPr>
                <w:p w14:paraId="6E8F3032">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0.6</w:t>
                  </w:r>
                </w:p>
              </w:tc>
              <w:tc>
                <w:tcPr>
                  <w:tcW w:w="381" w:type="pct"/>
                  <w:tcBorders>
                    <w:tl2br w:val="nil"/>
                    <w:tr2bl w:val="nil"/>
                  </w:tcBorders>
                  <w:shd w:val="clear" w:color="auto" w:fill="auto"/>
                  <w:noWrap w:val="0"/>
                  <w:vAlign w:val="center"/>
                </w:tcPr>
                <w:p w14:paraId="2C01AD6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40</w:t>
                  </w:r>
                </w:p>
              </w:tc>
              <w:tc>
                <w:tcPr>
                  <w:tcW w:w="757" w:type="pct"/>
                  <w:tcBorders>
                    <w:tl2br w:val="nil"/>
                    <w:tr2bl w:val="nil"/>
                  </w:tcBorders>
                  <w:shd w:val="clear" w:color="auto" w:fill="auto"/>
                  <w:noWrap w:val="0"/>
                  <w:vAlign w:val="center"/>
                </w:tcPr>
                <w:p w14:paraId="32BCF8A6">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燃烧废气排放口</w:t>
                  </w:r>
                </w:p>
              </w:tc>
              <w:tc>
                <w:tcPr>
                  <w:tcW w:w="868" w:type="pct"/>
                  <w:tcBorders>
                    <w:tl2br w:val="nil"/>
                    <w:tr2bl w:val="nil"/>
                  </w:tcBorders>
                  <w:shd w:val="clear" w:color="auto" w:fill="auto"/>
                  <w:noWrap w:val="0"/>
                  <w:vAlign w:val="center"/>
                </w:tcPr>
                <w:p w14:paraId="7EEF0C0E">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一般排放口</w:t>
                  </w:r>
                </w:p>
              </w:tc>
              <w:tc>
                <w:tcPr>
                  <w:tcW w:w="1261" w:type="pct"/>
                  <w:tcBorders>
                    <w:tl2br w:val="nil"/>
                    <w:tr2bl w:val="nil"/>
                  </w:tcBorders>
                  <w:shd w:val="clear" w:color="auto" w:fill="auto"/>
                  <w:noWrap w:val="0"/>
                  <w:vAlign w:val="center"/>
                </w:tcPr>
                <w:p w14:paraId="20FBA777">
                  <w:pPr>
                    <w:keepNext w:val="0"/>
                    <w:keepLines w:val="0"/>
                    <w:widowControl/>
                    <w:suppressLineNumbers w:val="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经度：120°19′48.254″</w:t>
                  </w:r>
                </w:p>
                <w:p w14:paraId="664A4B2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highlight w:val="none"/>
                      <w:lang w:val="en-US" w:eastAsia="zh-CN"/>
                    </w:rPr>
                    <w:t>纬度：27°17′47.78</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val="en-US" w:eastAsia="zh-CN"/>
                    </w:rPr>
                    <w:t>″</w:t>
                  </w:r>
                </w:p>
              </w:tc>
            </w:tr>
            <w:tr w14:paraId="12CB97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pct"/>
                  <w:tcBorders>
                    <w:tl2br w:val="nil"/>
                    <w:tr2bl w:val="nil"/>
                  </w:tcBorders>
                  <w:shd w:val="clear" w:color="auto" w:fill="auto"/>
                  <w:noWrap w:val="0"/>
                  <w:vAlign w:val="center"/>
                </w:tcPr>
                <w:p w14:paraId="1CDE4080">
                  <w:pPr>
                    <w:keepNext w:val="0"/>
                    <w:keepLines w:val="0"/>
                    <w:widowControl/>
                    <w:suppressLineNumbers w:val="0"/>
                    <w:jc w:val="center"/>
                    <w:textAlignment w:val="center"/>
                    <w:rPr>
                      <w:rFonts w:hint="eastAsia"/>
                      <w:color w:val="auto"/>
                      <w:szCs w:val="21"/>
                      <w:lang w:val="en-US" w:eastAsia="zh-CN"/>
                    </w:rPr>
                  </w:pPr>
                  <w:r>
                    <w:rPr>
                      <w:rFonts w:hint="eastAsia"/>
                      <w:color w:val="auto"/>
                      <w:szCs w:val="21"/>
                      <w:lang w:val="en-US" w:eastAsia="zh-CN"/>
                    </w:rPr>
                    <w:t>DA003</w:t>
                  </w:r>
                </w:p>
              </w:tc>
              <w:tc>
                <w:tcPr>
                  <w:tcW w:w="464" w:type="pct"/>
                  <w:tcBorders>
                    <w:tl2br w:val="nil"/>
                    <w:tr2bl w:val="nil"/>
                  </w:tcBorders>
                  <w:shd w:val="clear" w:color="auto" w:fill="auto"/>
                  <w:noWrap w:val="0"/>
                  <w:vAlign w:val="center"/>
                </w:tcPr>
                <w:p w14:paraId="4FBA97BD">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p>
              </w:tc>
              <w:tc>
                <w:tcPr>
                  <w:tcW w:w="515" w:type="pct"/>
                  <w:tcBorders>
                    <w:tl2br w:val="nil"/>
                    <w:tr2bl w:val="nil"/>
                  </w:tcBorders>
                  <w:shd w:val="clear" w:color="auto" w:fill="auto"/>
                  <w:noWrap w:val="0"/>
                  <w:vAlign w:val="center"/>
                </w:tcPr>
                <w:p w14:paraId="023A338D">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0.6</w:t>
                  </w:r>
                </w:p>
              </w:tc>
              <w:tc>
                <w:tcPr>
                  <w:tcW w:w="381" w:type="pct"/>
                  <w:tcBorders>
                    <w:tl2br w:val="nil"/>
                    <w:tr2bl w:val="nil"/>
                  </w:tcBorders>
                  <w:shd w:val="clear" w:color="auto" w:fill="auto"/>
                  <w:noWrap w:val="0"/>
                  <w:vAlign w:val="center"/>
                </w:tcPr>
                <w:p w14:paraId="363E1D9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40</w:t>
                  </w:r>
                </w:p>
              </w:tc>
              <w:tc>
                <w:tcPr>
                  <w:tcW w:w="757" w:type="pct"/>
                  <w:tcBorders>
                    <w:tl2br w:val="nil"/>
                    <w:tr2bl w:val="nil"/>
                  </w:tcBorders>
                  <w:shd w:val="clear" w:color="auto" w:fill="auto"/>
                  <w:noWrap w:val="0"/>
                  <w:vAlign w:val="center"/>
                </w:tcPr>
                <w:p w14:paraId="6C912ACF">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烘干废气排放口</w:t>
                  </w:r>
                </w:p>
              </w:tc>
              <w:tc>
                <w:tcPr>
                  <w:tcW w:w="868" w:type="pct"/>
                  <w:tcBorders>
                    <w:tl2br w:val="nil"/>
                    <w:tr2bl w:val="nil"/>
                  </w:tcBorders>
                  <w:shd w:val="clear" w:color="auto" w:fill="auto"/>
                  <w:noWrap w:val="0"/>
                  <w:vAlign w:val="center"/>
                </w:tcPr>
                <w:p w14:paraId="058A6D75">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一般排放口</w:t>
                  </w:r>
                </w:p>
              </w:tc>
              <w:tc>
                <w:tcPr>
                  <w:tcW w:w="1261" w:type="pct"/>
                  <w:tcBorders>
                    <w:tl2br w:val="nil"/>
                    <w:tr2bl w:val="nil"/>
                  </w:tcBorders>
                  <w:shd w:val="clear" w:color="auto" w:fill="auto"/>
                  <w:noWrap w:val="0"/>
                  <w:vAlign w:val="center"/>
                </w:tcPr>
                <w:p w14:paraId="0398F2E5">
                  <w:pPr>
                    <w:keepNext w:val="0"/>
                    <w:keepLines w:val="0"/>
                    <w:widowControl/>
                    <w:suppressLineNumbers w:val="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经度：120°19′48.21</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lang w:val="en-US" w:eastAsia="zh-CN"/>
                    </w:rPr>
                    <w:t>″</w:t>
                  </w:r>
                </w:p>
                <w:p w14:paraId="48E6AD3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highlight w:val="none"/>
                      <w:lang w:val="en-US" w:eastAsia="zh-CN"/>
                    </w:rPr>
                    <w:t>纬度：27°17′47.94</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lang w:val="en-US" w:eastAsia="zh-CN"/>
                    </w:rPr>
                    <w:t>″</w:t>
                  </w:r>
                </w:p>
              </w:tc>
            </w:tr>
          </w:tbl>
          <w:p w14:paraId="5CE24CF8">
            <w:pPr>
              <w:adjustRightInd w:val="0"/>
              <w:snapToGrid w:val="0"/>
              <w:jc w:val="center"/>
              <w:rPr>
                <w:rFonts w:hint="eastAsia" w:ascii="Times New Roman" w:hAnsi="Times New Roman" w:eastAsia="宋体" w:cs="Times New Roman"/>
                <w:color w:val="auto"/>
                <w:kern w:val="0"/>
                <w:szCs w:val="21"/>
                <w:lang w:val="en-US" w:eastAsia="zh-CN"/>
              </w:rPr>
            </w:pPr>
          </w:p>
        </w:tc>
      </w:tr>
    </w:tbl>
    <w:p w14:paraId="7C8BCA79">
      <w:pPr>
        <w:rPr>
          <w:color w:val="auto"/>
        </w:rPr>
      </w:pPr>
    </w:p>
    <w:p w14:paraId="4186D5A3">
      <w:pPr>
        <w:adjustRightInd w:val="0"/>
        <w:snapToGrid w:val="0"/>
        <w:spacing w:line="360" w:lineRule="auto"/>
        <w:rPr>
          <w:rFonts w:ascii="Times New Roman" w:hAnsi="Times New Roman"/>
          <w:b/>
          <w:color w:val="auto"/>
          <w:kern w:val="0"/>
          <w:sz w:val="28"/>
          <w:szCs w:val="28"/>
        </w:rPr>
        <w:sectPr>
          <w:pgSz w:w="16838" w:h="11906" w:orient="landscape"/>
          <w:pgMar w:top="1531" w:right="2126"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2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346"/>
      </w:tblGrid>
      <w:tr w14:paraId="62C7E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635" w:type="dxa"/>
            <w:noWrap w:val="0"/>
            <w:tcMar>
              <w:left w:w="28" w:type="dxa"/>
              <w:right w:w="28" w:type="dxa"/>
            </w:tcMar>
            <w:vAlign w:val="center"/>
          </w:tcPr>
          <w:p w14:paraId="46E9F13B">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运营</w:t>
            </w:r>
          </w:p>
          <w:p w14:paraId="4A5B38A1">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期环</w:t>
            </w:r>
          </w:p>
          <w:p w14:paraId="0AED105F">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境影</w:t>
            </w:r>
          </w:p>
          <w:p w14:paraId="478C0249">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响和</w:t>
            </w:r>
          </w:p>
          <w:p w14:paraId="0809D57E">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保护</w:t>
            </w:r>
          </w:p>
          <w:p w14:paraId="1D771C02">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措施</w:t>
            </w:r>
          </w:p>
        </w:tc>
        <w:tc>
          <w:tcPr>
            <w:tcW w:w="8346" w:type="dxa"/>
            <w:noWrap w:val="0"/>
            <w:vAlign w:val="center"/>
          </w:tcPr>
          <w:p w14:paraId="3DF63BDE">
            <w:pPr>
              <w:spacing w:before="120" w:beforeLines="50" w:line="360" w:lineRule="auto"/>
              <w:jc w:val="left"/>
              <w:outlineLvl w:val="2"/>
              <w:rPr>
                <w:rFonts w:ascii="Times New Roman" w:hAnsi="Times New Roman"/>
                <w:color w:val="auto"/>
                <w:sz w:val="24"/>
                <w:szCs w:val="24"/>
              </w:rPr>
            </w:pPr>
            <w:r>
              <w:rPr>
                <w:rFonts w:ascii="Times New Roman" w:hAnsi="Times New Roman"/>
                <w:b/>
                <w:color w:val="auto"/>
                <w:sz w:val="24"/>
                <w:szCs w:val="24"/>
              </w:rPr>
              <w:t>4.2.1.2</w:t>
            </w:r>
            <w:r>
              <w:rPr>
                <w:rFonts w:hint="eastAsia" w:ascii="Times New Roman" w:hAnsi="Times New Roman"/>
                <w:b/>
                <w:color w:val="auto"/>
                <w:sz w:val="24"/>
                <w:szCs w:val="24"/>
              </w:rPr>
              <w:t>大气影响分析及防治措施</w:t>
            </w:r>
          </w:p>
          <w:p w14:paraId="651615B3">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hint="default" w:ascii="Times New Roman" w:hAnsi="Times New Roman" w:cs="Times New Roman"/>
                <w:color w:val="auto"/>
              </w:rPr>
            </w:pPr>
            <w:r>
              <w:rPr>
                <w:rFonts w:hint="default" w:ascii="Times New Roman" w:hAnsi="Times New Roman" w:cs="Times New Roman"/>
                <w:color w:val="auto"/>
              </w:rPr>
              <w:t>（1）大气影响分析</w:t>
            </w:r>
          </w:p>
          <w:p w14:paraId="27A4A8A7">
            <w:pPr>
              <w:pStyle w:val="192"/>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olor w:val="auto"/>
                <w:lang w:val="en-US" w:eastAsia="zh-CN"/>
              </w:rPr>
            </w:pPr>
            <w:r>
              <w:rPr>
                <w:rFonts w:hint="default" w:ascii="Times New Roman" w:hAnsi="Times New Roman" w:cs="Times New Roman"/>
                <w:color w:val="auto"/>
              </w:rPr>
              <w:t>项目生产车间密闭，生产线</w:t>
            </w:r>
            <w:r>
              <w:rPr>
                <w:rFonts w:hint="default" w:ascii="Times New Roman" w:hAnsi="Times New Roman" w:cs="Times New Roman"/>
                <w:color w:val="auto"/>
                <w:szCs w:val="24"/>
              </w:rPr>
              <w:t>设置</w:t>
            </w:r>
            <w:r>
              <w:rPr>
                <w:rFonts w:hint="eastAsia" w:ascii="Times New Roman" w:hAnsi="Times New Roman" w:cs="Times New Roman"/>
                <w:color w:val="auto"/>
                <w:szCs w:val="24"/>
                <w:lang w:val="en-US" w:eastAsia="zh-CN"/>
              </w:rPr>
              <w:t>正</w:t>
            </w:r>
            <w:r>
              <w:rPr>
                <w:rFonts w:hint="default" w:ascii="Times New Roman" w:hAnsi="Times New Roman" w:cs="Times New Roman"/>
                <w:color w:val="auto"/>
                <w:szCs w:val="24"/>
              </w:rPr>
              <w:t>压收集系统，于破碎</w:t>
            </w:r>
            <w:r>
              <w:rPr>
                <w:rFonts w:hint="eastAsia" w:ascii="Times New Roman" w:hAnsi="Times New Roman" w:cs="Times New Roman"/>
                <w:color w:val="auto"/>
                <w:szCs w:val="24"/>
                <w:lang w:val="en-US" w:eastAsia="zh-CN"/>
              </w:rPr>
              <w:t>设备</w:t>
            </w:r>
            <w:r>
              <w:rPr>
                <w:rFonts w:hint="eastAsia" w:cs="Times New Roman"/>
                <w:color w:val="auto"/>
                <w:szCs w:val="24"/>
                <w:lang w:val="en-US" w:eastAsia="zh-CN"/>
              </w:rPr>
              <w:t>、</w:t>
            </w:r>
            <w:r>
              <w:rPr>
                <w:rFonts w:hint="eastAsia" w:ascii="Times New Roman" w:hAnsi="Times New Roman" w:cs="Times New Roman"/>
                <w:color w:val="auto"/>
                <w:szCs w:val="24"/>
                <w:lang w:eastAsia="zh-CN"/>
              </w:rPr>
              <w:t>筛分</w:t>
            </w:r>
            <w:r>
              <w:rPr>
                <w:rFonts w:hint="eastAsia" w:ascii="Times New Roman" w:hAnsi="Times New Roman" w:cs="Times New Roman"/>
                <w:color w:val="auto"/>
                <w:szCs w:val="24"/>
                <w:lang w:val="en-US" w:eastAsia="zh-CN"/>
              </w:rPr>
              <w:t>设备</w:t>
            </w:r>
            <w:r>
              <w:rPr>
                <w:rFonts w:hint="eastAsia"/>
                <w:color w:val="auto"/>
                <w:lang w:eastAsia="zh-CN"/>
              </w:rPr>
              <w:t>、</w:t>
            </w:r>
            <w:r>
              <w:rPr>
                <w:rFonts w:hint="eastAsia"/>
                <w:color w:val="auto"/>
                <w:lang w:val="en-US" w:eastAsia="zh-CN"/>
              </w:rPr>
              <w:t>包装设备</w:t>
            </w:r>
            <w:r>
              <w:rPr>
                <w:rFonts w:hint="default" w:ascii="Times New Roman" w:hAnsi="Times New Roman" w:cs="Times New Roman"/>
                <w:color w:val="auto"/>
                <w:szCs w:val="24"/>
              </w:rPr>
              <w:t>上方设置集气罩</w:t>
            </w:r>
            <w:r>
              <w:rPr>
                <w:rFonts w:hint="eastAsia" w:ascii="Times New Roman" w:hAnsi="Times New Roman" w:cs="Times New Roman"/>
                <w:color w:val="auto"/>
                <w:szCs w:val="24"/>
                <w:lang w:eastAsia="zh-CN"/>
              </w:rPr>
              <w:t>，</w:t>
            </w:r>
            <w:r>
              <w:rPr>
                <w:rFonts w:hint="eastAsia" w:ascii="Times New Roman" w:hAnsi="Times New Roman" w:cs="Times New Roman"/>
                <w:color w:val="auto"/>
                <w:szCs w:val="24"/>
                <w:lang w:val="en-US" w:eastAsia="zh-CN"/>
              </w:rPr>
              <w:t>粉磨设备为密闭设施，设备内部粉尘通过密闭管道收集</w:t>
            </w:r>
            <w:r>
              <w:rPr>
                <w:rFonts w:hint="default" w:ascii="Times New Roman" w:hAnsi="Times New Roman" w:cs="Times New Roman"/>
                <w:color w:val="auto"/>
              </w:rPr>
              <w:t>，</w:t>
            </w:r>
            <w:r>
              <w:rPr>
                <w:rFonts w:hint="eastAsia" w:ascii="Times New Roman" w:hAnsi="Times New Roman" w:cs="Times New Roman"/>
                <w:color w:val="auto"/>
                <w:szCs w:val="24"/>
                <w:lang w:val="en-US" w:eastAsia="zh-CN"/>
              </w:rPr>
              <w:t>粉尘经收集后引至</w:t>
            </w:r>
            <w:r>
              <w:rPr>
                <w:rFonts w:hint="default" w:ascii="Times New Roman" w:hAnsi="Times New Roman" w:cs="Times New Roman"/>
                <w:color w:val="auto"/>
                <w:lang w:val="en-GB"/>
              </w:rPr>
              <w:t>“</w:t>
            </w:r>
            <w:r>
              <w:rPr>
                <w:rFonts w:hint="eastAsia" w:cs="Times New Roman"/>
                <w:color w:val="auto"/>
                <w:lang w:val="en-US" w:eastAsia="zh-CN"/>
              </w:rPr>
              <w:t>1#</w:t>
            </w:r>
            <w:r>
              <w:rPr>
                <w:rFonts w:hint="default" w:ascii="Times New Roman" w:hAnsi="Times New Roman" w:cs="Times New Roman"/>
                <w:color w:val="auto"/>
                <w:lang w:val="en-GB"/>
              </w:rPr>
              <w:t>布袋除尘器”处理后经过1根15m高排气筒（DA00</w:t>
            </w:r>
            <w:r>
              <w:rPr>
                <w:rFonts w:hint="eastAsia" w:cs="Times New Roman"/>
                <w:color w:val="auto"/>
                <w:lang w:val="en-US" w:eastAsia="zh-CN"/>
              </w:rPr>
              <w:t>1</w:t>
            </w:r>
            <w:r>
              <w:rPr>
                <w:rFonts w:hint="default" w:ascii="Times New Roman" w:hAnsi="Times New Roman" w:cs="Times New Roman"/>
                <w:color w:val="auto"/>
                <w:lang w:val="en-GB"/>
              </w:rPr>
              <w:t>）排放</w:t>
            </w:r>
            <w:r>
              <w:rPr>
                <w:rFonts w:hint="eastAsia" w:ascii="Times New Roman" w:hAnsi="Times New Roman" w:cs="Times New Roman"/>
                <w:color w:val="auto"/>
                <w:lang w:val="en-GB" w:eastAsia="zh-CN"/>
              </w:rPr>
              <w:t>，</w:t>
            </w:r>
            <w:r>
              <w:rPr>
                <w:rFonts w:hint="eastAsia" w:ascii="Times New Roman" w:hAnsi="Times New Roman" w:cs="Times New Roman"/>
                <w:color w:val="auto"/>
                <w:lang w:val="en-US" w:eastAsia="zh-CN"/>
              </w:rPr>
              <w:t>所排放粉尘废气符合</w:t>
            </w:r>
            <w:r>
              <w:rPr>
                <w:rFonts w:hint="default" w:ascii="Times New Roman" w:hAnsi="Times New Roman" w:cs="Times New Roman"/>
                <w:color w:val="auto"/>
              </w:rPr>
              <w:t>《大气污染物综合排放标准》（GB16297-1996）表2中二级标准</w:t>
            </w:r>
            <w:r>
              <w:rPr>
                <w:rFonts w:hint="eastAsia" w:ascii="Times New Roman" w:hAnsi="Times New Roman" w:cs="Times New Roman"/>
                <w:color w:val="auto"/>
                <w:lang w:val="en-US" w:eastAsia="zh-CN"/>
              </w:rPr>
              <w:t>要求</w:t>
            </w:r>
            <w:r>
              <w:rPr>
                <w:rFonts w:hint="default" w:ascii="Times New Roman" w:hAnsi="Times New Roman" w:cs="Times New Roman"/>
                <w:color w:val="auto"/>
              </w:rPr>
              <w:t>。</w:t>
            </w:r>
            <w:r>
              <w:rPr>
                <w:rFonts w:hint="eastAsia" w:cs="Times New Roman"/>
                <w:color w:val="auto"/>
                <w:lang w:val="en-US" w:eastAsia="zh-CN"/>
              </w:rPr>
              <w:t>天然气经低氮燃烧后，尾气通过15m排气筒（DA002）高空排放，</w:t>
            </w:r>
            <w:r>
              <w:rPr>
                <w:rFonts w:hint="eastAsia" w:ascii="Times New Roman" w:hAnsi="Times New Roman" w:cs="Times New Roman"/>
                <w:color w:val="auto"/>
                <w:lang w:val="en-US" w:eastAsia="zh-CN"/>
              </w:rPr>
              <w:t>所排放粉尘</w:t>
            </w:r>
            <w:r>
              <w:rPr>
                <w:rFonts w:hint="eastAsia" w:cs="Times New Roman"/>
                <w:color w:val="auto"/>
                <w:lang w:val="en-US" w:eastAsia="zh-CN"/>
              </w:rPr>
              <w:t>、二氧化硫、氮氧化物</w:t>
            </w:r>
            <w:r>
              <w:rPr>
                <w:rFonts w:hint="eastAsia"/>
                <w:color w:val="auto"/>
                <w:lang w:val="en-US" w:eastAsia="zh-CN"/>
              </w:rPr>
              <w:t>可满足《锅炉大气污染物排放标准》（GB13271-2014）表2大气污染物排放浓度限值要求</w:t>
            </w:r>
            <w:r>
              <w:rPr>
                <w:rFonts w:hint="eastAsia" w:cs="Times New Roman"/>
                <w:color w:val="auto"/>
                <w:lang w:val="en-US" w:eastAsia="zh-CN"/>
              </w:rPr>
              <w:t>；烘干炉尾气</w:t>
            </w:r>
            <w:r>
              <w:rPr>
                <w:rFonts w:hint="eastAsia" w:ascii="Times New Roman" w:hAnsi="Times New Roman" w:cs="Times New Roman"/>
                <w:color w:val="auto"/>
                <w:szCs w:val="24"/>
                <w:lang w:val="en-US" w:eastAsia="zh-CN"/>
              </w:rPr>
              <w:t>通过密闭管道收集</w:t>
            </w:r>
            <w:r>
              <w:rPr>
                <w:rFonts w:hint="default" w:ascii="Times New Roman" w:hAnsi="Times New Roman" w:cs="Times New Roman"/>
                <w:color w:val="auto"/>
              </w:rPr>
              <w:t>，</w:t>
            </w:r>
            <w:r>
              <w:rPr>
                <w:rFonts w:hint="eastAsia" w:ascii="Times New Roman" w:hAnsi="Times New Roman" w:cs="Times New Roman"/>
                <w:color w:val="auto"/>
                <w:szCs w:val="24"/>
                <w:lang w:val="en-US" w:eastAsia="zh-CN"/>
              </w:rPr>
              <w:t>粉尘经收集后引至</w:t>
            </w:r>
            <w:r>
              <w:rPr>
                <w:rFonts w:hint="default" w:ascii="Times New Roman" w:hAnsi="Times New Roman" w:cs="Times New Roman"/>
                <w:color w:val="auto"/>
                <w:lang w:val="en-GB"/>
              </w:rPr>
              <w:t>“</w:t>
            </w:r>
            <w:r>
              <w:rPr>
                <w:rFonts w:hint="eastAsia" w:cs="Times New Roman"/>
                <w:color w:val="auto"/>
                <w:lang w:val="en-US" w:eastAsia="zh-CN"/>
              </w:rPr>
              <w:t>2#</w:t>
            </w:r>
            <w:r>
              <w:rPr>
                <w:rFonts w:hint="default" w:ascii="Times New Roman" w:hAnsi="Times New Roman" w:cs="Times New Roman"/>
                <w:color w:val="auto"/>
                <w:lang w:val="en-GB"/>
              </w:rPr>
              <w:t>布袋除尘器”处理后经过15m高排气筒（DA00</w:t>
            </w:r>
            <w:r>
              <w:rPr>
                <w:rFonts w:hint="eastAsia" w:cs="Times New Roman"/>
                <w:color w:val="auto"/>
                <w:lang w:val="en-US" w:eastAsia="zh-CN"/>
              </w:rPr>
              <w:t>3</w:t>
            </w:r>
            <w:r>
              <w:rPr>
                <w:rFonts w:hint="default" w:ascii="Times New Roman" w:hAnsi="Times New Roman" w:cs="Times New Roman"/>
                <w:color w:val="auto"/>
                <w:lang w:val="en-GB"/>
              </w:rPr>
              <w:t>）排放</w:t>
            </w:r>
            <w:r>
              <w:rPr>
                <w:rFonts w:hint="eastAsia" w:ascii="Times New Roman" w:hAnsi="Times New Roman" w:cs="Times New Roman"/>
                <w:color w:val="auto"/>
                <w:lang w:val="en-GB" w:eastAsia="zh-CN"/>
              </w:rPr>
              <w:t>，</w:t>
            </w:r>
            <w:r>
              <w:rPr>
                <w:rFonts w:hint="eastAsia" w:ascii="Times New Roman" w:hAnsi="Times New Roman" w:cs="Times New Roman"/>
                <w:color w:val="auto"/>
                <w:lang w:val="en-US" w:eastAsia="zh-CN"/>
              </w:rPr>
              <w:t>所排放粉尘废气符合</w:t>
            </w:r>
            <w:r>
              <w:rPr>
                <w:rFonts w:hint="default" w:ascii="Times New Roman" w:hAnsi="Times New Roman" w:cs="Times New Roman"/>
                <w:color w:val="auto"/>
              </w:rPr>
              <w:t>《大气污染物综合排放标准》（GB16297-1996）表2中二级标准</w:t>
            </w:r>
            <w:r>
              <w:rPr>
                <w:rFonts w:hint="eastAsia" w:ascii="Times New Roman" w:hAnsi="Times New Roman" w:cs="Times New Roman"/>
                <w:color w:val="auto"/>
                <w:lang w:val="en-US" w:eastAsia="zh-CN"/>
              </w:rPr>
              <w:t>要求</w:t>
            </w:r>
            <w:r>
              <w:rPr>
                <w:rFonts w:hint="default" w:ascii="Times New Roman" w:hAnsi="Times New Roman" w:cs="Times New Roman"/>
                <w:color w:val="auto"/>
              </w:rPr>
              <w:t>。</w:t>
            </w:r>
          </w:p>
          <w:p w14:paraId="1A410805">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hint="default" w:ascii="Times New Roman" w:hAnsi="Times New Roman" w:cs="Times New Roman"/>
                <w:color w:val="auto"/>
                <w:lang w:val="en-GB"/>
              </w:rPr>
            </w:pPr>
            <w:r>
              <w:rPr>
                <w:rFonts w:hint="default" w:ascii="Times New Roman" w:hAnsi="Times New Roman" w:cs="Times New Roman"/>
                <w:color w:val="auto"/>
                <w:lang w:val="en-GB"/>
              </w:rPr>
              <w:t>生产过程中车间密闭，输送系统密闭，未收集的粉尘以无组织形式排放，经空气扩散和距离衰减后，预计厂界无组织浓度可小于1.0mg/m</w:t>
            </w:r>
            <w:r>
              <w:rPr>
                <w:rFonts w:hint="default" w:ascii="Times New Roman" w:hAnsi="Times New Roman" w:cs="Times New Roman"/>
                <w:color w:val="auto"/>
                <w:vertAlign w:val="superscript"/>
                <w:lang w:val="en-GB"/>
              </w:rPr>
              <w:t>3</w:t>
            </w:r>
            <w:r>
              <w:rPr>
                <w:rFonts w:hint="default" w:ascii="Times New Roman" w:hAnsi="Times New Roman" w:cs="Times New Roman"/>
                <w:color w:val="auto"/>
                <w:lang w:val="en-GB"/>
              </w:rPr>
              <w:t>，符合《大气污染物综合排放标准》（GB16297-1996）表2中颗粒物无组织周界外监控限值。</w:t>
            </w:r>
          </w:p>
          <w:p w14:paraId="2948809C">
            <w:pPr>
              <w:pStyle w:val="192"/>
              <w:adjustRightInd w:val="0"/>
              <w:snapToGrid w:val="0"/>
              <w:rPr>
                <w:rFonts w:hint="default"/>
                <w:color w:val="auto"/>
                <w:lang w:val="en-US" w:eastAsia="zh-CN"/>
              </w:rPr>
            </w:pPr>
            <w:r>
              <w:rPr>
                <w:rFonts w:hint="eastAsia"/>
                <w:color w:val="auto"/>
                <w:lang w:val="en-US" w:eastAsia="zh-CN"/>
              </w:rPr>
              <w:t>综上，本项目建成后大气污染物排放对周边大气环境影响较小。</w:t>
            </w:r>
          </w:p>
          <w:p w14:paraId="32C9DD16">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rPr>
              <w:t>）废气治理措施</w:t>
            </w:r>
            <w:r>
              <w:rPr>
                <w:rFonts w:hint="eastAsia" w:ascii="Times New Roman" w:hAnsi="Times New Roman" w:eastAsia="宋体" w:cs="Times New Roman"/>
                <w:color w:val="auto"/>
                <w:lang w:val="en-US" w:eastAsia="zh-CN"/>
              </w:rPr>
              <w:t>可行性</w:t>
            </w:r>
            <w:r>
              <w:rPr>
                <w:rFonts w:hint="default" w:ascii="Times New Roman" w:hAnsi="Times New Roman" w:eastAsia="宋体" w:cs="Times New Roman"/>
                <w:color w:val="auto"/>
              </w:rPr>
              <w:t>分析</w:t>
            </w:r>
          </w:p>
          <w:p w14:paraId="3E16B424">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hint="default" w:ascii="Times New Roman" w:hAnsi="Times New Roman" w:eastAsia="宋体" w:cs="Times New Roman"/>
                <w:color w:val="auto"/>
              </w:rPr>
            </w:pPr>
            <w:r>
              <w:rPr>
                <w:rFonts w:hint="eastAsia" w:cs="Times New Roman"/>
                <w:color w:val="auto"/>
                <w:lang w:val="en-US" w:eastAsia="zh-CN"/>
              </w:rPr>
              <w:t>①</w:t>
            </w:r>
            <w:r>
              <w:rPr>
                <w:rFonts w:hint="default" w:ascii="Times New Roman" w:hAnsi="Times New Roman" w:eastAsia="宋体" w:cs="Times New Roman"/>
                <w:color w:val="auto"/>
              </w:rPr>
              <w:t>布袋除尘器</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项目粉尘进入布袋除尘器内部，气流扩散后，均匀分布在布袋除尘器内部整个进气通道内，使气流流速大大降低，大多数粉尘沉降在灰斗中，经过初级除尘分离后的废气经过气体导流均布板，均匀分布到各个袋室及每个袋室的整个区域，整个气流组织分布相当均匀，且气体流速控制在合理的范围之内，这个过程实现了粉尘的二次沉降。经过二次粉尘沉降后的废气含尘量大大降低，在除尘器内部的负压作用下均匀缓慢穿过滤袋，粉尘被滤袋捕集，并在滤袋表面形成尘饼，净化后的较洁净废气经净气室及通道排出布袋除尘器。</w:t>
            </w:r>
          </w:p>
          <w:p w14:paraId="00102ED9">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由于布袋的截流、扩散、吸附等作用，使粉尘滞留在布袋及其缝隙中，除尘后的废气再经引风机及排气筒排出。随着滤袋表面积尘增多，滤袋两侧的压差也随之增加，当压差达到清灰设定值时，脉冲阀打开，储气罐中的压缩空气通过清灰风管及其喷嘴将压缩空气均匀喷入滤袋内完成一次清灰。清灰的脉冲时间和脉冲间隔时间可以根据废气负荷的情况自动进行调整，从而保证了布袋除尘器的持续、正常运行。</w:t>
            </w:r>
          </w:p>
          <w:p w14:paraId="1754B65F">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hint="default" w:ascii="Times New Roman" w:hAnsi="Times New Roman" w:eastAsia="宋体" w:cs="Times New Roman"/>
                <w:color w:val="auto"/>
              </w:rPr>
            </w:pPr>
            <w:r>
              <w:rPr>
                <w:rFonts w:hint="default" w:ascii="Times New Roman" w:hAnsi="Times New Roman" w:cs="Times New Roman"/>
                <w:color w:val="auto"/>
              </w:rPr>
              <w:t>经过处理后的粉尘可以达到《大气污染物综合排放标准》（GB16297-1996）表2中二级标准。</w:t>
            </w:r>
            <w:r>
              <w:rPr>
                <w:rFonts w:hint="default" w:ascii="Times New Roman" w:hAnsi="Times New Roman" w:eastAsia="宋体" w:cs="Times New Roman"/>
                <w:color w:val="auto"/>
              </w:rPr>
              <w:t>采取的措施合理可行。</w:t>
            </w:r>
          </w:p>
          <w:p w14:paraId="1B32B739">
            <w:pPr>
              <w:pStyle w:val="149"/>
              <w:ind w:firstLine="480"/>
              <w:rPr>
                <w:color w:val="auto"/>
              </w:rPr>
            </w:pPr>
            <w:r>
              <w:rPr>
                <w:color w:val="auto"/>
              </w:rPr>
              <w:t>参照《</w:t>
            </w:r>
            <w:r>
              <w:rPr>
                <w:rFonts w:hint="eastAsia"/>
                <w:color w:val="auto"/>
              </w:rPr>
              <w:t>排污许可证申请与核发技术规范 工业炉窑</w:t>
            </w:r>
            <w:r>
              <w:rPr>
                <w:color w:val="auto"/>
              </w:rPr>
              <w:t>》</w:t>
            </w:r>
            <w:r>
              <w:rPr>
                <w:rFonts w:hint="eastAsia"/>
                <w:color w:val="auto"/>
                <w:lang w:eastAsia="zh-CN"/>
              </w:rPr>
              <w:t>（HJ1121-2020）</w:t>
            </w:r>
            <w:r>
              <w:rPr>
                <w:rFonts w:hint="eastAsia"/>
                <w:color w:val="auto"/>
                <w:lang w:val="en-US" w:eastAsia="zh-CN"/>
              </w:rPr>
              <w:t>及</w:t>
            </w:r>
            <w:r>
              <w:rPr>
                <w:rFonts w:hint="eastAsia"/>
                <w:color w:val="auto"/>
                <w:lang w:eastAsia="zh-CN"/>
              </w:rPr>
              <w:t>《排污许可证申请与核发技术规范 废弃资源加工工业》（HJ 1034-2019），</w:t>
            </w:r>
            <w:r>
              <w:rPr>
                <w:color w:val="auto"/>
              </w:rPr>
              <w:t>采用</w:t>
            </w:r>
            <w:r>
              <w:rPr>
                <w:rFonts w:hint="eastAsia"/>
                <w:color w:val="auto"/>
                <w:lang w:val="en-US" w:eastAsia="zh-CN"/>
              </w:rPr>
              <w:t>袋式除尘均属于</w:t>
            </w:r>
            <w:r>
              <w:rPr>
                <w:color w:val="auto"/>
              </w:rPr>
              <w:t>可行技术。</w:t>
            </w:r>
          </w:p>
          <w:p w14:paraId="5D8516F8">
            <w:pPr>
              <w:numPr>
                <w:ilvl w:val="0"/>
                <w:numId w:val="8"/>
              </w:numPr>
              <w:tabs>
                <w:tab w:val="left" w:pos="0"/>
              </w:tabs>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废气污染防治可行技术</w:t>
            </w:r>
            <w:r>
              <w:rPr>
                <w:rFonts w:hint="eastAsia" w:ascii="Times New Roman" w:hAnsi="Times New Roman" w:cs="Times New Roman"/>
                <w:b/>
                <w:color w:val="auto"/>
                <w:sz w:val="24"/>
                <w:szCs w:val="24"/>
                <w:highlight w:val="none"/>
                <w:lang w:val="en-US" w:eastAsia="zh-CN"/>
              </w:rPr>
              <w:t>对照</w:t>
            </w:r>
            <w:r>
              <w:rPr>
                <w:rFonts w:hint="eastAsia" w:ascii="Times New Roman" w:hAnsi="Times New Roman" w:eastAsia="宋体" w:cs="Times New Roman"/>
                <w:b/>
                <w:color w:val="auto"/>
                <w:sz w:val="24"/>
                <w:szCs w:val="24"/>
                <w:highlight w:val="none"/>
              </w:rPr>
              <w:t>表</w:t>
            </w:r>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4"/>
              <w:gridCol w:w="915"/>
              <w:gridCol w:w="990"/>
              <w:gridCol w:w="1245"/>
              <w:gridCol w:w="915"/>
              <w:gridCol w:w="750"/>
              <w:gridCol w:w="2368"/>
            </w:tblGrid>
            <w:tr w14:paraId="21B66C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pct"/>
                  <w:tcBorders>
                    <w:tl2br w:val="nil"/>
                    <w:tr2bl w:val="nil"/>
                  </w:tcBorders>
                  <w:noWrap w:val="0"/>
                  <w:vAlign w:val="center"/>
                </w:tcPr>
                <w:p w14:paraId="03E49C95">
                  <w:pPr>
                    <w:shd w:val="clear" w:color="auto" w:fill="auto"/>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行业类型</w:t>
                  </w:r>
                </w:p>
              </w:tc>
              <w:tc>
                <w:tcPr>
                  <w:tcW w:w="562" w:type="pct"/>
                  <w:tcBorders>
                    <w:tl2br w:val="nil"/>
                    <w:tr2bl w:val="nil"/>
                  </w:tcBorders>
                  <w:noWrap w:val="0"/>
                  <w:vAlign w:val="center"/>
                </w:tcPr>
                <w:p w14:paraId="30160846">
                  <w:pPr>
                    <w:shd w:val="clear" w:color="auto" w:fill="auto"/>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主要生产单元</w:t>
                  </w:r>
                </w:p>
              </w:tc>
              <w:tc>
                <w:tcPr>
                  <w:tcW w:w="609" w:type="pct"/>
                  <w:tcBorders>
                    <w:tl2br w:val="nil"/>
                    <w:tr2bl w:val="nil"/>
                  </w:tcBorders>
                  <w:noWrap w:val="0"/>
                  <w:vAlign w:val="center"/>
                </w:tcPr>
                <w:p w14:paraId="08501F79">
                  <w:pPr>
                    <w:shd w:val="clear" w:color="auto" w:fill="auto"/>
                    <w:snapToGrid w:val="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主要污染物</w:t>
                  </w:r>
                </w:p>
              </w:tc>
              <w:tc>
                <w:tcPr>
                  <w:tcW w:w="765" w:type="pct"/>
                  <w:tcBorders>
                    <w:tl2br w:val="nil"/>
                    <w:tr2bl w:val="nil"/>
                  </w:tcBorders>
                  <w:noWrap w:val="0"/>
                  <w:vAlign w:val="center"/>
                </w:tcPr>
                <w:p w14:paraId="182F1387">
                  <w:pPr>
                    <w:pStyle w:val="201"/>
                    <w:shd w:val="clear" w:color="auto" w:fil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可行技术</w:t>
                  </w:r>
                </w:p>
              </w:tc>
              <w:tc>
                <w:tcPr>
                  <w:tcW w:w="562" w:type="pct"/>
                  <w:tcBorders>
                    <w:tl2br w:val="nil"/>
                    <w:tr2bl w:val="nil"/>
                  </w:tcBorders>
                  <w:noWrap w:val="0"/>
                  <w:vAlign w:val="center"/>
                </w:tcPr>
                <w:p w14:paraId="4ACCFB22">
                  <w:pPr>
                    <w:shd w:val="clear" w:color="auto" w:fill="auto"/>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本项目情况</w:t>
                  </w:r>
                </w:p>
              </w:tc>
              <w:tc>
                <w:tcPr>
                  <w:tcW w:w="461" w:type="pct"/>
                  <w:tcBorders>
                    <w:tl2br w:val="nil"/>
                    <w:tr2bl w:val="nil"/>
                  </w:tcBorders>
                  <w:noWrap w:val="0"/>
                  <w:vAlign w:val="center"/>
                </w:tcPr>
                <w:p w14:paraId="736DAB64">
                  <w:pPr>
                    <w:shd w:val="clear" w:color="auto" w:fill="auto"/>
                    <w:snapToGrid w:val="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是否可行</w:t>
                  </w:r>
                </w:p>
              </w:tc>
              <w:tc>
                <w:tcPr>
                  <w:tcW w:w="1456" w:type="pct"/>
                  <w:tcBorders>
                    <w:tl2br w:val="nil"/>
                    <w:tr2bl w:val="nil"/>
                  </w:tcBorders>
                  <w:noWrap w:val="0"/>
                  <w:vAlign w:val="center"/>
                </w:tcPr>
                <w:p w14:paraId="506A761A">
                  <w:pPr>
                    <w:shd w:val="clear" w:color="auto" w:fill="auto"/>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参照文件</w:t>
                  </w:r>
                </w:p>
              </w:tc>
            </w:tr>
            <w:tr w14:paraId="5025BC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pct"/>
                  <w:tcBorders>
                    <w:tl2br w:val="nil"/>
                    <w:tr2bl w:val="nil"/>
                  </w:tcBorders>
                  <w:noWrap w:val="0"/>
                  <w:vAlign w:val="center"/>
                </w:tcPr>
                <w:p w14:paraId="42790AFD">
                  <w:pPr>
                    <w:shd w:val="clear" w:color="auto" w:fill="auto"/>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其他废弃资源</w:t>
                  </w:r>
                </w:p>
              </w:tc>
              <w:tc>
                <w:tcPr>
                  <w:tcW w:w="562" w:type="pct"/>
                  <w:tcBorders>
                    <w:tl2br w:val="nil"/>
                    <w:tr2bl w:val="nil"/>
                  </w:tcBorders>
                  <w:noWrap w:val="0"/>
                  <w:vAlign w:val="center"/>
                </w:tcPr>
                <w:p w14:paraId="198AF6CC">
                  <w:pPr>
                    <w:shd w:val="clear" w:color="auto" w:fill="auto"/>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加工</w:t>
                  </w:r>
                </w:p>
              </w:tc>
              <w:tc>
                <w:tcPr>
                  <w:tcW w:w="609" w:type="pct"/>
                  <w:tcBorders>
                    <w:tl2br w:val="nil"/>
                    <w:tr2bl w:val="nil"/>
                  </w:tcBorders>
                  <w:noWrap w:val="0"/>
                  <w:vAlign w:val="center"/>
                </w:tcPr>
                <w:p w14:paraId="39FCFCC7">
                  <w:pPr>
                    <w:shd w:val="clear" w:color="auto" w:fill="auto"/>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颗粒物</w:t>
                  </w:r>
                </w:p>
              </w:tc>
              <w:tc>
                <w:tcPr>
                  <w:tcW w:w="765" w:type="pct"/>
                  <w:tcBorders>
                    <w:tl2br w:val="nil"/>
                    <w:tr2bl w:val="nil"/>
                  </w:tcBorders>
                  <w:noWrap w:val="0"/>
                  <w:vAlign w:val="center"/>
                </w:tcPr>
                <w:p w14:paraId="1F2F09A3">
                  <w:pPr>
                    <w:shd w:val="clear" w:color="auto" w:fill="auto"/>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布袋除尘</w:t>
                  </w:r>
                </w:p>
              </w:tc>
              <w:tc>
                <w:tcPr>
                  <w:tcW w:w="562" w:type="pct"/>
                  <w:tcBorders>
                    <w:tl2br w:val="nil"/>
                    <w:tr2bl w:val="nil"/>
                  </w:tcBorders>
                  <w:noWrap w:val="0"/>
                  <w:vAlign w:val="center"/>
                </w:tcPr>
                <w:p w14:paraId="724D8A34">
                  <w:pPr>
                    <w:adjustRightInd w:val="0"/>
                    <w:snapToGrid w:val="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采用布袋除尘</w:t>
                  </w:r>
                </w:p>
              </w:tc>
              <w:tc>
                <w:tcPr>
                  <w:tcW w:w="461" w:type="pct"/>
                  <w:tcBorders>
                    <w:tl2br w:val="nil"/>
                    <w:tr2bl w:val="nil"/>
                  </w:tcBorders>
                  <w:noWrap w:val="0"/>
                  <w:vAlign w:val="center"/>
                </w:tcPr>
                <w:p w14:paraId="10E07FB4">
                  <w:pPr>
                    <w:adjustRightInd w:val="0"/>
                    <w:snapToGrid w:val="0"/>
                    <w:jc w:val="center"/>
                    <w:rPr>
                      <w:rFonts w:hint="default" w:ascii="Times New Roman" w:hAnsi="Times New Roman"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可行</w:t>
                  </w:r>
                </w:p>
              </w:tc>
              <w:tc>
                <w:tcPr>
                  <w:tcW w:w="1456" w:type="pct"/>
                  <w:tcBorders>
                    <w:tl2br w:val="nil"/>
                    <w:tr2bl w:val="nil"/>
                  </w:tcBorders>
                  <w:noWrap w:val="0"/>
                  <w:vAlign w:val="center"/>
                </w:tcPr>
                <w:p w14:paraId="1CD3850A">
                  <w:pPr>
                    <w:adjustRightInd w:val="0"/>
                    <w:snapToGrid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《排污许可证申请与核发技术规范 废弃资源加工工业》（HJ 1034-2019）</w:t>
                  </w:r>
                </w:p>
              </w:tc>
            </w:tr>
            <w:tr w14:paraId="0378DD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pct"/>
                  <w:tcBorders>
                    <w:tl2br w:val="nil"/>
                    <w:tr2bl w:val="nil"/>
                  </w:tcBorders>
                  <w:noWrap w:val="0"/>
                  <w:vAlign w:val="center"/>
                </w:tcPr>
                <w:p w14:paraId="3B50D324">
                  <w:pPr>
                    <w:shd w:val="clear" w:color="auto" w:fill="auto"/>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562" w:type="pct"/>
                  <w:tcBorders>
                    <w:tl2br w:val="nil"/>
                    <w:tr2bl w:val="nil"/>
                  </w:tcBorders>
                  <w:noWrap w:val="0"/>
                  <w:vAlign w:val="center"/>
                </w:tcPr>
                <w:p w14:paraId="483FE1C0">
                  <w:pPr>
                    <w:shd w:val="clear" w:color="auto" w:fill="auto"/>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干燥</w:t>
                  </w:r>
                </w:p>
              </w:tc>
              <w:tc>
                <w:tcPr>
                  <w:tcW w:w="609" w:type="pct"/>
                  <w:tcBorders>
                    <w:tl2br w:val="nil"/>
                    <w:tr2bl w:val="nil"/>
                  </w:tcBorders>
                  <w:noWrap w:val="0"/>
                  <w:vAlign w:val="center"/>
                </w:tcPr>
                <w:p w14:paraId="57F0175A">
                  <w:pPr>
                    <w:shd w:val="clear" w:color="auto" w:fill="auto"/>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765" w:type="pct"/>
                  <w:tcBorders>
                    <w:tl2br w:val="nil"/>
                    <w:tr2bl w:val="nil"/>
                  </w:tcBorders>
                  <w:noWrap w:val="0"/>
                  <w:vAlign w:val="center"/>
                </w:tcPr>
                <w:p w14:paraId="35EE7AFA">
                  <w:pPr>
                    <w:shd w:val="clear" w:color="auto" w:fill="auto"/>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袋式除尘；静电除尘</w:t>
                  </w:r>
                </w:p>
              </w:tc>
              <w:tc>
                <w:tcPr>
                  <w:tcW w:w="562" w:type="pct"/>
                  <w:tcBorders>
                    <w:tl2br w:val="nil"/>
                    <w:tr2bl w:val="nil"/>
                  </w:tcBorders>
                  <w:noWrap w:val="0"/>
                  <w:vAlign w:val="center"/>
                </w:tcPr>
                <w:p w14:paraId="207A0512">
                  <w:pPr>
                    <w:adjustRightInd w:val="0"/>
                    <w:snapToGrid w:val="0"/>
                    <w:jc w:val="center"/>
                    <w:rPr>
                      <w:rFonts w:hint="eastAsia"/>
                      <w:bCs/>
                      <w:color w:val="auto"/>
                      <w:sz w:val="21"/>
                      <w:szCs w:val="21"/>
                      <w:lang w:val="en-US" w:eastAsia="zh-CN"/>
                    </w:rPr>
                  </w:pPr>
                  <w:r>
                    <w:rPr>
                      <w:rFonts w:hint="eastAsia" w:ascii="Times New Roman" w:hAnsi="Times New Roman" w:cs="Times New Roman"/>
                      <w:color w:val="auto"/>
                      <w:sz w:val="21"/>
                      <w:szCs w:val="21"/>
                      <w:highlight w:val="none"/>
                      <w:lang w:val="en-US" w:eastAsia="zh-CN" w:bidi="ar-SA"/>
                    </w:rPr>
                    <w:t>采用布袋除尘</w:t>
                  </w:r>
                </w:p>
              </w:tc>
              <w:tc>
                <w:tcPr>
                  <w:tcW w:w="461" w:type="pct"/>
                  <w:tcBorders>
                    <w:tl2br w:val="nil"/>
                    <w:tr2bl w:val="nil"/>
                  </w:tcBorders>
                  <w:noWrap w:val="0"/>
                  <w:vAlign w:val="center"/>
                </w:tcPr>
                <w:p w14:paraId="5651D049">
                  <w:pPr>
                    <w:adjustRightInd w:val="0"/>
                    <w:snapToGrid w:val="0"/>
                    <w:jc w:val="center"/>
                    <w:rPr>
                      <w:rFonts w:hint="eastAsia"/>
                      <w:bCs/>
                      <w:color w:val="auto"/>
                      <w:sz w:val="21"/>
                      <w:szCs w:val="21"/>
                      <w:lang w:val="en-US" w:eastAsia="zh-CN"/>
                    </w:rPr>
                  </w:pPr>
                  <w:r>
                    <w:rPr>
                      <w:rFonts w:hint="eastAsia" w:ascii="Times New Roman" w:hAnsi="Times New Roman" w:cs="Times New Roman"/>
                      <w:color w:val="auto"/>
                      <w:sz w:val="21"/>
                      <w:szCs w:val="21"/>
                      <w:highlight w:val="none"/>
                      <w:lang w:val="en-US" w:eastAsia="zh-CN" w:bidi="ar-SA"/>
                    </w:rPr>
                    <w:t>可行</w:t>
                  </w:r>
                </w:p>
              </w:tc>
              <w:tc>
                <w:tcPr>
                  <w:tcW w:w="1456" w:type="pct"/>
                  <w:tcBorders>
                    <w:tl2br w:val="nil"/>
                    <w:tr2bl w:val="nil"/>
                  </w:tcBorders>
                  <w:noWrap w:val="0"/>
                  <w:vAlign w:val="center"/>
                </w:tcPr>
                <w:p w14:paraId="7685B09A">
                  <w:pPr>
                    <w:adjustRightInd w:val="0"/>
                    <w:snapToGrid w:val="0"/>
                    <w:jc w:val="center"/>
                    <w:rPr>
                      <w:rFonts w:hint="eastAsia"/>
                      <w:bCs/>
                      <w:color w:val="auto"/>
                      <w:sz w:val="21"/>
                      <w:szCs w:val="21"/>
                      <w:lang w:val="en-US" w:eastAsia="zh-CN"/>
                    </w:rPr>
                  </w:pPr>
                  <w:r>
                    <w:rPr>
                      <w:rFonts w:hint="default" w:ascii="Times New Roman" w:hAnsi="Times New Roman" w:eastAsia="宋体" w:cs="Times New Roman"/>
                      <w:color w:val="auto"/>
                      <w:sz w:val="21"/>
                      <w:szCs w:val="21"/>
                      <w:highlight w:val="none"/>
                      <w:lang w:val="en-US" w:eastAsia="zh-CN" w:bidi="ar-SA"/>
                    </w:rPr>
                    <w:t>《排污许可证申请与核发技术规范 工业炉窑》（HJ1121-2020）</w:t>
                  </w:r>
                </w:p>
              </w:tc>
            </w:tr>
          </w:tbl>
          <w:p w14:paraId="2208C752">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hint="eastAsia" w:ascii="Times New Roman" w:hAnsi="Times New Roman" w:eastAsia="宋体" w:cs="Times New Roman"/>
                <w:color w:val="auto"/>
                <w:lang w:eastAsia="zh-CN"/>
              </w:rPr>
            </w:pPr>
            <w:r>
              <w:rPr>
                <w:rFonts w:hint="eastAsia"/>
                <w:color w:val="auto"/>
                <w:lang w:val="en-US" w:eastAsia="zh-CN"/>
              </w:rPr>
              <w:t>②</w:t>
            </w:r>
            <w:r>
              <w:rPr>
                <w:color w:val="auto"/>
              </w:rPr>
              <w:t>低氮燃烧器</w:t>
            </w:r>
            <w:r>
              <w:rPr>
                <w:rFonts w:hint="eastAsia"/>
                <w:color w:val="auto"/>
                <w:lang w:eastAsia="zh-CN"/>
              </w:rPr>
              <w:t>：</w:t>
            </w:r>
          </w:p>
          <w:p w14:paraId="59C9DF5D">
            <w:pPr>
              <w:pStyle w:val="149"/>
              <w:ind w:firstLine="480"/>
              <w:jc w:val="both"/>
              <w:rPr>
                <w:color w:val="auto"/>
              </w:rPr>
            </w:pPr>
            <w:r>
              <w:rPr>
                <w:color w:val="auto"/>
              </w:rPr>
              <w:t>本项目采用低氮燃烧器，其工作原理如下：</w:t>
            </w:r>
          </w:p>
          <w:p w14:paraId="407480C0">
            <w:pPr>
              <w:pStyle w:val="149"/>
              <w:ind w:firstLine="480"/>
              <w:jc w:val="both"/>
              <w:rPr>
                <w:color w:val="auto"/>
              </w:rPr>
            </w:pPr>
            <w:r>
              <w:rPr>
                <w:color w:val="auto"/>
              </w:rPr>
              <w:t>低氮燃烧器是指燃料燃烧过程中NOx排放量低的燃烧器。传统的天然气锅炉燃烧器通常的NOx排放在120~150mg/m³左右。而低氮燃烧器通常的NOx排放在30~80mg/m³的左右。</w:t>
            </w:r>
          </w:p>
          <w:p w14:paraId="3AB200D8">
            <w:pPr>
              <w:pStyle w:val="149"/>
              <w:ind w:firstLine="480"/>
              <w:jc w:val="both"/>
              <w:rPr>
                <w:rFonts w:hint="eastAsia"/>
                <w:color w:val="auto"/>
              </w:rPr>
            </w:pPr>
            <w:r>
              <w:rPr>
                <w:rFonts w:hint="eastAsia"/>
                <w:color w:val="auto"/>
              </w:rPr>
              <w:t>项目低氮燃烧器使用烟气外循环</w:t>
            </w:r>
            <w:r>
              <w:rPr>
                <w:rFonts w:hint="eastAsia"/>
                <w:color w:val="auto"/>
                <w:lang w:eastAsia="zh-CN"/>
              </w:rPr>
              <w:t>（</w:t>
            </w:r>
            <w:r>
              <w:rPr>
                <w:rFonts w:hint="eastAsia"/>
                <w:color w:val="auto"/>
              </w:rPr>
              <w:t>FGR</w:t>
            </w:r>
            <w:r>
              <w:rPr>
                <w:rFonts w:hint="eastAsia"/>
                <w:color w:val="auto"/>
                <w:lang w:eastAsia="zh-CN"/>
              </w:rPr>
              <w:t>）</w:t>
            </w:r>
            <w:r>
              <w:rPr>
                <w:rFonts w:hint="eastAsia"/>
                <w:color w:val="auto"/>
              </w:rPr>
              <w:t>与烟气内循环技术</w:t>
            </w:r>
            <w:r>
              <w:rPr>
                <w:rFonts w:hint="eastAsia"/>
                <w:color w:val="auto"/>
                <w:lang w:eastAsia="zh-CN"/>
              </w:rPr>
              <w:t>（</w:t>
            </w:r>
            <w:r>
              <w:rPr>
                <w:rFonts w:hint="eastAsia"/>
                <w:color w:val="auto"/>
              </w:rPr>
              <w:t>FIR</w:t>
            </w:r>
            <w:r>
              <w:rPr>
                <w:rFonts w:hint="eastAsia"/>
                <w:color w:val="auto"/>
                <w:lang w:eastAsia="zh-CN"/>
              </w:rPr>
              <w:t>）</w:t>
            </w:r>
            <w:r>
              <w:rPr>
                <w:rFonts w:hint="eastAsia"/>
                <w:color w:val="auto"/>
              </w:rPr>
              <w:t>相结合，在锅炉尾部烟气出口10</w:t>
            </w:r>
            <w:r>
              <w:rPr>
                <w:rFonts w:hint="eastAsia"/>
                <w:color w:val="auto"/>
                <w:lang w:eastAsia="zh-CN"/>
              </w:rPr>
              <w:t>%～</w:t>
            </w:r>
            <w:r>
              <w:rPr>
                <w:rFonts w:hint="eastAsia"/>
                <w:color w:val="auto"/>
              </w:rPr>
              <w:t>15%的烟气到进风箱与新鲜空气混合后</w:t>
            </w:r>
            <w:r>
              <w:rPr>
                <w:rFonts w:hint="eastAsia"/>
                <w:color w:val="auto"/>
                <w:lang w:eastAsia="zh-CN"/>
              </w:rPr>
              <w:t>，</w:t>
            </w:r>
            <w:r>
              <w:rPr>
                <w:rFonts w:hint="eastAsia"/>
                <w:color w:val="auto"/>
              </w:rPr>
              <w:t>再进入炉膛燃烧，减少燃烧时氧量占比，增加空气流速，缩短气体在热反应区域中滞留的时间，降低火焰温度。依靠燃气的高速射流卷吸高温烟气，形成强内回流</w:t>
            </w:r>
            <w:r>
              <w:rPr>
                <w:rFonts w:hint="eastAsia"/>
                <w:color w:val="auto"/>
                <w:lang w:eastAsia="zh-CN"/>
              </w:rPr>
              <w:t>，</w:t>
            </w:r>
            <w:r>
              <w:rPr>
                <w:rFonts w:hint="eastAsia"/>
                <w:color w:val="auto"/>
              </w:rPr>
              <w:t>使部分烟气直接在燃烧器内再循环，加入燃烧，降低燃烧温度，达到降低NOx目的。</w:t>
            </w:r>
          </w:p>
          <w:p w14:paraId="41E552CE">
            <w:pPr>
              <w:pStyle w:val="149"/>
              <w:ind w:firstLine="480"/>
              <w:rPr>
                <w:color w:val="auto"/>
              </w:rPr>
            </w:pPr>
            <w:r>
              <w:rPr>
                <w:color w:val="auto"/>
              </w:rPr>
              <w:t>参照《排污许可申请与核发技术规范 锅炉》</w:t>
            </w:r>
            <w:r>
              <w:rPr>
                <w:rFonts w:hint="eastAsia"/>
                <w:color w:val="auto"/>
                <w:lang w:eastAsia="zh-CN"/>
              </w:rPr>
              <w:t>（ HJ953-2018）</w:t>
            </w:r>
            <w:r>
              <w:rPr>
                <w:color w:val="auto"/>
              </w:rPr>
              <w:t>中燃气锅炉采用低氮燃烧技术后直接排放，为可行技术。</w:t>
            </w:r>
          </w:p>
          <w:p w14:paraId="2873551C">
            <w:pPr>
              <w:pStyle w:val="230"/>
              <w:spacing w:line="360" w:lineRule="auto"/>
              <w:ind w:firstLine="240" w:firstLineChars="100"/>
              <w:jc w:val="both"/>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r>
              <w:rPr>
                <w:rFonts w:hint="eastAsia" w:ascii="Times New Roman" w:hAnsi="Times New Roman" w:cs="Times New Roman"/>
                <w:b w:val="0"/>
                <w:bCs w:val="0"/>
                <w:color w:val="auto"/>
                <w:highlight w:val="none"/>
                <w:lang w:val="en-US" w:eastAsia="zh-CN"/>
              </w:rPr>
              <w:t>3</w:t>
            </w:r>
            <w:r>
              <w:rPr>
                <w:rFonts w:hint="eastAsia" w:ascii="Times New Roman" w:hAnsi="Times New Roman" w:eastAsia="宋体" w:cs="Times New Roman"/>
                <w:b w:val="0"/>
                <w:bCs w:val="0"/>
                <w:color w:val="auto"/>
                <w:highlight w:val="none"/>
                <w:lang w:val="en-US" w:eastAsia="zh-CN"/>
              </w:rPr>
              <w:t>）</w:t>
            </w:r>
            <w:r>
              <w:rPr>
                <w:rFonts w:hint="default" w:ascii="Times New Roman" w:hAnsi="Times New Roman" w:eastAsia="宋体" w:cs="Times New Roman"/>
                <w:b w:val="0"/>
                <w:bCs w:val="0"/>
                <w:color w:val="auto"/>
                <w:highlight w:val="none"/>
                <w:lang w:val="en-US" w:eastAsia="zh-CN"/>
              </w:rPr>
              <w:t>非正常排放及防范措施</w:t>
            </w:r>
          </w:p>
          <w:p w14:paraId="3D5F0BCC">
            <w:pPr>
              <w:spacing w:line="360" w:lineRule="auto"/>
              <w:ind w:firstLine="480" w:firstLineChars="200"/>
              <w:rPr>
                <w:rFonts w:hint="eastAsia" w:cs="Times New Roman"/>
                <w:color w:val="auto"/>
                <w:sz w:val="24"/>
                <w:highlight w:val="none"/>
                <w:lang w:val="en-US" w:eastAsia="zh-CN"/>
              </w:rPr>
            </w:pPr>
            <w:r>
              <w:rPr>
                <w:rFonts w:hint="eastAsia" w:ascii="Times New Roman" w:hAnsi="Times New Roman" w:eastAsia="宋体" w:cs="Times New Roman"/>
                <w:color w:val="auto"/>
                <w:sz w:val="24"/>
                <w:highlight w:val="none"/>
              </w:rPr>
              <w:t>非正常排放指非正常工况下的污染物排放。如污染物排放控制措施达不到应有效率、工艺设备运转异常等情况下的排放。</w:t>
            </w:r>
            <w:r>
              <w:rPr>
                <w:rFonts w:hint="eastAsia" w:cs="Times New Roman"/>
                <w:color w:val="auto"/>
                <w:sz w:val="24"/>
                <w:highlight w:val="none"/>
                <w:lang w:val="en-US" w:eastAsia="zh-CN"/>
              </w:rPr>
              <w:t>本评价主要考虑由于废气治理措施突发故障、处理</w:t>
            </w:r>
            <w:r>
              <w:rPr>
                <w:rFonts w:hint="eastAsia" w:ascii="Times New Roman" w:hAnsi="Times New Roman" w:eastAsia="宋体" w:cs="Times New Roman"/>
                <w:color w:val="auto"/>
                <w:sz w:val="24"/>
                <w:highlight w:val="none"/>
              </w:rPr>
              <w:t>措施达不到应有效率</w:t>
            </w:r>
            <w:r>
              <w:rPr>
                <w:rFonts w:hint="eastAsia" w:cs="Times New Roman"/>
                <w:color w:val="auto"/>
                <w:sz w:val="24"/>
                <w:highlight w:val="none"/>
                <w:lang w:eastAsia="zh-CN"/>
              </w:rPr>
              <w:t>，</w:t>
            </w:r>
            <w:r>
              <w:rPr>
                <w:rFonts w:hint="eastAsia" w:cs="Times New Roman"/>
                <w:color w:val="auto"/>
                <w:sz w:val="24"/>
                <w:highlight w:val="none"/>
                <w:lang w:val="en-US" w:eastAsia="zh-CN"/>
              </w:rPr>
              <w:t>对废气无处理效率的情形下，项目有组织废气排放情况。</w:t>
            </w:r>
          </w:p>
          <w:p w14:paraId="2AE55AD7">
            <w:pPr>
              <w:numPr>
                <w:ilvl w:val="0"/>
                <w:numId w:val="8"/>
              </w:numPr>
              <w:tabs>
                <w:tab w:val="left" w:pos="0"/>
              </w:tabs>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废气非正常工况排放情况表</w:t>
            </w:r>
          </w:p>
          <w:tbl>
            <w:tblPr>
              <w:tblStyle w:val="29"/>
              <w:tblW w:w="4995"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080"/>
              <w:gridCol w:w="1066"/>
              <w:gridCol w:w="1170"/>
              <w:gridCol w:w="1005"/>
              <w:gridCol w:w="795"/>
              <w:gridCol w:w="735"/>
              <w:gridCol w:w="1408"/>
            </w:tblGrid>
            <w:tr w14:paraId="1BE93D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1" w:type="pct"/>
                  <w:tcBorders>
                    <w:tl2br w:val="nil"/>
                    <w:tr2bl w:val="nil"/>
                  </w:tcBorders>
                  <w:noWrap w:val="0"/>
                  <w:vAlign w:val="center"/>
                </w:tcPr>
                <w:p w14:paraId="0768276F">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编号</w:t>
                  </w:r>
                </w:p>
              </w:tc>
              <w:tc>
                <w:tcPr>
                  <w:tcW w:w="664" w:type="pct"/>
                  <w:tcBorders>
                    <w:tl2br w:val="nil"/>
                    <w:tr2bl w:val="nil"/>
                  </w:tcBorders>
                  <w:noWrap w:val="0"/>
                  <w:vAlign w:val="center"/>
                </w:tcPr>
                <w:p w14:paraId="02AFB095">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非正常源</w:t>
                  </w:r>
                </w:p>
              </w:tc>
              <w:tc>
                <w:tcPr>
                  <w:tcW w:w="656" w:type="pct"/>
                  <w:tcBorders>
                    <w:tl2br w:val="nil"/>
                    <w:tr2bl w:val="nil"/>
                  </w:tcBorders>
                  <w:noWrap w:val="0"/>
                  <w:vAlign w:val="center"/>
                </w:tcPr>
                <w:p w14:paraId="4A4C9A3C">
                  <w:pPr>
                    <w:pStyle w:val="201"/>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非正常排放原因</w:t>
                  </w:r>
                </w:p>
              </w:tc>
              <w:tc>
                <w:tcPr>
                  <w:tcW w:w="720" w:type="pct"/>
                  <w:tcBorders>
                    <w:tl2br w:val="nil"/>
                    <w:tr2bl w:val="nil"/>
                  </w:tcBorders>
                  <w:noWrap w:val="0"/>
                  <w:vAlign w:val="center"/>
                </w:tcPr>
                <w:p w14:paraId="20DD5253">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618" w:type="pct"/>
                  <w:tcBorders>
                    <w:tl2br w:val="nil"/>
                    <w:tr2bl w:val="nil"/>
                  </w:tcBorders>
                  <w:noWrap w:val="0"/>
                  <w:vAlign w:val="center"/>
                </w:tcPr>
                <w:p w14:paraId="6D57016E">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非正常排放</w:t>
                  </w:r>
                  <w:r>
                    <w:rPr>
                      <w:rFonts w:hint="default" w:ascii="Times New Roman" w:hAnsi="Times New Roman" w:eastAsia="宋体" w:cs="Times New Roman"/>
                      <w:color w:val="auto"/>
                      <w:sz w:val="21"/>
                      <w:szCs w:val="21"/>
                      <w:highlight w:val="none"/>
                      <w:lang w:val="en-US" w:eastAsia="zh-CN"/>
                    </w:rPr>
                    <w:t>速率</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kg/h</w:t>
                  </w:r>
                  <w:r>
                    <w:rPr>
                      <w:rFonts w:hint="eastAsia" w:cs="Times New Roman"/>
                      <w:color w:val="auto"/>
                      <w:sz w:val="21"/>
                      <w:szCs w:val="21"/>
                      <w:highlight w:val="none"/>
                      <w:lang w:val="en-US" w:eastAsia="zh-CN"/>
                    </w:rPr>
                    <w:t>）</w:t>
                  </w:r>
                </w:p>
              </w:tc>
              <w:tc>
                <w:tcPr>
                  <w:tcW w:w="489" w:type="pct"/>
                  <w:tcBorders>
                    <w:tl2br w:val="nil"/>
                    <w:tr2bl w:val="nil"/>
                  </w:tcBorders>
                  <w:noWrap w:val="0"/>
                  <w:vAlign w:val="center"/>
                </w:tcPr>
                <w:p w14:paraId="4914DAFB">
                  <w:pPr>
                    <w:shd w:val="clear" w:color="auto" w:fill="auto"/>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排放浓度（mg/m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452" w:type="pct"/>
                  <w:tcBorders>
                    <w:tl2br w:val="nil"/>
                    <w:tr2bl w:val="nil"/>
                  </w:tcBorders>
                  <w:noWrap w:val="0"/>
                  <w:vAlign w:val="center"/>
                </w:tcPr>
                <w:p w14:paraId="3C472BA5">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单次持续时间</w:t>
                  </w:r>
                </w:p>
              </w:tc>
              <w:tc>
                <w:tcPr>
                  <w:tcW w:w="866" w:type="pct"/>
                  <w:tcBorders>
                    <w:tl2br w:val="nil"/>
                    <w:tr2bl w:val="nil"/>
                  </w:tcBorders>
                  <w:noWrap w:val="0"/>
                  <w:vAlign w:val="center"/>
                </w:tcPr>
                <w:p w14:paraId="03D47F2C">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控制措施</w:t>
                  </w:r>
                </w:p>
              </w:tc>
            </w:tr>
            <w:tr w14:paraId="14EA6C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1" w:type="pct"/>
                  <w:tcBorders>
                    <w:tl2br w:val="nil"/>
                    <w:tr2bl w:val="nil"/>
                  </w:tcBorders>
                  <w:noWrap w:val="0"/>
                  <w:vAlign w:val="center"/>
                </w:tcPr>
                <w:p w14:paraId="165051C9">
                  <w:pPr>
                    <w:shd w:val="clear" w:color="auto" w:fill="auto"/>
                    <w:snapToGrid w:val="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DA00</w:t>
                  </w:r>
                  <w:r>
                    <w:rPr>
                      <w:rFonts w:hint="eastAsia" w:cs="Times New Roman"/>
                      <w:color w:val="auto"/>
                      <w:sz w:val="21"/>
                      <w:szCs w:val="21"/>
                      <w:highlight w:val="none"/>
                      <w:lang w:val="en-US" w:eastAsia="zh-CN"/>
                    </w:rPr>
                    <w:t>1</w:t>
                  </w:r>
                </w:p>
              </w:tc>
              <w:tc>
                <w:tcPr>
                  <w:tcW w:w="664" w:type="pct"/>
                  <w:tcBorders>
                    <w:tl2br w:val="nil"/>
                    <w:tr2bl w:val="nil"/>
                  </w:tcBorders>
                  <w:noWrap w:val="0"/>
                  <w:vAlign w:val="center"/>
                </w:tcPr>
                <w:p w14:paraId="223DFBE8">
                  <w:pPr>
                    <w:shd w:val="clear" w:color="auto" w:fill="auto"/>
                    <w:snapToGrid w:val="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粉尘</w:t>
                  </w:r>
                  <w:r>
                    <w:rPr>
                      <w:rFonts w:hint="default" w:ascii="Times New Roman" w:hAnsi="Times New Roman" w:eastAsia="宋体" w:cs="Times New Roman"/>
                      <w:color w:val="auto"/>
                      <w:sz w:val="21"/>
                      <w:szCs w:val="21"/>
                      <w:highlight w:val="none"/>
                    </w:rPr>
                    <w:t>排气筒</w:t>
                  </w:r>
                </w:p>
              </w:tc>
              <w:tc>
                <w:tcPr>
                  <w:tcW w:w="656" w:type="pct"/>
                  <w:tcBorders>
                    <w:tl2br w:val="nil"/>
                    <w:tr2bl w:val="nil"/>
                  </w:tcBorders>
                  <w:noWrap w:val="0"/>
                  <w:vAlign w:val="center"/>
                </w:tcPr>
                <w:p w14:paraId="5A55897D">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废气治理措施失效</w:t>
                  </w:r>
                </w:p>
              </w:tc>
              <w:tc>
                <w:tcPr>
                  <w:tcW w:w="720" w:type="pct"/>
                  <w:tcBorders>
                    <w:tl2br w:val="nil"/>
                    <w:tr2bl w:val="nil"/>
                  </w:tcBorders>
                  <w:noWrap w:val="0"/>
                  <w:vAlign w:val="center"/>
                </w:tcPr>
                <w:p w14:paraId="6FDC52C1">
                  <w:pPr>
                    <w:adjustRightInd w:val="0"/>
                    <w:snapToGrid w:val="0"/>
                    <w:jc w:val="center"/>
                    <w:rPr>
                      <w:rFonts w:hint="default" w:ascii="Times New Roman" w:hAnsi="Times New Roman" w:eastAsia="宋体" w:cs="Times New Roman"/>
                      <w:color w:val="auto"/>
                      <w:sz w:val="21"/>
                      <w:szCs w:val="21"/>
                      <w:highlight w:val="none"/>
                      <w:lang w:val="en-US" w:eastAsia="zh-CN" w:bidi="ar-SA"/>
                    </w:rPr>
                  </w:pPr>
                  <w:r>
                    <w:rPr>
                      <w:rFonts w:hint="eastAsia"/>
                      <w:bCs/>
                      <w:color w:val="auto"/>
                      <w:szCs w:val="21"/>
                      <w:lang w:val="en-US" w:eastAsia="zh-CN"/>
                    </w:rPr>
                    <w:t>颗粒物</w:t>
                  </w:r>
                </w:p>
              </w:tc>
              <w:tc>
                <w:tcPr>
                  <w:tcW w:w="618" w:type="pct"/>
                  <w:tcBorders>
                    <w:tl2br w:val="nil"/>
                    <w:tr2bl w:val="nil"/>
                  </w:tcBorders>
                  <w:shd w:val="clear" w:color="auto" w:fill="auto"/>
                  <w:noWrap w:val="0"/>
                  <w:vAlign w:val="center"/>
                </w:tcPr>
                <w:p w14:paraId="098FC87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kern w:val="2"/>
                      <w:sz w:val="21"/>
                      <w:szCs w:val="21"/>
                      <w:lang w:val="en-US" w:eastAsia="zh-CN" w:bidi="ar-SA"/>
                    </w:rPr>
                    <w:t>4.11</w:t>
                  </w:r>
                </w:p>
              </w:tc>
              <w:tc>
                <w:tcPr>
                  <w:tcW w:w="489" w:type="pct"/>
                  <w:tcBorders>
                    <w:tl2br w:val="nil"/>
                    <w:tr2bl w:val="nil"/>
                  </w:tcBorders>
                  <w:noWrap w:val="0"/>
                  <w:vAlign w:val="center"/>
                </w:tcPr>
                <w:p w14:paraId="7D9E9792">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color w:val="auto"/>
                      <w:kern w:val="2"/>
                      <w:sz w:val="21"/>
                      <w:szCs w:val="21"/>
                      <w:lang w:val="en-US" w:eastAsia="zh-CN" w:bidi="ar-SA"/>
                    </w:rPr>
                    <w:t>137</w:t>
                  </w:r>
                </w:p>
              </w:tc>
              <w:tc>
                <w:tcPr>
                  <w:tcW w:w="452" w:type="pct"/>
                  <w:tcBorders>
                    <w:tl2br w:val="nil"/>
                    <w:tr2bl w:val="nil"/>
                  </w:tcBorders>
                  <w:noWrap w:val="0"/>
                  <w:vAlign w:val="center"/>
                </w:tcPr>
                <w:p w14:paraId="7492D778">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default" w:cs="Times New Roman"/>
                      <w:i w:val="0"/>
                      <w:iCs w:val="0"/>
                      <w:color w:val="auto"/>
                      <w:kern w:val="0"/>
                      <w:sz w:val="21"/>
                      <w:szCs w:val="21"/>
                      <w:highlight w:val="none"/>
                      <w:u w:val="none"/>
                      <w:lang w:val="en-US" w:eastAsia="zh-CN" w:bidi="ar"/>
                    </w:rPr>
                    <w:t>0.5h</w:t>
                  </w:r>
                </w:p>
              </w:tc>
              <w:tc>
                <w:tcPr>
                  <w:tcW w:w="866" w:type="pct"/>
                  <w:vMerge w:val="restart"/>
                  <w:tcBorders>
                    <w:tl2br w:val="nil"/>
                    <w:tr2bl w:val="nil"/>
                  </w:tcBorders>
                  <w:noWrap w:val="0"/>
                  <w:vAlign w:val="center"/>
                </w:tcPr>
                <w:p w14:paraId="7D9FEA30">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废气处理系统发生故障或检修时，对应的生产工艺设备应停止运行，待检修完毕后同步投入使用。</w:t>
                  </w:r>
                </w:p>
              </w:tc>
            </w:tr>
            <w:tr w14:paraId="0B0E45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1" w:type="pct"/>
                  <w:vMerge w:val="restart"/>
                  <w:tcBorders>
                    <w:tl2br w:val="nil"/>
                    <w:tr2bl w:val="nil"/>
                  </w:tcBorders>
                  <w:noWrap w:val="0"/>
                  <w:vAlign w:val="center"/>
                </w:tcPr>
                <w:p w14:paraId="64334A78">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DA00</w:t>
                  </w:r>
                  <w:r>
                    <w:rPr>
                      <w:rFonts w:hint="eastAsia" w:cs="Times New Roman"/>
                      <w:color w:val="auto"/>
                      <w:sz w:val="21"/>
                      <w:szCs w:val="21"/>
                      <w:highlight w:val="none"/>
                      <w:lang w:val="en-US" w:eastAsia="zh-CN"/>
                    </w:rPr>
                    <w:t>2</w:t>
                  </w:r>
                </w:p>
              </w:tc>
              <w:tc>
                <w:tcPr>
                  <w:tcW w:w="664" w:type="pct"/>
                  <w:vMerge w:val="restart"/>
                  <w:tcBorders>
                    <w:tl2br w:val="nil"/>
                    <w:tr2bl w:val="nil"/>
                  </w:tcBorders>
                  <w:noWrap w:val="0"/>
                  <w:vAlign w:val="center"/>
                </w:tcPr>
                <w:p w14:paraId="53626F4B">
                  <w:pPr>
                    <w:shd w:val="clear" w:color="auto" w:fill="auto"/>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燃烧废气</w:t>
                  </w:r>
                  <w:r>
                    <w:rPr>
                      <w:rFonts w:hint="default" w:ascii="Times New Roman" w:hAnsi="Times New Roman" w:eastAsia="宋体" w:cs="Times New Roman"/>
                      <w:color w:val="auto"/>
                      <w:sz w:val="21"/>
                      <w:szCs w:val="21"/>
                      <w:highlight w:val="none"/>
                    </w:rPr>
                    <w:t>排气筒</w:t>
                  </w:r>
                </w:p>
              </w:tc>
              <w:tc>
                <w:tcPr>
                  <w:tcW w:w="656" w:type="pct"/>
                  <w:vMerge w:val="restart"/>
                  <w:tcBorders>
                    <w:tl2br w:val="nil"/>
                    <w:tr2bl w:val="nil"/>
                  </w:tcBorders>
                  <w:noWrap w:val="0"/>
                  <w:vAlign w:val="center"/>
                </w:tcPr>
                <w:p w14:paraId="56477E13">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废气治理措施失效</w:t>
                  </w:r>
                </w:p>
              </w:tc>
              <w:tc>
                <w:tcPr>
                  <w:tcW w:w="720" w:type="pct"/>
                  <w:tcBorders>
                    <w:tl2br w:val="nil"/>
                    <w:tr2bl w:val="nil"/>
                  </w:tcBorders>
                  <w:noWrap w:val="0"/>
                  <w:vAlign w:val="center"/>
                </w:tcPr>
                <w:p w14:paraId="35517482">
                  <w:pPr>
                    <w:adjustRightInd w:val="0"/>
                    <w:snapToGrid w:val="0"/>
                    <w:jc w:val="center"/>
                    <w:rPr>
                      <w:rFonts w:hint="eastAsia"/>
                      <w:bCs/>
                      <w:color w:val="auto"/>
                      <w:szCs w:val="21"/>
                      <w:lang w:val="en-US" w:eastAsia="zh-CN"/>
                    </w:rPr>
                  </w:pPr>
                  <w:r>
                    <w:rPr>
                      <w:rFonts w:hint="eastAsia"/>
                      <w:bCs/>
                      <w:color w:val="auto"/>
                      <w:szCs w:val="21"/>
                      <w:lang w:val="en-US" w:eastAsia="zh-CN"/>
                    </w:rPr>
                    <w:t>颗粒物</w:t>
                  </w:r>
                </w:p>
              </w:tc>
              <w:tc>
                <w:tcPr>
                  <w:tcW w:w="618" w:type="pct"/>
                  <w:tcBorders>
                    <w:tl2br w:val="nil"/>
                    <w:tr2bl w:val="nil"/>
                  </w:tcBorders>
                  <w:shd w:val="clear" w:color="auto" w:fill="auto"/>
                  <w:noWrap w:val="0"/>
                  <w:vAlign w:val="center"/>
                </w:tcPr>
                <w:p w14:paraId="69B574D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0.0126</w:t>
                  </w:r>
                </w:p>
              </w:tc>
              <w:tc>
                <w:tcPr>
                  <w:tcW w:w="489" w:type="pct"/>
                  <w:tcBorders>
                    <w:tl2br w:val="nil"/>
                    <w:tr2bl w:val="nil"/>
                  </w:tcBorders>
                  <w:noWrap w:val="0"/>
                  <w:vAlign w:val="center"/>
                </w:tcPr>
                <w:p w14:paraId="5F51BE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2.52</w:t>
                  </w:r>
                </w:p>
              </w:tc>
              <w:tc>
                <w:tcPr>
                  <w:tcW w:w="452" w:type="pct"/>
                  <w:vMerge w:val="restart"/>
                  <w:tcBorders>
                    <w:tl2br w:val="nil"/>
                    <w:tr2bl w:val="nil"/>
                  </w:tcBorders>
                  <w:noWrap w:val="0"/>
                  <w:vAlign w:val="center"/>
                </w:tcPr>
                <w:p w14:paraId="3ED5FB9A">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default" w:cs="Times New Roman"/>
                      <w:i w:val="0"/>
                      <w:iCs w:val="0"/>
                      <w:color w:val="auto"/>
                      <w:kern w:val="0"/>
                      <w:sz w:val="21"/>
                      <w:szCs w:val="21"/>
                      <w:highlight w:val="none"/>
                      <w:u w:val="none"/>
                      <w:lang w:val="en-US" w:eastAsia="zh-CN" w:bidi="ar"/>
                    </w:rPr>
                    <w:t>0.5h</w:t>
                  </w:r>
                </w:p>
              </w:tc>
              <w:tc>
                <w:tcPr>
                  <w:tcW w:w="866" w:type="pct"/>
                  <w:vMerge w:val="continue"/>
                  <w:tcBorders>
                    <w:tl2br w:val="nil"/>
                    <w:tr2bl w:val="nil"/>
                  </w:tcBorders>
                  <w:noWrap w:val="0"/>
                  <w:vAlign w:val="center"/>
                </w:tcPr>
                <w:p w14:paraId="37BC682E">
                  <w:pPr>
                    <w:shd w:val="clear" w:color="auto" w:fill="auto"/>
                    <w:snapToGrid w:val="0"/>
                    <w:jc w:val="center"/>
                    <w:rPr>
                      <w:rFonts w:hint="default" w:ascii="Times New Roman" w:hAnsi="Times New Roman" w:eastAsia="宋体" w:cs="Times New Roman"/>
                      <w:color w:val="auto"/>
                      <w:sz w:val="21"/>
                      <w:szCs w:val="21"/>
                      <w:highlight w:val="none"/>
                    </w:rPr>
                  </w:pPr>
                </w:p>
              </w:tc>
            </w:tr>
            <w:tr w14:paraId="4F1635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1" w:type="pct"/>
                  <w:vMerge w:val="continue"/>
                  <w:tcBorders>
                    <w:tl2br w:val="nil"/>
                    <w:tr2bl w:val="nil"/>
                  </w:tcBorders>
                  <w:noWrap w:val="0"/>
                  <w:vAlign w:val="center"/>
                </w:tcPr>
                <w:p w14:paraId="30C62754">
                  <w:pPr>
                    <w:shd w:val="clear" w:color="auto" w:fill="auto"/>
                    <w:snapToGrid w:val="0"/>
                    <w:jc w:val="center"/>
                    <w:rPr>
                      <w:rFonts w:hint="default" w:ascii="Times New Roman" w:hAnsi="Times New Roman" w:eastAsia="宋体" w:cs="Times New Roman"/>
                      <w:color w:val="auto"/>
                      <w:sz w:val="21"/>
                      <w:szCs w:val="21"/>
                      <w:highlight w:val="none"/>
                    </w:rPr>
                  </w:pPr>
                </w:p>
              </w:tc>
              <w:tc>
                <w:tcPr>
                  <w:tcW w:w="664" w:type="pct"/>
                  <w:vMerge w:val="continue"/>
                  <w:tcBorders>
                    <w:tl2br w:val="nil"/>
                    <w:tr2bl w:val="nil"/>
                  </w:tcBorders>
                  <w:noWrap w:val="0"/>
                  <w:vAlign w:val="center"/>
                </w:tcPr>
                <w:p w14:paraId="484E13E3">
                  <w:pPr>
                    <w:shd w:val="clear" w:color="auto" w:fill="auto"/>
                    <w:snapToGrid w:val="0"/>
                    <w:jc w:val="center"/>
                    <w:rPr>
                      <w:rFonts w:hint="eastAsia" w:cs="Times New Roman"/>
                      <w:color w:val="auto"/>
                      <w:sz w:val="21"/>
                      <w:szCs w:val="21"/>
                      <w:highlight w:val="none"/>
                      <w:lang w:val="en-US" w:eastAsia="zh-CN"/>
                    </w:rPr>
                  </w:pPr>
                </w:p>
              </w:tc>
              <w:tc>
                <w:tcPr>
                  <w:tcW w:w="656" w:type="pct"/>
                  <w:vMerge w:val="continue"/>
                  <w:tcBorders>
                    <w:tl2br w:val="nil"/>
                    <w:tr2bl w:val="nil"/>
                  </w:tcBorders>
                  <w:noWrap w:val="0"/>
                  <w:vAlign w:val="center"/>
                </w:tcPr>
                <w:p w14:paraId="0D459F83">
                  <w:pPr>
                    <w:shd w:val="clear" w:color="auto" w:fill="auto"/>
                    <w:snapToGrid w:val="0"/>
                    <w:jc w:val="center"/>
                    <w:rPr>
                      <w:rFonts w:hint="default" w:ascii="Times New Roman" w:hAnsi="Times New Roman" w:eastAsia="宋体" w:cs="Times New Roman"/>
                      <w:color w:val="auto"/>
                      <w:sz w:val="21"/>
                      <w:szCs w:val="21"/>
                      <w:highlight w:val="none"/>
                    </w:rPr>
                  </w:pPr>
                </w:p>
              </w:tc>
              <w:tc>
                <w:tcPr>
                  <w:tcW w:w="720" w:type="pct"/>
                  <w:tcBorders>
                    <w:tl2br w:val="nil"/>
                    <w:tr2bl w:val="nil"/>
                  </w:tcBorders>
                  <w:noWrap w:val="0"/>
                  <w:vAlign w:val="center"/>
                </w:tcPr>
                <w:p w14:paraId="685A8CDC">
                  <w:pPr>
                    <w:adjustRightInd w:val="0"/>
                    <w:snapToGrid w:val="0"/>
                    <w:jc w:val="center"/>
                    <w:rPr>
                      <w:rFonts w:hint="default"/>
                      <w:bCs/>
                      <w:color w:val="auto"/>
                      <w:szCs w:val="21"/>
                      <w:lang w:val="en-US" w:eastAsia="zh-CN"/>
                    </w:rPr>
                  </w:pPr>
                  <w:r>
                    <w:rPr>
                      <w:rFonts w:hint="eastAsia"/>
                      <w:bCs/>
                      <w:color w:val="auto"/>
                      <w:szCs w:val="21"/>
                      <w:lang w:val="en-US" w:eastAsia="zh-CN"/>
                    </w:rPr>
                    <w:t>二氧化硫</w:t>
                  </w:r>
                </w:p>
              </w:tc>
              <w:tc>
                <w:tcPr>
                  <w:tcW w:w="618" w:type="pct"/>
                  <w:tcBorders>
                    <w:tl2br w:val="nil"/>
                    <w:tr2bl w:val="nil"/>
                  </w:tcBorders>
                  <w:shd w:val="clear" w:color="auto" w:fill="auto"/>
                  <w:noWrap w:val="0"/>
                  <w:vAlign w:val="center"/>
                </w:tcPr>
                <w:p w14:paraId="013EB79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0.0126</w:t>
                  </w:r>
                </w:p>
              </w:tc>
              <w:tc>
                <w:tcPr>
                  <w:tcW w:w="489" w:type="pct"/>
                  <w:tcBorders>
                    <w:tl2br w:val="nil"/>
                    <w:tr2bl w:val="nil"/>
                  </w:tcBorders>
                  <w:noWrap w:val="0"/>
                  <w:vAlign w:val="center"/>
                </w:tcPr>
                <w:p w14:paraId="6590D7B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2.52</w:t>
                  </w:r>
                </w:p>
              </w:tc>
              <w:tc>
                <w:tcPr>
                  <w:tcW w:w="452" w:type="pct"/>
                  <w:vMerge w:val="continue"/>
                  <w:tcBorders>
                    <w:tl2br w:val="nil"/>
                    <w:tr2bl w:val="nil"/>
                  </w:tcBorders>
                  <w:noWrap w:val="0"/>
                  <w:vAlign w:val="center"/>
                </w:tcPr>
                <w:p w14:paraId="3D78D2B4">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p>
              </w:tc>
              <w:tc>
                <w:tcPr>
                  <w:tcW w:w="866" w:type="pct"/>
                  <w:vMerge w:val="continue"/>
                  <w:tcBorders>
                    <w:tl2br w:val="nil"/>
                    <w:tr2bl w:val="nil"/>
                  </w:tcBorders>
                  <w:noWrap w:val="0"/>
                  <w:vAlign w:val="center"/>
                </w:tcPr>
                <w:p w14:paraId="36DCEDE9">
                  <w:pPr>
                    <w:shd w:val="clear" w:color="auto" w:fill="auto"/>
                    <w:snapToGrid w:val="0"/>
                    <w:jc w:val="center"/>
                    <w:rPr>
                      <w:rFonts w:hint="default" w:ascii="Times New Roman" w:hAnsi="Times New Roman" w:eastAsia="宋体" w:cs="Times New Roman"/>
                      <w:color w:val="auto"/>
                      <w:sz w:val="21"/>
                      <w:szCs w:val="21"/>
                      <w:highlight w:val="none"/>
                    </w:rPr>
                  </w:pPr>
                </w:p>
              </w:tc>
            </w:tr>
            <w:tr w14:paraId="4938FA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1" w:type="pct"/>
                  <w:vMerge w:val="continue"/>
                  <w:tcBorders>
                    <w:tl2br w:val="nil"/>
                    <w:tr2bl w:val="nil"/>
                  </w:tcBorders>
                  <w:noWrap w:val="0"/>
                  <w:vAlign w:val="center"/>
                </w:tcPr>
                <w:p w14:paraId="7C16B347">
                  <w:pPr>
                    <w:shd w:val="clear" w:color="auto" w:fill="auto"/>
                    <w:snapToGrid w:val="0"/>
                    <w:jc w:val="center"/>
                    <w:rPr>
                      <w:rFonts w:hint="default" w:ascii="Times New Roman" w:hAnsi="Times New Roman" w:eastAsia="宋体" w:cs="Times New Roman"/>
                      <w:color w:val="auto"/>
                      <w:sz w:val="21"/>
                      <w:szCs w:val="21"/>
                      <w:highlight w:val="none"/>
                    </w:rPr>
                  </w:pPr>
                </w:p>
              </w:tc>
              <w:tc>
                <w:tcPr>
                  <w:tcW w:w="664" w:type="pct"/>
                  <w:vMerge w:val="continue"/>
                  <w:tcBorders>
                    <w:tl2br w:val="nil"/>
                    <w:tr2bl w:val="nil"/>
                  </w:tcBorders>
                  <w:noWrap w:val="0"/>
                  <w:vAlign w:val="center"/>
                </w:tcPr>
                <w:p w14:paraId="6123A595">
                  <w:pPr>
                    <w:shd w:val="clear" w:color="auto" w:fill="auto"/>
                    <w:snapToGrid w:val="0"/>
                    <w:jc w:val="center"/>
                    <w:rPr>
                      <w:rFonts w:hint="eastAsia" w:cs="Times New Roman"/>
                      <w:color w:val="auto"/>
                      <w:sz w:val="21"/>
                      <w:szCs w:val="21"/>
                      <w:highlight w:val="none"/>
                      <w:lang w:val="en-US" w:eastAsia="zh-CN"/>
                    </w:rPr>
                  </w:pPr>
                </w:p>
              </w:tc>
              <w:tc>
                <w:tcPr>
                  <w:tcW w:w="656" w:type="pct"/>
                  <w:vMerge w:val="continue"/>
                  <w:tcBorders>
                    <w:tl2br w:val="nil"/>
                    <w:tr2bl w:val="nil"/>
                  </w:tcBorders>
                  <w:noWrap w:val="0"/>
                  <w:vAlign w:val="center"/>
                </w:tcPr>
                <w:p w14:paraId="5054049D">
                  <w:pPr>
                    <w:shd w:val="clear" w:color="auto" w:fill="auto"/>
                    <w:snapToGrid w:val="0"/>
                    <w:jc w:val="center"/>
                    <w:rPr>
                      <w:rFonts w:hint="default" w:ascii="Times New Roman" w:hAnsi="Times New Roman" w:eastAsia="宋体" w:cs="Times New Roman"/>
                      <w:color w:val="auto"/>
                      <w:sz w:val="21"/>
                      <w:szCs w:val="21"/>
                      <w:highlight w:val="none"/>
                    </w:rPr>
                  </w:pPr>
                </w:p>
              </w:tc>
              <w:tc>
                <w:tcPr>
                  <w:tcW w:w="720" w:type="pct"/>
                  <w:tcBorders>
                    <w:tl2br w:val="nil"/>
                    <w:tr2bl w:val="nil"/>
                  </w:tcBorders>
                  <w:noWrap w:val="0"/>
                  <w:vAlign w:val="center"/>
                </w:tcPr>
                <w:p w14:paraId="719FD6AC">
                  <w:pPr>
                    <w:adjustRightInd w:val="0"/>
                    <w:snapToGrid w:val="0"/>
                    <w:jc w:val="center"/>
                    <w:rPr>
                      <w:rFonts w:hint="default"/>
                      <w:bCs/>
                      <w:color w:val="auto"/>
                      <w:szCs w:val="21"/>
                      <w:lang w:val="en-US" w:eastAsia="zh-CN"/>
                    </w:rPr>
                  </w:pPr>
                  <w:r>
                    <w:rPr>
                      <w:rFonts w:hint="eastAsia"/>
                      <w:bCs/>
                      <w:color w:val="auto"/>
                      <w:szCs w:val="21"/>
                      <w:lang w:val="en-US" w:eastAsia="zh-CN"/>
                    </w:rPr>
                    <w:t>氮氧化物</w:t>
                  </w:r>
                </w:p>
              </w:tc>
              <w:tc>
                <w:tcPr>
                  <w:tcW w:w="618" w:type="pct"/>
                  <w:tcBorders>
                    <w:tl2br w:val="nil"/>
                    <w:tr2bl w:val="nil"/>
                  </w:tcBorders>
                  <w:shd w:val="clear" w:color="auto" w:fill="auto"/>
                  <w:noWrap w:val="0"/>
                  <w:vAlign w:val="center"/>
                </w:tcPr>
                <w:p w14:paraId="6A8D2D6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0.095</w:t>
                  </w:r>
                </w:p>
              </w:tc>
              <w:tc>
                <w:tcPr>
                  <w:tcW w:w="489" w:type="pct"/>
                  <w:tcBorders>
                    <w:tl2br w:val="nil"/>
                    <w:tr2bl w:val="nil"/>
                  </w:tcBorders>
                  <w:noWrap w:val="0"/>
                  <w:vAlign w:val="center"/>
                </w:tcPr>
                <w:p w14:paraId="09392CF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w:t>
                  </w:r>
                </w:p>
              </w:tc>
              <w:tc>
                <w:tcPr>
                  <w:tcW w:w="452" w:type="pct"/>
                  <w:vMerge w:val="continue"/>
                  <w:tcBorders>
                    <w:tl2br w:val="nil"/>
                    <w:tr2bl w:val="nil"/>
                  </w:tcBorders>
                  <w:noWrap w:val="0"/>
                  <w:vAlign w:val="center"/>
                </w:tcPr>
                <w:p w14:paraId="4D335D42">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p>
              </w:tc>
              <w:tc>
                <w:tcPr>
                  <w:tcW w:w="866" w:type="pct"/>
                  <w:vMerge w:val="continue"/>
                  <w:tcBorders>
                    <w:tl2br w:val="nil"/>
                    <w:tr2bl w:val="nil"/>
                  </w:tcBorders>
                  <w:noWrap w:val="0"/>
                  <w:vAlign w:val="center"/>
                </w:tcPr>
                <w:p w14:paraId="4936EA35">
                  <w:pPr>
                    <w:shd w:val="clear" w:color="auto" w:fill="auto"/>
                    <w:snapToGrid w:val="0"/>
                    <w:jc w:val="center"/>
                    <w:rPr>
                      <w:rFonts w:hint="default" w:ascii="Times New Roman" w:hAnsi="Times New Roman" w:eastAsia="宋体" w:cs="Times New Roman"/>
                      <w:color w:val="auto"/>
                      <w:sz w:val="21"/>
                      <w:szCs w:val="21"/>
                      <w:highlight w:val="none"/>
                    </w:rPr>
                  </w:pPr>
                </w:p>
              </w:tc>
            </w:tr>
            <w:tr w14:paraId="3EC671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1" w:type="pct"/>
                  <w:tcBorders>
                    <w:tl2br w:val="nil"/>
                    <w:tr2bl w:val="nil"/>
                  </w:tcBorders>
                  <w:noWrap w:val="0"/>
                  <w:vAlign w:val="center"/>
                </w:tcPr>
                <w:p w14:paraId="484910BA">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DA00</w:t>
                  </w:r>
                  <w:r>
                    <w:rPr>
                      <w:rFonts w:hint="eastAsia" w:cs="Times New Roman"/>
                      <w:color w:val="auto"/>
                      <w:sz w:val="21"/>
                      <w:szCs w:val="21"/>
                      <w:highlight w:val="none"/>
                      <w:lang w:val="en-US" w:eastAsia="zh-CN"/>
                    </w:rPr>
                    <w:t>3</w:t>
                  </w:r>
                </w:p>
              </w:tc>
              <w:tc>
                <w:tcPr>
                  <w:tcW w:w="664" w:type="pct"/>
                  <w:tcBorders>
                    <w:tl2br w:val="nil"/>
                    <w:tr2bl w:val="nil"/>
                  </w:tcBorders>
                  <w:noWrap w:val="0"/>
                  <w:vAlign w:val="center"/>
                </w:tcPr>
                <w:p w14:paraId="7D8DBAFA">
                  <w:pPr>
                    <w:shd w:val="clear" w:color="auto" w:fill="auto"/>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烘干尾气</w:t>
                  </w:r>
                  <w:r>
                    <w:rPr>
                      <w:rFonts w:hint="default" w:ascii="Times New Roman" w:hAnsi="Times New Roman" w:eastAsia="宋体" w:cs="Times New Roman"/>
                      <w:color w:val="auto"/>
                      <w:sz w:val="21"/>
                      <w:szCs w:val="21"/>
                      <w:highlight w:val="none"/>
                    </w:rPr>
                    <w:t>排气筒</w:t>
                  </w:r>
                </w:p>
              </w:tc>
              <w:tc>
                <w:tcPr>
                  <w:tcW w:w="656" w:type="pct"/>
                  <w:tcBorders>
                    <w:tl2br w:val="nil"/>
                    <w:tr2bl w:val="nil"/>
                  </w:tcBorders>
                  <w:noWrap w:val="0"/>
                  <w:vAlign w:val="center"/>
                </w:tcPr>
                <w:p w14:paraId="547D579F">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废气治理措施失效</w:t>
                  </w:r>
                </w:p>
              </w:tc>
              <w:tc>
                <w:tcPr>
                  <w:tcW w:w="720" w:type="pct"/>
                  <w:tcBorders>
                    <w:tl2br w:val="nil"/>
                    <w:tr2bl w:val="nil"/>
                  </w:tcBorders>
                  <w:noWrap w:val="0"/>
                  <w:vAlign w:val="center"/>
                </w:tcPr>
                <w:p w14:paraId="348F36F9">
                  <w:pPr>
                    <w:adjustRightInd w:val="0"/>
                    <w:snapToGrid w:val="0"/>
                    <w:jc w:val="center"/>
                    <w:rPr>
                      <w:rFonts w:hint="eastAsia"/>
                      <w:bCs/>
                      <w:color w:val="auto"/>
                      <w:szCs w:val="21"/>
                      <w:lang w:val="en-US" w:eastAsia="zh-CN"/>
                    </w:rPr>
                  </w:pPr>
                  <w:r>
                    <w:rPr>
                      <w:rFonts w:hint="eastAsia"/>
                      <w:bCs/>
                      <w:color w:val="auto"/>
                      <w:szCs w:val="21"/>
                      <w:lang w:val="en-US" w:eastAsia="zh-CN"/>
                    </w:rPr>
                    <w:t>颗粒物</w:t>
                  </w:r>
                </w:p>
              </w:tc>
              <w:tc>
                <w:tcPr>
                  <w:tcW w:w="618" w:type="pct"/>
                  <w:tcBorders>
                    <w:tl2br w:val="nil"/>
                    <w:tr2bl w:val="nil"/>
                  </w:tcBorders>
                  <w:shd w:val="clear" w:color="auto" w:fill="auto"/>
                  <w:noWrap w:val="0"/>
                  <w:vAlign w:val="center"/>
                </w:tcPr>
                <w:p w14:paraId="00A7D66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8.35</w:t>
                  </w:r>
                </w:p>
              </w:tc>
              <w:tc>
                <w:tcPr>
                  <w:tcW w:w="489" w:type="pct"/>
                  <w:tcBorders>
                    <w:tl2br w:val="nil"/>
                    <w:tr2bl w:val="nil"/>
                  </w:tcBorders>
                  <w:noWrap w:val="0"/>
                  <w:vAlign w:val="center"/>
                </w:tcPr>
                <w:p w14:paraId="6C98468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2"/>
                      <w:sz w:val="21"/>
                      <w:szCs w:val="21"/>
                      <w:u w:val="none"/>
                      <w:lang w:val="en-US" w:eastAsia="zh-CN" w:bidi="ar-SA"/>
                    </w:rPr>
                    <w:t>835</w:t>
                  </w:r>
                </w:p>
              </w:tc>
              <w:tc>
                <w:tcPr>
                  <w:tcW w:w="452" w:type="pct"/>
                  <w:tcBorders>
                    <w:tl2br w:val="nil"/>
                    <w:tr2bl w:val="nil"/>
                  </w:tcBorders>
                  <w:noWrap w:val="0"/>
                  <w:vAlign w:val="center"/>
                </w:tcPr>
                <w:p w14:paraId="4702FCFC">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default" w:cs="Times New Roman"/>
                      <w:i w:val="0"/>
                      <w:iCs w:val="0"/>
                      <w:color w:val="auto"/>
                      <w:kern w:val="0"/>
                      <w:sz w:val="21"/>
                      <w:szCs w:val="21"/>
                      <w:highlight w:val="none"/>
                      <w:u w:val="none"/>
                      <w:lang w:val="en-US" w:eastAsia="zh-CN" w:bidi="ar"/>
                    </w:rPr>
                    <w:t>0.5h</w:t>
                  </w:r>
                </w:p>
              </w:tc>
              <w:tc>
                <w:tcPr>
                  <w:tcW w:w="866" w:type="pct"/>
                  <w:vMerge w:val="continue"/>
                  <w:tcBorders>
                    <w:tl2br w:val="nil"/>
                    <w:tr2bl w:val="nil"/>
                  </w:tcBorders>
                  <w:noWrap w:val="0"/>
                  <w:vAlign w:val="center"/>
                </w:tcPr>
                <w:p w14:paraId="415B1020">
                  <w:pPr>
                    <w:shd w:val="clear" w:color="auto" w:fill="auto"/>
                    <w:snapToGrid w:val="0"/>
                    <w:jc w:val="center"/>
                    <w:rPr>
                      <w:rFonts w:hint="default" w:ascii="Times New Roman" w:hAnsi="Times New Roman" w:eastAsia="宋体" w:cs="Times New Roman"/>
                      <w:color w:val="auto"/>
                      <w:sz w:val="21"/>
                      <w:szCs w:val="21"/>
                      <w:highlight w:val="none"/>
                    </w:rPr>
                  </w:pPr>
                </w:p>
              </w:tc>
            </w:tr>
          </w:tbl>
          <w:p w14:paraId="757C4914">
            <w:pPr>
              <w:pStyle w:val="205"/>
              <w:bidi w:val="0"/>
              <w:rPr>
                <w:rFonts w:hint="eastAsia"/>
                <w:color w:val="auto"/>
                <w:highlight w:val="none"/>
              </w:rPr>
            </w:pPr>
            <w:r>
              <w:rPr>
                <w:rFonts w:hint="eastAsia"/>
                <w:color w:val="auto"/>
                <w:highlight w:val="none"/>
              </w:rPr>
              <w:t>在废气治理措施失效的情况下，DA001</w:t>
            </w:r>
            <w:r>
              <w:rPr>
                <w:rFonts w:hint="eastAsia"/>
                <w:color w:val="auto"/>
                <w:highlight w:val="none"/>
                <w:lang w:eastAsia="zh-CN"/>
              </w:rPr>
              <w:t>、DA003</w:t>
            </w:r>
            <w:r>
              <w:rPr>
                <w:rFonts w:hint="eastAsia"/>
                <w:color w:val="auto"/>
                <w:highlight w:val="none"/>
                <w:lang w:val="en-US" w:eastAsia="zh-CN"/>
              </w:rPr>
              <w:t>排气筒排放</w:t>
            </w:r>
            <w:r>
              <w:rPr>
                <w:rFonts w:hint="eastAsia"/>
                <w:color w:val="auto"/>
                <w:sz w:val="24"/>
                <w:szCs w:val="24"/>
                <w:highlight w:val="none"/>
              </w:rPr>
              <w:t>的</w:t>
            </w:r>
            <w:r>
              <w:rPr>
                <w:rFonts w:hint="eastAsia"/>
                <w:color w:val="auto"/>
                <w:sz w:val="24"/>
                <w:szCs w:val="24"/>
                <w:highlight w:val="none"/>
                <w:lang w:val="en-US" w:eastAsia="zh-CN"/>
              </w:rPr>
              <w:t>颗粒物不</w:t>
            </w:r>
            <w:r>
              <w:rPr>
                <w:rFonts w:hint="eastAsia"/>
                <w:color w:val="auto"/>
                <w:sz w:val="24"/>
                <w:szCs w:val="24"/>
                <w:highlight w:val="none"/>
              </w:rPr>
              <w:t>满足《大气污染物综合排放标准》（GB16297-1996）表2</w:t>
            </w:r>
            <w:r>
              <w:rPr>
                <w:rFonts w:hint="eastAsia" w:ascii="Times New Roman" w:hAnsi="Times New Roman" w:cs="Times New Roman"/>
                <w:color w:val="auto"/>
                <w:lang w:val="en-US" w:eastAsia="zh-CN"/>
              </w:rPr>
              <w:t>限值要求</w:t>
            </w:r>
            <w:r>
              <w:rPr>
                <w:rFonts w:hint="eastAsia" w:cs="Times New Roman"/>
                <w:color w:val="auto"/>
                <w:lang w:val="en-US" w:eastAsia="zh-CN"/>
              </w:rPr>
              <w:t>，</w:t>
            </w:r>
            <w:r>
              <w:rPr>
                <w:rFonts w:hint="eastAsia"/>
                <w:color w:val="auto"/>
                <w:highlight w:val="none"/>
              </w:rPr>
              <w:t>废气治理措施失效的情况下废气排放量较大，因此要求在治理措施失效的情况下及时暂停废气的排放，立即对失效废气措施进行维修或替换，在保证治理措施恢复正常且废气排放达标的情况下才能排放。在采取以上措施后，对大气环境影响较小。</w:t>
            </w:r>
          </w:p>
          <w:p w14:paraId="3BA45DD1">
            <w:pPr>
              <w:spacing w:before="120" w:beforeLines="50" w:line="360" w:lineRule="auto"/>
              <w:jc w:val="left"/>
              <w:outlineLvl w:val="2"/>
              <w:rPr>
                <w:rFonts w:ascii="Times New Roman" w:hAnsi="Times New Roman"/>
                <w:color w:val="auto"/>
                <w:sz w:val="24"/>
                <w:szCs w:val="24"/>
              </w:rPr>
            </w:pPr>
            <w:r>
              <w:rPr>
                <w:rFonts w:ascii="Times New Roman" w:hAnsi="Times New Roman"/>
                <w:b/>
                <w:color w:val="auto"/>
                <w:sz w:val="24"/>
                <w:szCs w:val="24"/>
              </w:rPr>
              <w:t>4.2.1.</w:t>
            </w:r>
            <w:r>
              <w:rPr>
                <w:rFonts w:hint="eastAsia" w:ascii="Times New Roman" w:hAnsi="Times New Roman"/>
                <w:b/>
                <w:color w:val="auto"/>
                <w:sz w:val="24"/>
                <w:szCs w:val="24"/>
                <w:lang w:val="en-US" w:eastAsia="zh-CN"/>
              </w:rPr>
              <w:t>3监测计划</w:t>
            </w:r>
          </w:p>
          <w:p w14:paraId="17C61B3E">
            <w:pPr>
              <w:spacing w:line="360" w:lineRule="auto"/>
              <w:ind w:firstLine="480" w:firstLineChars="200"/>
              <w:jc w:val="both"/>
              <w:rPr>
                <w:rFonts w:hint="eastAsia" w:ascii="Times New Roman" w:hAnsi="Times New Roman" w:eastAsia="宋体" w:cs="Times New Roman"/>
                <w:color w:val="auto"/>
                <w:sz w:val="24"/>
                <w:highlight w:val="none"/>
                <w:lang w:val="en-US" w:eastAsia="zh-CN"/>
              </w:rPr>
            </w:pPr>
            <w:r>
              <w:rPr>
                <w:color w:val="auto"/>
                <w:kern w:val="21"/>
                <w:sz w:val="24"/>
              </w:rPr>
              <w:t>根据《</w:t>
            </w:r>
            <w:r>
              <w:rPr>
                <w:rFonts w:hint="eastAsia"/>
                <w:color w:val="auto"/>
                <w:kern w:val="21"/>
                <w:sz w:val="24"/>
                <w:lang w:eastAsia="zh-CN"/>
              </w:rPr>
              <w:t>排污单位自行监测技术指南 总则</w:t>
            </w:r>
            <w:r>
              <w:rPr>
                <w:color w:val="auto"/>
                <w:kern w:val="21"/>
                <w:sz w:val="24"/>
              </w:rPr>
              <w:t>》</w:t>
            </w:r>
            <w:r>
              <w:rPr>
                <w:rFonts w:hint="eastAsia"/>
                <w:color w:val="auto"/>
                <w:kern w:val="21"/>
                <w:sz w:val="24"/>
                <w:lang w:eastAsia="zh-CN"/>
              </w:rPr>
              <w:t>（</w:t>
            </w:r>
            <w:r>
              <w:rPr>
                <w:color w:val="auto"/>
                <w:kern w:val="21"/>
                <w:sz w:val="24"/>
              </w:rPr>
              <w:t>HJ819-2017</w:t>
            </w:r>
            <w:r>
              <w:rPr>
                <w:rFonts w:hint="eastAsia"/>
                <w:color w:val="auto"/>
                <w:kern w:val="21"/>
                <w:sz w:val="24"/>
                <w:lang w:eastAsia="zh-CN"/>
              </w:rPr>
              <w:t>）</w:t>
            </w:r>
            <w:r>
              <w:rPr>
                <w:color w:val="auto"/>
                <w:kern w:val="21"/>
                <w:sz w:val="24"/>
              </w:rPr>
              <w:t>自行监测要求</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bCs/>
                <w:snapToGrid w:val="0"/>
                <w:color w:val="auto"/>
                <w:kern w:val="0"/>
                <w:sz w:val="24"/>
                <w:highlight w:val="none"/>
                <w:lang w:val="en-US" w:eastAsia="zh-CN"/>
              </w:rPr>
              <w:t>项目</w:t>
            </w:r>
            <w:r>
              <w:rPr>
                <w:rFonts w:hint="eastAsia" w:ascii="Times New Roman" w:hAnsi="Times New Roman" w:eastAsia="宋体" w:cs="Times New Roman"/>
                <w:color w:val="auto"/>
                <w:sz w:val="24"/>
                <w:highlight w:val="none"/>
                <w:lang w:val="en-US" w:eastAsia="zh-CN"/>
              </w:rPr>
              <w:t>废气污染源监测计划</w:t>
            </w:r>
            <w:r>
              <w:rPr>
                <w:rFonts w:hint="default" w:ascii="Times New Roman" w:hAnsi="Times New Roman" w:eastAsia="宋体" w:cs="Times New Roman"/>
                <w:color w:val="auto"/>
                <w:sz w:val="24"/>
                <w:highlight w:val="none"/>
                <w:lang w:val="en-US" w:eastAsia="zh-CN"/>
              </w:rPr>
              <w:t>见</w:t>
            </w:r>
            <w:r>
              <w:rPr>
                <w:rFonts w:hint="eastAsia" w:ascii="Times New Roman" w:hAnsi="Times New Roman" w:eastAsia="宋体" w:cs="Times New Roman"/>
                <w:color w:val="auto"/>
                <w:sz w:val="24"/>
                <w:highlight w:val="none"/>
                <w:lang w:val="en-US" w:eastAsia="zh-CN"/>
              </w:rPr>
              <w:t>下</w:t>
            </w:r>
            <w:r>
              <w:rPr>
                <w:rFonts w:hint="default" w:ascii="Times New Roman" w:hAnsi="Times New Roman" w:eastAsia="宋体" w:cs="Times New Roman"/>
                <w:color w:val="auto"/>
                <w:sz w:val="24"/>
                <w:highlight w:val="none"/>
                <w:lang w:val="en-US" w:eastAsia="zh-CN"/>
              </w:rPr>
              <w:t>表</w:t>
            </w:r>
            <w:r>
              <w:rPr>
                <w:rFonts w:hint="eastAsia" w:ascii="Times New Roman" w:hAnsi="Times New Roman" w:eastAsia="宋体" w:cs="Times New Roman"/>
                <w:color w:val="auto"/>
                <w:sz w:val="24"/>
                <w:highlight w:val="none"/>
                <w:lang w:val="en-US" w:eastAsia="zh-CN"/>
              </w:rPr>
              <w:t>。</w:t>
            </w:r>
          </w:p>
          <w:p w14:paraId="6B3EB574">
            <w:pPr>
              <w:numPr>
                <w:ilvl w:val="0"/>
                <w:numId w:val="8"/>
              </w:numPr>
              <w:tabs>
                <w:tab w:val="left" w:pos="0"/>
              </w:tabs>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项目监测计划内容一览表</w:t>
            </w:r>
          </w:p>
          <w:tbl>
            <w:tblPr>
              <w:tblStyle w:val="29"/>
              <w:tblW w:w="4998" w:type="pct"/>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42"/>
              <w:gridCol w:w="2727"/>
              <w:gridCol w:w="1978"/>
              <w:gridCol w:w="1490"/>
              <w:gridCol w:w="1090"/>
            </w:tblGrid>
            <w:tr w14:paraId="1FFE0A6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18" w:type="pct"/>
                  <w:tcBorders>
                    <w:tl2br w:val="nil"/>
                    <w:tr2bl w:val="nil"/>
                  </w:tcBorders>
                  <w:noWrap w:val="0"/>
                  <w:vAlign w:val="center"/>
                </w:tcPr>
                <w:p w14:paraId="24FAD76F">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w:t>
                  </w:r>
                </w:p>
                <w:p w14:paraId="490195A7">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w:t>
                  </w:r>
                </w:p>
              </w:tc>
              <w:tc>
                <w:tcPr>
                  <w:tcW w:w="1677" w:type="pct"/>
                  <w:tcBorders>
                    <w:tl2br w:val="nil"/>
                    <w:tr2bl w:val="nil"/>
                  </w:tcBorders>
                  <w:noWrap w:val="0"/>
                  <w:vAlign w:val="center"/>
                </w:tcPr>
                <w:p w14:paraId="0EE74778">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监测位置</w:t>
                  </w:r>
                </w:p>
              </w:tc>
              <w:tc>
                <w:tcPr>
                  <w:tcW w:w="1216" w:type="pct"/>
                  <w:tcBorders>
                    <w:tl2br w:val="nil"/>
                    <w:tr2bl w:val="nil"/>
                  </w:tcBorders>
                  <w:noWrap w:val="0"/>
                  <w:vAlign w:val="center"/>
                </w:tcPr>
                <w:p w14:paraId="6504571C">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监测项目</w:t>
                  </w:r>
                </w:p>
              </w:tc>
              <w:tc>
                <w:tcPr>
                  <w:tcW w:w="916" w:type="pct"/>
                  <w:tcBorders>
                    <w:tl2br w:val="nil"/>
                    <w:tr2bl w:val="nil"/>
                  </w:tcBorders>
                  <w:noWrap w:val="0"/>
                  <w:vAlign w:val="center"/>
                </w:tcPr>
                <w:p w14:paraId="6C51FDEA">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监测频率</w:t>
                  </w:r>
                </w:p>
              </w:tc>
              <w:tc>
                <w:tcPr>
                  <w:tcW w:w="670" w:type="pct"/>
                  <w:tcBorders>
                    <w:tl2br w:val="nil"/>
                    <w:tr2bl w:val="nil"/>
                  </w:tcBorders>
                  <w:noWrap w:val="0"/>
                  <w:vAlign w:val="center"/>
                </w:tcPr>
                <w:p w14:paraId="0EE398FE">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监测单位</w:t>
                  </w:r>
                </w:p>
              </w:tc>
            </w:tr>
            <w:tr w14:paraId="10041F8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18" w:type="pct"/>
                  <w:vMerge w:val="restart"/>
                  <w:tcBorders>
                    <w:tl2br w:val="nil"/>
                    <w:tr2bl w:val="nil"/>
                  </w:tcBorders>
                  <w:noWrap w:val="0"/>
                  <w:vAlign w:val="center"/>
                </w:tcPr>
                <w:p w14:paraId="5F6C34C7">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1677" w:type="pct"/>
                  <w:tcBorders>
                    <w:tl2br w:val="nil"/>
                    <w:tr2bl w:val="nil"/>
                  </w:tcBorders>
                  <w:noWrap w:val="0"/>
                  <w:vAlign w:val="center"/>
                </w:tcPr>
                <w:p w14:paraId="32528C63">
                  <w:pPr>
                    <w:shd w:val="clear" w:color="auto" w:fill="auto"/>
                    <w:snapToGrid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粉尘</w:t>
                  </w:r>
                  <w:r>
                    <w:rPr>
                      <w:rFonts w:hint="default" w:ascii="Times New Roman" w:hAnsi="Times New Roman" w:eastAsia="宋体" w:cs="Times New Roman"/>
                      <w:color w:val="auto"/>
                      <w:sz w:val="21"/>
                      <w:szCs w:val="21"/>
                      <w:highlight w:val="none"/>
                    </w:rPr>
                    <w:t>排气筒</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DA001</w:t>
                  </w:r>
                  <w:r>
                    <w:rPr>
                      <w:rFonts w:hint="eastAsia" w:ascii="Times New Roman" w:hAnsi="Times New Roman" w:eastAsia="宋体" w:cs="Times New Roman"/>
                      <w:color w:val="auto"/>
                      <w:sz w:val="21"/>
                      <w:szCs w:val="21"/>
                      <w:highlight w:val="none"/>
                      <w:lang w:eastAsia="zh-CN"/>
                    </w:rPr>
                    <w:t>）</w:t>
                  </w:r>
                </w:p>
              </w:tc>
              <w:tc>
                <w:tcPr>
                  <w:tcW w:w="1216" w:type="pct"/>
                  <w:tcBorders>
                    <w:tl2br w:val="nil"/>
                    <w:tr2bl w:val="nil"/>
                  </w:tcBorders>
                  <w:noWrap w:val="0"/>
                  <w:vAlign w:val="center"/>
                </w:tcPr>
                <w:p w14:paraId="70A69307">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ascii="Times New Roman" w:hAnsi="Times New Roman"/>
                      <w:bCs/>
                      <w:color w:val="auto"/>
                      <w:sz w:val="21"/>
                      <w:szCs w:val="21"/>
                    </w:rPr>
                    <w:t>颗粒物</w:t>
                  </w:r>
                </w:p>
              </w:tc>
              <w:tc>
                <w:tcPr>
                  <w:tcW w:w="916" w:type="pct"/>
                  <w:tcBorders>
                    <w:tl2br w:val="nil"/>
                    <w:tr2bl w:val="nil"/>
                  </w:tcBorders>
                  <w:noWrap w:val="0"/>
                  <w:vAlign w:val="center"/>
                </w:tcPr>
                <w:p w14:paraId="1B822131">
                  <w:pPr>
                    <w:adjustRightInd w:val="0"/>
                    <w:snapToGrid w:val="0"/>
                    <w:jc w:val="center"/>
                    <w:rPr>
                      <w:rFonts w:hint="default" w:ascii="Times New Roman" w:hAnsi="Times New Roman"/>
                      <w:color w:val="auto"/>
                      <w:kern w:val="0"/>
                      <w:sz w:val="21"/>
                      <w:szCs w:val="21"/>
                      <w:lang w:val="en-US" w:eastAsia="zh-CN" w:bidi="ar-SA"/>
                    </w:rPr>
                  </w:pPr>
                  <w:r>
                    <w:rPr>
                      <w:rFonts w:ascii="Times New Roman" w:hAnsi="Times New Roman"/>
                      <w:color w:val="auto"/>
                      <w:kern w:val="0"/>
                      <w:sz w:val="21"/>
                      <w:szCs w:val="21"/>
                    </w:rPr>
                    <w:t>1次/</w:t>
                  </w:r>
                  <w:r>
                    <w:rPr>
                      <w:rFonts w:hint="eastAsia"/>
                      <w:color w:val="auto"/>
                      <w:kern w:val="0"/>
                      <w:sz w:val="21"/>
                      <w:szCs w:val="21"/>
                      <w:lang w:val="en-US" w:eastAsia="zh-CN"/>
                    </w:rPr>
                    <w:t>半年</w:t>
                  </w:r>
                </w:p>
              </w:tc>
              <w:tc>
                <w:tcPr>
                  <w:tcW w:w="670" w:type="pct"/>
                  <w:vMerge w:val="restart"/>
                  <w:tcBorders>
                    <w:tl2br w:val="nil"/>
                    <w:tr2bl w:val="nil"/>
                  </w:tcBorders>
                  <w:noWrap w:val="0"/>
                  <w:vAlign w:val="center"/>
                </w:tcPr>
                <w:p w14:paraId="6F9F4C9D">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委托有资质单位</w:t>
                  </w:r>
                </w:p>
              </w:tc>
            </w:tr>
            <w:tr w14:paraId="0D000B2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18" w:type="pct"/>
                  <w:vMerge w:val="continue"/>
                  <w:tcBorders>
                    <w:tl2br w:val="nil"/>
                    <w:tr2bl w:val="nil"/>
                  </w:tcBorders>
                  <w:noWrap w:val="0"/>
                  <w:vAlign w:val="center"/>
                </w:tcPr>
                <w:p w14:paraId="56DBDE12">
                  <w:pPr>
                    <w:shd w:val="clear" w:color="auto" w:fill="auto"/>
                    <w:snapToGrid w:val="0"/>
                    <w:jc w:val="center"/>
                    <w:rPr>
                      <w:rFonts w:hint="default" w:ascii="Times New Roman" w:hAnsi="Times New Roman" w:eastAsia="宋体" w:cs="Times New Roman"/>
                      <w:color w:val="auto"/>
                      <w:sz w:val="21"/>
                      <w:szCs w:val="21"/>
                      <w:highlight w:val="none"/>
                    </w:rPr>
                  </w:pPr>
                </w:p>
              </w:tc>
              <w:tc>
                <w:tcPr>
                  <w:tcW w:w="1677" w:type="pct"/>
                  <w:tcBorders>
                    <w:tl2br w:val="nil"/>
                    <w:tr2bl w:val="nil"/>
                  </w:tcBorders>
                  <w:noWrap w:val="0"/>
                  <w:vAlign w:val="center"/>
                </w:tcPr>
                <w:p w14:paraId="2DCEF88D">
                  <w:pPr>
                    <w:shd w:val="clear" w:color="auto" w:fill="auto"/>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燃烧废气排气筒</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DA002</w:t>
                  </w:r>
                  <w:r>
                    <w:rPr>
                      <w:rFonts w:hint="eastAsia" w:ascii="Times New Roman" w:hAnsi="Times New Roman" w:eastAsia="宋体" w:cs="Times New Roman"/>
                      <w:color w:val="auto"/>
                      <w:sz w:val="21"/>
                      <w:szCs w:val="21"/>
                      <w:highlight w:val="none"/>
                      <w:lang w:eastAsia="zh-CN"/>
                    </w:rPr>
                    <w:t>）</w:t>
                  </w:r>
                </w:p>
              </w:tc>
              <w:tc>
                <w:tcPr>
                  <w:tcW w:w="1216" w:type="pct"/>
                  <w:tcBorders>
                    <w:tl2br w:val="nil"/>
                    <w:tr2bl w:val="nil"/>
                  </w:tcBorders>
                  <w:noWrap w:val="0"/>
                  <w:vAlign w:val="center"/>
                </w:tcPr>
                <w:p w14:paraId="72A17790">
                  <w:pPr>
                    <w:adjustRightInd w:val="0"/>
                    <w:snapToGrid w:val="0"/>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颗粒物、二氧化硫、氮氧化物</w:t>
                  </w:r>
                </w:p>
              </w:tc>
              <w:tc>
                <w:tcPr>
                  <w:tcW w:w="916" w:type="pct"/>
                  <w:tcBorders>
                    <w:tl2br w:val="nil"/>
                    <w:tr2bl w:val="nil"/>
                  </w:tcBorders>
                  <w:noWrap w:val="0"/>
                  <w:vAlign w:val="center"/>
                </w:tcPr>
                <w:p w14:paraId="09FE6681">
                  <w:pPr>
                    <w:adjustRightInd w:val="0"/>
                    <w:snapToGrid w:val="0"/>
                    <w:jc w:val="center"/>
                    <w:rPr>
                      <w:rFonts w:ascii="Times New Roman" w:hAnsi="Times New Roman"/>
                      <w:color w:val="auto"/>
                      <w:kern w:val="0"/>
                      <w:sz w:val="21"/>
                      <w:szCs w:val="21"/>
                    </w:rPr>
                  </w:pPr>
                  <w:r>
                    <w:rPr>
                      <w:rFonts w:ascii="Times New Roman" w:hAnsi="Times New Roman"/>
                      <w:color w:val="auto"/>
                      <w:kern w:val="0"/>
                      <w:sz w:val="21"/>
                      <w:szCs w:val="21"/>
                    </w:rPr>
                    <w:t>1次/</w:t>
                  </w:r>
                  <w:r>
                    <w:rPr>
                      <w:rFonts w:hint="eastAsia"/>
                      <w:color w:val="auto"/>
                      <w:kern w:val="0"/>
                      <w:sz w:val="21"/>
                      <w:szCs w:val="21"/>
                      <w:lang w:val="en-US" w:eastAsia="zh-CN"/>
                    </w:rPr>
                    <w:t>半年</w:t>
                  </w:r>
                </w:p>
              </w:tc>
              <w:tc>
                <w:tcPr>
                  <w:tcW w:w="670" w:type="pct"/>
                  <w:vMerge w:val="continue"/>
                  <w:tcBorders>
                    <w:tl2br w:val="nil"/>
                    <w:tr2bl w:val="nil"/>
                  </w:tcBorders>
                  <w:noWrap w:val="0"/>
                  <w:vAlign w:val="center"/>
                </w:tcPr>
                <w:p w14:paraId="361CF22C">
                  <w:pPr>
                    <w:shd w:val="clear" w:color="auto" w:fill="auto"/>
                    <w:snapToGrid w:val="0"/>
                    <w:jc w:val="center"/>
                    <w:rPr>
                      <w:rFonts w:hint="default" w:ascii="Times New Roman" w:hAnsi="Times New Roman" w:eastAsia="宋体" w:cs="Times New Roman"/>
                      <w:color w:val="auto"/>
                      <w:sz w:val="21"/>
                      <w:szCs w:val="21"/>
                      <w:highlight w:val="none"/>
                    </w:rPr>
                  </w:pPr>
                </w:p>
              </w:tc>
            </w:tr>
            <w:tr w14:paraId="4490A4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18" w:type="pct"/>
                  <w:vMerge w:val="continue"/>
                  <w:tcBorders>
                    <w:tl2br w:val="nil"/>
                    <w:tr2bl w:val="nil"/>
                  </w:tcBorders>
                  <w:noWrap w:val="0"/>
                  <w:vAlign w:val="center"/>
                </w:tcPr>
                <w:p w14:paraId="0003B23E">
                  <w:pPr>
                    <w:shd w:val="clear" w:color="auto" w:fill="auto"/>
                    <w:snapToGrid w:val="0"/>
                    <w:jc w:val="center"/>
                    <w:rPr>
                      <w:rFonts w:hint="default" w:ascii="Times New Roman" w:hAnsi="Times New Roman" w:eastAsia="宋体" w:cs="Times New Roman"/>
                      <w:color w:val="auto"/>
                      <w:sz w:val="21"/>
                      <w:szCs w:val="21"/>
                      <w:highlight w:val="none"/>
                    </w:rPr>
                  </w:pPr>
                </w:p>
              </w:tc>
              <w:tc>
                <w:tcPr>
                  <w:tcW w:w="1677" w:type="pct"/>
                  <w:tcBorders>
                    <w:tl2br w:val="nil"/>
                    <w:tr2bl w:val="nil"/>
                  </w:tcBorders>
                  <w:noWrap w:val="0"/>
                  <w:vAlign w:val="center"/>
                </w:tcPr>
                <w:p w14:paraId="596F9E97">
                  <w:pPr>
                    <w:shd w:val="clear" w:color="auto" w:fill="auto"/>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烘干尾气排气筒</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DA003</w:t>
                  </w:r>
                  <w:r>
                    <w:rPr>
                      <w:rFonts w:hint="eastAsia" w:ascii="Times New Roman" w:hAnsi="Times New Roman" w:eastAsia="宋体" w:cs="Times New Roman"/>
                      <w:color w:val="auto"/>
                      <w:sz w:val="21"/>
                      <w:szCs w:val="21"/>
                      <w:highlight w:val="none"/>
                      <w:lang w:eastAsia="zh-CN"/>
                    </w:rPr>
                    <w:t>）</w:t>
                  </w:r>
                </w:p>
              </w:tc>
              <w:tc>
                <w:tcPr>
                  <w:tcW w:w="1216" w:type="pct"/>
                  <w:tcBorders>
                    <w:tl2br w:val="nil"/>
                    <w:tr2bl w:val="nil"/>
                  </w:tcBorders>
                  <w:noWrap w:val="0"/>
                  <w:vAlign w:val="center"/>
                </w:tcPr>
                <w:p w14:paraId="5550AB46">
                  <w:pPr>
                    <w:adjustRightInd w:val="0"/>
                    <w:snapToGrid w:val="0"/>
                    <w:jc w:val="center"/>
                    <w:rPr>
                      <w:rFonts w:ascii="Times New Roman" w:hAnsi="Times New Roman"/>
                      <w:bCs/>
                      <w:color w:val="auto"/>
                      <w:sz w:val="21"/>
                      <w:szCs w:val="21"/>
                    </w:rPr>
                  </w:pPr>
                  <w:r>
                    <w:rPr>
                      <w:rFonts w:hint="eastAsia"/>
                      <w:bCs/>
                      <w:color w:val="auto"/>
                      <w:sz w:val="21"/>
                      <w:szCs w:val="21"/>
                      <w:lang w:val="en-US" w:eastAsia="zh-CN"/>
                    </w:rPr>
                    <w:t>颗粒物、二氧化硫、氮氧化物</w:t>
                  </w:r>
                </w:p>
              </w:tc>
              <w:tc>
                <w:tcPr>
                  <w:tcW w:w="916" w:type="pct"/>
                  <w:tcBorders>
                    <w:tl2br w:val="nil"/>
                    <w:tr2bl w:val="nil"/>
                  </w:tcBorders>
                  <w:noWrap w:val="0"/>
                  <w:vAlign w:val="center"/>
                </w:tcPr>
                <w:p w14:paraId="56560176">
                  <w:pPr>
                    <w:adjustRightInd w:val="0"/>
                    <w:snapToGrid w:val="0"/>
                    <w:jc w:val="center"/>
                    <w:rPr>
                      <w:rFonts w:ascii="Times New Roman" w:hAnsi="Times New Roman"/>
                      <w:color w:val="auto"/>
                      <w:kern w:val="0"/>
                      <w:sz w:val="21"/>
                      <w:szCs w:val="21"/>
                    </w:rPr>
                  </w:pPr>
                  <w:r>
                    <w:rPr>
                      <w:rFonts w:ascii="Times New Roman" w:hAnsi="Times New Roman"/>
                      <w:color w:val="auto"/>
                      <w:kern w:val="0"/>
                      <w:sz w:val="21"/>
                      <w:szCs w:val="21"/>
                    </w:rPr>
                    <w:t>1次/</w:t>
                  </w:r>
                  <w:r>
                    <w:rPr>
                      <w:rFonts w:hint="eastAsia"/>
                      <w:color w:val="auto"/>
                      <w:kern w:val="0"/>
                      <w:sz w:val="21"/>
                      <w:szCs w:val="21"/>
                      <w:lang w:val="en-US" w:eastAsia="zh-CN"/>
                    </w:rPr>
                    <w:t>半年</w:t>
                  </w:r>
                </w:p>
              </w:tc>
              <w:tc>
                <w:tcPr>
                  <w:tcW w:w="670" w:type="pct"/>
                  <w:vMerge w:val="continue"/>
                  <w:tcBorders>
                    <w:tl2br w:val="nil"/>
                    <w:tr2bl w:val="nil"/>
                  </w:tcBorders>
                  <w:noWrap w:val="0"/>
                  <w:vAlign w:val="center"/>
                </w:tcPr>
                <w:p w14:paraId="674D021F">
                  <w:pPr>
                    <w:shd w:val="clear" w:color="auto" w:fill="auto"/>
                    <w:snapToGrid w:val="0"/>
                    <w:jc w:val="center"/>
                    <w:rPr>
                      <w:rFonts w:hint="default" w:ascii="Times New Roman" w:hAnsi="Times New Roman" w:eastAsia="宋体" w:cs="Times New Roman"/>
                      <w:color w:val="auto"/>
                      <w:sz w:val="21"/>
                      <w:szCs w:val="21"/>
                      <w:highlight w:val="none"/>
                    </w:rPr>
                  </w:pPr>
                </w:p>
              </w:tc>
            </w:tr>
            <w:tr w14:paraId="5590BC8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18" w:type="pct"/>
                  <w:vMerge w:val="continue"/>
                  <w:tcBorders>
                    <w:tl2br w:val="nil"/>
                    <w:tr2bl w:val="nil"/>
                  </w:tcBorders>
                  <w:noWrap w:val="0"/>
                  <w:vAlign w:val="center"/>
                </w:tcPr>
                <w:p w14:paraId="5295467A">
                  <w:pPr>
                    <w:shd w:val="clear" w:color="auto" w:fill="auto"/>
                    <w:snapToGrid w:val="0"/>
                    <w:jc w:val="center"/>
                    <w:rPr>
                      <w:rFonts w:hint="default" w:ascii="Times New Roman" w:hAnsi="Times New Roman" w:eastAsia="宋体" w:cs="Times New Roman"/>
                      <w:color w:val="auto"/>
                      <w:sz w:val="21"/>
                      <w:szCs w:val="21"/>
                      <w:highlight w:val="none"/>
                    </w:rPr>
                  </w:pPr>
                </w:p>
              </w:tc>
              <w:tc>
                <w:tcPr>
                  <w:tcW w:w="1677" w:type="pct"/>
                  <w:tcBorders>
                    <w:tl2br w:val="nil"/>
                    <w:tr2bl w:val="nil"/>
                  </w:tcBorders>
                  <w:noWrap w:val="0"/>
                  <w:vAlign w:val="center"/>
                </w:tcPr>
                <w:p w14:paraId="0FE15600">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厂界上风向和下风向</w:t>
                  </w:r>
                </w:p>
              </w:tc>
              <w:tc>
                <w:tcPr>
                  <w:tcW w:w="1216" w:type="pct"/>
                  <w:tcBorders>
                    <w:tl2br w:val="nil"/>
                    <w:tr2bl w:val="nil"/>
                  </w:tcBorders>
                  <w:noWrap w:val="0"/>
                  <w:vAlign w:val="center"/>
                </w:tcPr>
                <w:p w14:paraId="0F56FF54">
                  <w:pPr>
                    <w:shd w:val="clear" w:color="auto" w:fill="auto"/>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916" w:type="pct"/>
                  <w:tcBorders>
                    <w:tl2br w:val="nil"/>
                    <w:tr2bl w:val="nil"/>
                  </w:tcBorders>
                  <w:noWrap w:val="0"/>
                  <w:vAlign w:val="center"/>
                </w:tcPr>
                <w:p w14:paraId="3C65382A">
                  <w:pPr>
                    <w:shd w:val="clear" w:color="auto" w:fill="auto"/>
                    <w:snapToGrid w:val="0"/>
                    <w:jc w:val="center"/>
                    <w:rPr>
                      <w:rFonts w:hint="default" w:ascii="Times New Roman" w:hAnsi="Times New Roman" w:eastAsia="宋体" w:cs="Times New Roman"/>
                      <w:color w:val="auto"/>
                      <w:sz w:val="21"/>
                      <w:szCs w:val="21"/>
                      <w:highlight w:val="none"/>
                    </w:rPr>
                  </w:pPr>
                  <w:r>
                    <w:rPr>
                      <w:rFonts w:ascii="Times New Roman" w:hAnsi="Times New Roman"/>
                      <w:color w:val="auto"/>
                      <w:kern w:val="0"/>
                      <w:sz w:val="21"/>
                      <w:szCs w:val="21"/>
                    </w:rPr>
                    <w:t>1次/</w:t>
                  </w:r>
                  <w:r>
                    <w:rPr>
                      <w:rFonts w:hint="eastAsia"/>
                      <w:color w:val="auto"/>
                      <w:kern w:val="0"/>
                      <w:sz w:val="21"/>
                      <w:szCs w:val="21"/>
                      <w:lang w:val="en-US" w:eastAsia="zh-CN"/>
                    </w:rPr>
                    <w:t>季度</w:t>
                  </w:r>
                </w:p>
              </w:tc>
              <w:tc>
                <w:tcPr>
                  <w:tcW w:w="670" w:type="pct"/>
                  <w:vMerge w:val="continue"/>
                  <w:tcBorders>
                    <w:tl2br w:val="nil"/>
                    <w:tr2bl w:val="nil"/>
                  </w:tcBorders>
                  <w:noWrap w:val="0"/>
                  <w:vAlign w:val="center"/>
                </w:tcPr>
                <w:p w14:paraId="13D45D1E">
                  <w:pPr>
                    <w:shd w:val="clear" w:color="auto" w:fill="auto"/>
                    <w:snapToGrid w:val="0"/>
                    <w:jc w:val="center"/>
                    <w:rPr>
                      <w:rFonts w:hint="default" w:ascii="Times New Roman" w:hAnsi="Times New Roman" w:eastAsia="宋体" w:cs="Times New Roman"/>
                      <w:color w:val="auto"/>
                      <w:sz w:val="21"/>
                      <w:szCs w:val="21"/>
                      <w:highlight w:val="none"/>
                    </w:rPr>
                  </w:pPr>
                </w:p>
              </w:tc>
            </w:tr>
          </w:tbl>
          <w:p w14:paraId="0E38D6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bCs/>
                <w:color w:val="auto"/>
                <w:szCs w:val="21"/>
              </w:rPr>
            </w:pPr>
          </w:p>
        </w:tc>
      </w:tr>
    </w:tbl>
    <w:p w14:paraId="0EF5F718">
      <w:pPr>
        <w:adjustRightInd w:val="0"/>
        <w:snapToGrid w:val="0"/>
        <w:spacing w:line="360" w:lineRule="auto"/>
        <w:rPr>
          <w:rFonts w:ascii="Times New Roman" w:hAnsi="Times New Roman"/>
          <w:b/>
          <w:color w:val="auto"/>
          <w:kern w:val="0"/>
          <w:sz w:val="24"/>
          <w:szCs w:val="24"/>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6F96BEFA">
      <w:pPr>
        <w:pStyle w:val="22"/>
        <w:numPr>
          <w:ilvl w:val="0"/>
          <w:numId w:val="8"/>
        </w:numPr>
        <w:spacing w:before="120" w:beforeLines="50" w:after="0" w:line="240" w:lineRule="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主要生产设备噪污染源一览表</w:t>
      </w:r>
    </w:p>
    <w:tbl>
      <w:tblPr>
        <w:tblStyle w:val="29"/>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83"/>
        <w:gridCol w:w="707"/>
        <w:gridCol w:w="719"/>
        <w:gridCol w:w="1170"/>
        <w:gridCol w:w="712"/>
        <w:gridCol w:w="774"/>
        <w:gridCol w:w="884"/>
        <w:gridCol w:w="480"/>
        <w:gridCol w:w="1078"/>
        <w:gridCol w:w="955"/>
        <w:gridCol w:w="1347"/>
        <w:gridCol w:w="1019"/>
        <w:gridCol w:w="1024"/>
        <w:gridCol w:w="1221"/>
      </w:tblGrid>
      <w:tr w14:paraId="4C25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5" w:type="pct"/>
            <w:vMerge w:val="restart"/>
            <w:noWrap w:val="0"/>
            <w:vAlign w:val="center"/>
          </w:tcPr>
          <w:p w14:paraId="5715F11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20" w:type="pct"/>
            <w:vMerge w:val="restart"/>
            <w:noWrap w:val="0"/>
            <w:vAlign w:val="center"/>
          </w:tcPr>
          <w:p w14:paraId="7DD3B95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建筑物名称</w:t>
            </w:r>
          </w:p>
        </w:tc>
        <w:tc>
          <w:tcPr>
            <w:tcW w:w="266" w:type="pct"/>
            <w:vMerge w:val="restart"/>
            <w:noWrap w:val="0"/>
            <w:vAlign w:val="center"/>
          </w:tcPr>
          <w:p w14:paraId="4392016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声源名称</w:t>
            </w:r>
          </w:p>
        </w:tc>
        <w:tc>
          <w:tcPr>
            <w:tcW w:w="271" w:type="pct"/>
            <w:vMerge w:val="restart"/>
            <w:noWrap w:val="0"/>
            <w:vAlign w:val="center"/>
          </w:tcPr>
          <w:p w14:paraId="0318BC4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数量</w:t>
            </w:r>
          </w:p>
        </w:tc>
        <w:tc>
          <w:tcPr>
            <w:tcW w:w="441" w:type="pct"/>
            <w:noWrap w:val="0"/>
            <w:vAlign w:val="center"/>
          </w:tcPr>
          <w:p w14:paraId="0340318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w:t>
            </w:r>
            <w:r>
              <w:rPr>
                <w:rFonts w:hint="eastAsia" w:eastAsia="宋体" w:cs="Times New Roman"/>
                <w:color w:val="auto"/>
                <w:sz w:val="21"/>
                <w:szCs w:val="21"/>
                <w:lang w:eastAsia="zh-CN"/>
              </w:rPr>
              <w:t>源</w:t>
            </w:r>
            <w:r>
              <w:rPr>
                <w:rFonts w:hint="default" w:ascii="Times New Roman" w:hAnsi="Times New Roman" w:eastAsia="宋体" w:cs="Times New Roman"/>
                <w:color w:val="auto"/>
                <w:sz w:val="21"/>
                <w:szCs w:val="21"/>
              </w:rPr>
              <w:t>强</w:t>
            </w:r>
          </w:p>
        </w:tc>
        <w:tc>
          <w:tcPr>
            <w:tcW w:w="268" w:type="pct"/>
            <w:vMerge w:val="restart"/>
            <w:noWrap w:val="0"/>
            <w:vAlign w:val="center"/>
          </w:tcPr>
          <w:p w14:paraId="057DA35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声源控制措施</w:t>
            </w:r>
          </w:p>
        </w:tc>
        <w:tc>
          <w:tcPr>
            <w:tcW w:w="807" w:type="pct"/>
            <w:gridSpan w:val="3"/>
            <w:noWrap w:val="0"/>
            <w:vAlign w:val="center"/>
          </w:tcPr>
          <w:p w14:paraId="48CD6C9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空间相对位置</w:t>
            </w:r>
          </w:p>
        </w:tc>
        <w:tc>
          <w:tcPr>
            <w:tcW w:w="407" w:type="pct"/>
            <w:vMerge w:val="restart"/>
            <w:noWrap w:val="0"/>
            <w:vAlign w:val="center"/>
          </w:tcPr>
          <w:p w14:paraId="5CBE2C5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距室内边界距离（m</w:t>
            </w:r>
            <w:r>
              <w:rPr>
                <w:rFonts w:hint="eastAsia" w:eastAsia="宋体" w:cs="Times New Roman"/>
                <w:color w:val="auto"/>
                <w:sz w:val="21"/>
                <w:szCs w:val="21"/>
                <w:lang w:eastAsia="zh-CN"/>
              </w:rPr>
              <w:t>）</w:t>
            </w:r>
          </w:p>
        </w:tc>
        <w:tc>
          <w:tcPr>
            <w:tcW w:w="360" w:type="pct"/>
            <w:vMerge w:val="restart"/>
            <w:noWrap w:val="0"/>
            <w:vAlign w:val="center"/>
          </w:tcPr>
          <w:p w14:paraId="6922B6E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室内边界</w:t>
            </w:r>
          </w:p>
        </w:tc>
        <w:tc>
          <w:tcPr>
            <w:tcW w:w="508" w:type="pct"/>
            <w:vMerge w:val="restart"/>
            <w:noWrap w:val="0"/>
            <w:vAlign w:val="center"/>
          </w:tcPr>
          <w:p w14:paraId="1D39F91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运行时段</w:t>
            </w:r>
          </w:p>
        </w:tc>
        <w:tc>
          <w:tcPr>
            <w:tcW w:w="384" w:type="pct"/>
            <w:vMerge w:val="restart"/>
            <w:noWrap w:val="0"/>
            <w:vAlign w:val="center"/>
          </w:tcPr>
          <w:p w14:paraId="665879E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建筑物插入损失/dB（A）</w:t>
            </w:r>
          </w:p>
        </w:tc>
        <w:tc>
          <w:tcPr>
            <w:tcW w:w="847" w:type="pct"/>
            <w:gridSpan w:val="2"/>
            <w:noWrap w:val="0"/>
            <w:vAlign w:val="center"/>
          </w:tcPr>
          <w:p w14:paraId="587A770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建筑物外噪声</w:t>
            </w:r>
          </w:p>
        </w:tc>
      </w:tr>
      <w:tr w14:paraId="7C1A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15" w:type="pct"/>
            <w:vMerge w:val="continue"/>
            <w:noWrap w:val="0"/>
            <w:vAlign w:val="center"/>
          </w:tcPr>
          <w:p w14:paraId="08CFBB6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6EE0851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5AC2D7C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71" w:type="pct"/>
            <w:vMerge w:val="continue"/>
            <w:noWrap w:val="0"/>
            <w:vAlign w:val="center"/>
          </w:tcPr>
          <w:p w14:paraId="7694486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41" w:type="pct"/>
            <w:noWrap w:val="0"/>
            <w:vAlign w:val="center"/>
          </w:tcPr>
          <w:p w14:paraId="2844420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（声压级/距声源距离）/dB（A）/（m</w:t>
            </w:r>
            <w:r>
              <w:rPr>
                <w:rFonts w:hint="eastAsia" w:eastAsia="宋体" w:cs="Times New Roman"/>
                <w:color w:val="auto"/>
                <w:sz w:val="21"/>
                <w:szCs w:val="21"/>
                <w:lang w:eastAsia="zh-CN"/>
              </w:rPr>
              <w:t>）</w:t>
            </w:r>
          </w:p>
        </w:tc>
        <w:tc>
          <w:tcPr>
            <w:tcW w:w="268" w:type="pct"/>
            <w:vMerge w:val="continue"/>
            <w:noWrap w:val="0"/>
            <w:vAlign w:val="center"/>
          </w:tcPr>
          <w:p w14:paraId="6DD9698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noWrap w:val="0"/>
            <w:vAlign w:val="center"/>
          </w:tcPr>
          <w:p w14:paraId="343E335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333" w:type="pct"/>
            <w:noWrap w:val="0"/>
            <w:vAlign w:val="center"/>
          </w:tcPr>
          <w:p w14:paraId="7B9260A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181" w:type="pct"/>
            <w:noWrap w:val="0"/>
            <w:vAlign w:val="center"/>
          </w:tcPr>
          <w:p w14:paraId="258DE29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407" w:type="pct"/>
            <w:vMerge w:val="continue"/>
            <w:noWrap w:val="0"/>
            <w:vAlign w:val="center"/>
          </w:tcPr>
          <w:p w14:paraId="33783AA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60" w:type="pct"/>
            <w:vMerge w:val="continue"/>
            <w:noWrap w:val="0"/>
            <w:vAlign w:val="center"/>
          </w:tcPr>
          <w:p w14:paraId="0896C49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508" w:type="pct"/>
            <w:vMerge w:val="continue"/>
            <w:noWrap w:val="0"/>
            <w:vAlign w:val="center"/>
          </w:tcPr>
          <w:p w14:paraId="54C4A98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710B00F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noWrap w:val="0"/>
            <w:vAlign w:val="center"/>
          </w:tcPr>
          <w:p w14:paraId="35A8A23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声压级/dB（A）</w:t>
            </w:r>
          </w:p>
        </w:tc>
        <w:tc>
          <w:tcPr>
            <w:tcW w:w="460" w:type="pct"/>
            <w:noWrap w:val="0"/>
            <w:vAlign w:val="center"/>
          </w:tcPr>
          <w:p w14:paraId="3B50EEF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建筑物外距离（m</w:t>
            </w:r>
            <w:r>
              <w:rPr>
                <w:rFonts w:hint="eastAsia" w:eastAsia="宋体" w:cs="Times New Roman"/>
                <w:color w:val="auto"/>
                <w:sz w:val="21"/>
                <w:szCs w:val="21"/>
                <w:lang w:eastAsia="zh-CN"/>
              </w:rPr>
              <w:t>）</w:t>
            </w:r>
          </w:p>
        </w:tc>
      </w:tr>
      <w:tr w14:paraId="13E8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noWrap w:val="0"/>
            <w:vAlign w:val="center"/>
          </w:tcPr>
          <w:p w14:paraId="5D1F6D0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20" w:type="pct"/>
            <w:vMerge w:val="restart"/>
            <w:noWrap w:val="0"/>
            <w:vAlign w:val="center"/>
          </w:tcPr>
          <w:p w14:paraId="620B7B9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生产车间</w:t>
            </w:r>
          </w:p>
        </w:tc>
        <w:tc>
          <w:tcPr>
            <w:tcW w:w="266" w:type="pct"/>
            <w:vMerge w:val="restart"/>
            <w:noWrap w:val="0"/>
            <w:vAlign w:val="center"/>
          </w:tcPr>
          <w:p w14:paraId="4D51E6A3">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烘干机</w:t>
            </w:r>
          </w:p>
        </w:tc>
        <w:tc>
          <w:tcPr>
            <w:tcW w:w="271" w:type="pct"/>
            <w:vMerge w:val="restart"/>
            <w:noWrap w:val="0"/>
            <w:vAlign w:val="center"/>
          </w:tcPr>
          <w:p w14:paraId="5355B091">
            <w:pPr>
              <w:widowControl/>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szCs w:val="21"/>
                <w:lang w:val="en-US" w:eastAsia="zh-CN"/>
              </w:rPr>
              <w:t>1</w:t>
            </w:r>
          </w:p>
        </w:tc>
        <w:tc>
          <w:tcPr>
            <w:tcW w:w="441" w:type="pct"/>
            <w:vMerge w:val="restart"/>
            <w:noWrap w:val="0"/>
            <w:vAlign w:val="center"/>
          </w:tcPr>
          <w:p w14:paraId="7A6E9B8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85</w:t>
            </w:r>
          </w:p>
        </w:tc>
        <w:tc>
          <w:tcPr>
            <w:tcW w:w="268" w:type="pct"/>
            <w:vMerge w:val="restart"/>
            <w:noWrap w:val="0"/>
            <w:vAlign w:val="center"/>
          </w:tcPr>
          <w:p w14:paraId="68BBFDD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基础减振、建筑隔声</w:t>
            </w:r>
          </w:p>
        </w:tc>
        <w:tc>
          <w:tcPr>
            <w:tcW w:w="292" w:type="pct"/>
            <w:vMerge w:val="restart"/>
            <w:noWrap w:val="0"/>
            <w:vAlign w:val="center"/>
          </w:tcPr>
          <w:p w14:paraId="29A6B6A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0.44</w:t>
            </w:r>
          </w:p>
        </w:tc>
        <w:tc>
          <w:tcPr>
            <w:tcW w:w="333" w:type="pct"/>
            <w:vMerge w:val="restart"/>
            <w:noWrap w:val="0"/>
            <w:vAlign w:val="center"/>
          </w:tcPr>
          <w:p w14:paraId="03B1CB0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9.85</w:t>
            </w:r>
          </w:p>
        </w:tc>
        <w:tc>
          <w:tcPr>
            <w:tcW w:w="181" w:type="pct"/>
            <w:vMerge w:val="restart"/>
            <w:noWrap w:val="0"/>
            <w:vAlign w:val="center"/>
          </w:tcPr>
          <w:p w14:paraId="182F349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407" w:type="pct"/>
            <w:noWrap w:val="0"/>
            <w:vAlign w:val="center"/>
          </w:tcPr>
          <w:p w14:paraId="5F0A086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w:t>
            </w:r>
          </w:p>
        </w:tc>
        <w:tc>
          <w:tcPr>
            <w:tcW w:w="360" w:type="pct"/>
            <w:noWrap w:val="0"/>
            <w:vAlign w:val="center"/>
          </w:tcPr>
          <w:p w14:paraId="04BA829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w:t>
            </w:r>
          </w:p>
        </w:tc>
        <w:tc>
          <w:tcPr>
            <w:tcW w:w="508" w:type="pct"/>
            <w:vMerge w:val="restart"/>
            <w:noWrap w:val="0"/>
            <w:vAlign w:val="center"/>
          </w:tcPr>
          <w:p w14:paraId="07E971D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:00</w:t>
            </w:r>
          </w:p>
        </w:tc>
        <w:tc>
          <w:tcPr>
            <w:tcW w:w="384" w:type="pct"/>
            <w:vMerge w:val="restart"/>
            <w:noWrap w:val="0"/>
            <w:vAlign w:val="center"/>
          </w:tcPr>
          <w:p w14:paraId="72A141E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386" w:type="pct"/>
            <w:noWrap w:val="0"/>
            <w:vAlign w:val="center"/>
          </w:tcPr>
          <w:p w14:paraId="38A0C9F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49.2</w:t>
            </w:r>
          </w:p>
        </w:tc>
        <w:tc>
          <w:tcPr>
            <w:tcW w:w="460" w:type="pct"/>
            <w:noWrap w:val="0"/>
            <w:vAlign w:val="center"/>
          </w:tcPr>
          <w:p w14:paraId="03A6F33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1B14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4ED6963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43C692A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4492D5C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71" w:type="pct"/>
            <w:vMerge w:val="continue"/>
            <w:noWrap w:val="0"/>
            <w:vAlign w:val="center"/>
          </w:tcPr>
          <w:p w14:paraId="51852EE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41" w:type="pct"/>
            <w:vMerge w:val="continue"/>
            <w:noWrap w:val="0"/>
            <w:vAlign w:val="center"/>
          </w:tcPr>
          <w:p w14:paraId="254DFAE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081ABE7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7F6C849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2045BB9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74804A9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noWrap w:val="0"/>
            <w:vAlign w:val="center"/>
          </w:tcPr>
          <w:p w14:paraId="3621299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360" w:type="pct"/>
            <w:noWrap w:val="0"/>
            <w:vAlign w:val="center"/>
          </w:tcPr>
          <w:p w14:paraId="641B9B6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东</w:t>
            </w:r>
          </w:p>
        </w:tc>
        <w:tc>
          <w:tcPr>
            <w:tcW w:w="508" w:type="pct"/>
            <w:vMerge w:val="continue"/>
            <w:noWrap w:val="0"/>
            <w:vAlign w:val="center"/>
          </w:tcPr>
          <w:p w14:paraId="5F1434D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049E47C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noWrap w:val="0"/>
            <w:vAlign w:val="center"/>
          </w:tcPr>
          <w:p w14:paraId="4736EFFE">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p>
        </w:tc>
        <w:tc>
          <w:tcPr>
            <w:tcW w:w="460" w:type="pct"/>
            <w:noWrap w:val="0"/>
            <w:vAlign w:val="center"/>
          </w:tcPr>
          <w:p w14:paraId="26F090B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6DDC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128F9B9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6B76F22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34DBAED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71" w:type="pct"/>
            <w:vMerge w:val="continue"/>
            <w:noWrap w:val="0"/>
            <w:vAlign w:val="center"/>
          </w:tcPr>
          <w:p w14:paraId="229AE59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41" w:type="pct"/>
            <w:vMerge w:val="continue"/>
            <w:noWrap w:val="0"/>
            <w:vAlign w:val="center"/>
          </w:tcPr>
          <w:p w14:paraId="6F804D0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4452752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005504E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069DA02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276647D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noWrap w:val="0"/>
            <w:vAlign w:val="center"/>
          </w:tcPr>
          <w:p w14:paraId="1F38F23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w:t>
            </w:r>
          </w:p>
        </w:tc>
        <w:tc>
          <w:tcPr>
            <w:tcW w:w="360" w:type="pct"/>
            <w:noWrap w:val="0"/>
            <w:vAlign w:val="center"/>
          </w:tcPr>
          <w:p w14:paraId="78880A9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南</w:t>
            </w:r>
          </w:p>
        </w:tc>
        <w:tc>
          <w:tcPr>
            <w:tcW w:w="508" w:type="pct"/>
            <w:vMerge w:val="continue"/>
            <w:noWrap w:val="0"/>
            <w:vAlign w:val="center"/>
          </w:tcPr>
          <w:p w14:paraId="7970560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487C494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noWrap w:val="0"/>
            <w:vAlign w:val="center"/>
          </w:tcPr>
          <w:p w14:paraId="31E9A1E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49.2</w:t>
            </w:r>
          </w:p>
        </w:tc>
        <w:tc>
          <w:tcPr>
            <w:tcW w:w="460" w:type="pct"/>
            <w:noWrap w:val="0"/>
            <w:vAlign w:val="center"/>
          </w:tcPr>
          <w:p w14:paraId="203799A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38AD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7A7E666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29CBE7A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0A5EFF8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71" w:type="pct"/>
            <w:vMerge w:val="continue"/>
            <w:noWrap w:val="0"/>
            <w:vAlign w:val="center"/>
          </w:tcPr>
          <w:p w14:paraId="23B8DD8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41" w:type="pct"/>
            <w:vMerge w:val="continue"/>
            <w:noWrap w:val="0"/>
            <w:vAlign w:val="center"/>
          </w:tcPr>
          <w:p w14:paraId="17CF252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186AE45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67785E8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3E26546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645220D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noWrap w:val="0"/>
            <w:vAlign w:val="center"/>
          </w:tcPr>
          <w:p w14:paraId="661E82C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360" w:type="pct"/>
            <w:noWrap w:val="0"/>
            <w:vAlign w:val="center"/>
          </w:tcPr>
          <w:p w14:paraId="129C825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西</w:t>
            </w:r>
          </w:p>
        </w:tc>
        <w:tc>
          <w:tcPr>
            <w:tcW w:w="508" w:type="pct"/>
            <w:vMerge w:val="continue"/>
            <w:noWrap w:val="0"/>
            <w:vAlign w:val="center"/>
          </w:tcPr>
          <w:p w14:paraId="4BE1B28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6F239B5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noWrap w:val="0"/>
            <w:vAlign w:val="center"/>
          </w:tcPr>
          <w:p w14:paraId="7F8386B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57.9</w:t>
            </w:r>
          </w:p>
        </w:tc>
        <w:tc>
          <w:tcPr>
            <w:tcW w:w="460" w:type="pct"/>
            <w:noWrap w:val="0"/>
            <w:vAlign w:val="center"/>
          </w:tcPr>
          <w:p w14:paraId="218F1EE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0F04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noWrap w:val="0"/>
            <w:vAlign w:val="center"/>
          </w:tcPr>
          <w:p w14:paraId="4FAADB6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220" w:type="pct"/>
            <w:vMerge w:val="continue"/>
            <w:noWrap w:val="0"/>
            <w:vAlign w:val="center"/>
          </w:tcPr>
          <w:p w14:paraId="1C11F30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restart"/>
            <w:shd w:val="clear" w:color="auto" w:fill="auto"/>
            <w:noWrap w:val="0"/>
            <w:vAlign w:val="center"/>
          </w:tcPr>
          <w:p w14:paraId="4BAE322C">
            <w:pPr>
              <w:widowControl/>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磁选机</w:t>
            </w:r>
          </w:p>
        </w:tc>
        <w:tc>
          <w:tcPr>
            <w:tcW w:w="271" w:type="pct"/>
            <w:vMerge w:val="restart"/>
            <w:shd w:val="clear" w:color="auto" w:fill="auto"/>
            <w:noWrap w:val="0"/>
            <w:vAlign w:val="center"/>
          </w:tcPr>
          <w:p w14:paraId="5CA6A540">
            <w:pPr>
              <w:widowControl/>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szCs w:val="21"/>
                <w:lang w:val="en-US" w:eastAsia="zh-CN"/>
              </w:rPr>
              <w:t>2</w:t>
            </w:r>
          </w:p>
        </w:tc>
        <w:tc>
          <w:tcPr>
            <w:tcW w:w="441" w:type="pct"/>
            <w:vMerge w:val="restart"/>
            <w:shd w:val="clear" w:color="auto" w:fill="auto"/>
            <w:noWrap w:val="0"/>
            <w:vAlign w:val="center"/>
          </w:tcPr>
          <w:p w14:paraId="7E21393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85</w:t>
            </w:r>
          </w:p>
        </w:tc>
        <w:tc>
          <w:tcPr>
            <w:tcW w:w="268" w:type="pct"/>
            <w:vMerge w:val="continue"/>
            <w:shd w:val="clear" w:color="auto" w:fill="auto"/>
            <w:noWrap w:val="0"/>
            <w:vAlign w:val="center"/>
          </w:tcPr>
          <w:p w14:paraId="7F2CBB3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restart"/>
            <w:shd w:val="clear" w:color="auto" w:fill="auto"/>
            <w:noWrap w:val="0"/>
            <w:vAlign w:val="center"/>
          </w:tcPr>
          <w:p w14:paraId="10D16FF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4.73</w:t>
            </w:r>
          </w:p>
        </w:tc>
        <w:tc>
          <w:tcPr>
            <w:tcW w:w="333" w:type="pct"/>
            <w:vMerge w:val="restart"/>
            <w:shd w:val="clear" w:color="auto" w:fill="auto"/>
            <w:noWrap w:val="0"/>
            <w:vAlign w:val="center"/>
          </w:tcPr>
          <w:p w14:paraId="671036A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17.33</w:t>
            </w:r>
          </w:p>
        </w:tc>
        <w:tc>
          <w:tcPr>
            <w:tcW w:w="181" w:type="pct"/>
            <w:vMerge w:val="restart"/>
            <w:shd w:val="clear" w:color="auto" w:fill="auto"/>
            <w:noWrap w:val="0"/>
            <w:vAlign w:val="center"/>
          </w:tcPr>
          <w:p w14:paraId="36AFEA0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407" w:type="pct"/>
            <w:shd w:val="clear" w:color="auto" w:fill="auto"/>
            <w:noWrap w:val="0"/>
            <w:vAlign w:val="center"/>
          </w:tcPr>
          <w:p w14:paraId="4FABC6A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360" w:type="pct"/>
            <w:shd w:val="clear" w:color="auto" w:fill="auto"/>
            <w:noWrap w:val="0"/>
            <w:vAlign w:val="center"/>
          </w:tcPr>
          <w:p w14:paraId="5BEB4CB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北</w:t>
            </w:r>
          </w:p>
        </w:tc>
        <w:tc>
          <w:tcPr>
            <w:tcW w:w="508" w:type="pct"/>
            <w:vMerge w:val="restart"/>
            <w:shd w:val="clear" w:color="auto" w:fill="auto"/>
            <w:noWrap w:val="0"/>
            <w:vAlign w:val="center"/>
          </w:tcPr>
          <w:p w14:paraId="2AB8FB7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:00</w:t>
            </w:r>
          </w:p>
        </w:tc>
        <w:tc>
          <w:tcPr>
            <w:tcW w:w="384" w:type="pct"/>
            <w:vMerge w:val="restart"/>
            <w:shd w:val="clear" w:color="auto" w:fill="auto"/>
            <w:noWrap w:val="0"/>
            <w:vAlign w:val="center"/>
          </w:tcPr>
          <w:p w14:paraId="76782AC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15</w:t>
            </w:r>
          </w:p>
        </w:tc>
        <w:tc>
          <w:tcPr>
            <w:tcW w:w="386" w:type="pct"/>
            <w:shd w:val="clear" w:color="auto" w:fill="auto"/>
            <w:noWrap w:val="0"/>
            <w:vAlign w:val="center"/>
          </w:tcPr>
          <w:p w14:paraId="0CD99A56">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57.9</w:t>
            </w:r>
          </w:p>
        </w:tc>
        <w:tc>
          <w:tcPr>
            <w:tcW w:w="460" w:type="pct"/>
            <w:shd w:val="clear" w:color="auto" w:fill="auto"/>
            <w:noWrap w:val="0"/>
            <w:vAlign w:val="center"/>
          </w:tcPr>
          <w:p w14:paraId="546A920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182D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4B32820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62B3AE9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1A3CEFB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71" w:type="pct"/>
            <w:vMerge w:val="continue"/>
            <w:noWrap w:val="0"/>
            <w:vAlign w:val="center"/>
          </w:tcPr>
          <w:p w14:paraId="1B13059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41" w:type="pct"/>
            <w:vMerge w:val="continue"/>
            <w:noWrap w:val="0"/>
            <w:vAlign w:val="center"/>
          </w:tcPr>
          <w:p w14:paraId="15B47E4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02621E2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0892FE9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6A4AA32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6B80D6C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5108793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360" w:type="pct"/>
            <w:shd w:val="clear" w:color="auto" w:fill="auto"/>
            <w:noWrap w:val="0"/>
            <w:vAlign w:val="center"/>
          </w:tcPr>
          <w:p w14:paraId="08F5244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东</w:t>
            </w:r>
          </w:p>
        </w:tc>
        <w:tc>
          <w:tcPr>
            <w:tcW w:w="508" w:type="pct"/>
            <w:vMerge w:val="continue"/>
            <w:noWrap w:val="0"/>
            <w:vAlign w:val="center"/>
          </w:tcPr>
          <w:p w14:paraId="52B1F6B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65080EF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3CD91A28">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57.9</w:t>
            </w:r>
          </w:p>
        </w:tc>
        <w:tc>
          <w:tcPr>
            <w:tcW w:w="460" w:type="pct"/>
            <w:shd w:val="clear" w:color="auto" w:fill="auto"/>
            <w:noWrap w:val="0"/>
            <w:vAlign w:val="center"/>
          </w:tcPr>
          <w:p w14:paraId="6D982B6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07AF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58AA2D1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56A1071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2863BC6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71" w:type="pct"/>
            <w:vMerge w:val="continue"/>
            <w:noWrap w:val="0"/>
            <w:vAlign w:val="center"/>
          </w:tcPr>
          <w:p w14:paraId="7895477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41" w:type="pct"/>
            <w:vMerge w:val="continue"/>
            <w:noWrap w:val="0"/>
            <w:vAlign w:val="center"/>
          </w:tcPr>
          <w:p w14:paraId="0E443AF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1185193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2FCF0764">
            <w:pPr>
              <w:widowControl/>
              <w:jc w:val="center"/>
              <w:rPr>
                <w:rFonts w:hint="default" w:ascii="Times New Roman" w:hAnsi="Times New Roman" w:eastAsia="宋体" w:cs="Times New Roman"/>
                <w:color w:val="auto"/>
                <w:sz w:val="21"/>
                <w:szCs w:val="21"/>
              </w:rPr>
            </w:pPr>
          </w:p>
        </w:tc>
        <w:tc>
          <w:tcPr>
            <w:tcW w:w="333" w:type="pct"/>
            <w:vMerge w:val="continue"/>
            <w:noWrap w:val="0"/>
            <w:vAlign w:val="center"/>
          </w:tcPr>
          <w:p w14:paraId="53AE050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7063A38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052FACF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18</w:t>
            </w:r>
          </w:p>
        </w:tc>
        <w:tc>
          <w:tcPr>
            <w:tcW w:w="360" w:type="pct"/>
            <w:shd w:val="clear" w:color="auto" w:fill="auto"/>
            <w:noWrap w:val="0"/>
            <w:vAlign w:val="center"/>
          </w:tcPr>
          <w:p w14:paraId="5837B77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南</w:t>
            </w:r>
          </w:p>
        </w:tc>
        <w:tc>
          <w:tcPr>
            <w:tcW w:w="508" w:type="pct"/>
            <w:vMerge w:val="continue"/>
            <w:noWrap w:val="0"/>
            <w:vAlign w:val="center"/>
          </w:tcPr>
          <w:p w14:paraId="0E795F9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11AAF4D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79E7E8EA">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44.8</w:t>
            </w:r>
          </w:p>
        </w:tc>
        <w:tc>
          <w:tcPr>
            <w:tcW w:w="460" w:type="pct"/>
            <w:shd w:val="clear" w:color="auto" w:fill="auto"/>
            <w:noWrap w:val="0"/>
            <w:vAlign w:val="center"/>
          </w:tcPr>
          <w:p w14:paraId="6BCFEE8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0FFF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14E795C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56A5AFD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32F427C7">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6DBC352A">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49D1E88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4F8B256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17CE3F89">
            <w:pPr>
              <w:widowControl/>
              <w:jc w:val="center"/>
              <w:rPr>
                <w:rFonts w:hint="default" w:ascii="Times New Roman" w:hAnsi="Times New Roman" w:eastAsia="宋体" w:cs="Times New Roman"/>
                <w:color w:val="auto"/>
                <w:sz w:val="21"/>
                <w:szCs w:val="21"/>
              </w:rPr>
            </w:pPr>
          </w:p>
        </w:tc>
        <w:tc>
          <w:tcPr>
            <w:tcW w:w="333" w:type="pct"/>
            <w:vMerge w:val="continue"/>
            <w:noWrap w:val="0"/>
            <w:vAlign w:val="center"/>
          </w:tcPr>
          <w:p w14:paraId="48FD4DF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2F9D572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3922BBE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360" w:type="pct"/>
            <w:shd w:val="clear" w:color="auto" w:fill="auto"/>
            <w:noWrap w:val="0"/>
            <w:vAlign w:val="center"/>
          </w:tcPr>
          <w:p w14:paraId="66F24B4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西</w:t>
            </w:r>
          </w:p>
        </w:tc>
        <w:tc>
          <w:tcPr>
            <w:tcW w:w="508" w:type="pct"/>
            <w:vMerge w:val="continue"/>
            <w:noWrap w:val="0"/>
            <w:vAlign w:val="center"/>
          </w:tcPr>
          <w:p w14:paraId="203B1F0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46D6B93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7CE3C88C">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w:t>
            </w:r>
          </w:p>
        </w:tc>
        <w:tc>
          <w:tcPr>
            <w:tcW w:w="460" w:type="pct"/>
            <w:shd w:val="clear" w:color="auto" w:fill="auto"/>
            <w:noWrap w:val="0"/>
            <w:vAlign w:val="center"/>
          </w:tcPr>
          <w:p w14:paraId="677019E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4FA5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noWrap w:val="0"/>
            <w:vAlign w:val="center"/>
          </w:tcPr>
          <w:p w14:paraId="30ED7FF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220" w:type="pct"/>
            <w:vMerge w:val="continue"/>
            <w:noWrap w:val="0"/>
            <w:vAlign w:val="center"/>
          </w:tcPr>
          <w:p w14:paraId="20F1F72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restart"/>
            <w:shd w:val="clear" w:color="auto" w:fill="auto"/>
            <w:noWrap w:val="0"/>
            <w:vAlign w:val="center"/>
          </w:tcPr>
          <w:p w14:paraId="5CED5F2A">
            <w:pPr>
              <w:widowControl/>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筛分机</w:t>
            </w:r>
          </w:p>
        </w:tc>
        <w:tc>
          <w:tcPr>
            <w:tcW w:w="271" w:type="pct"/>
            <w:vMerge w:val="restart"/>
            <w:shd w:val="clear" w:color="auto" w:fill="auto"/>
            <w:noWrap w:val="0"/>
            <w:vAlign w:val="center"/>
          </w:tcPr>
          <w:p w14:paraId="44EACCAF">
            <w:pPr>
              <w:widowControl/>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szCs w:val="21"/>
                <w:lang w:val="en-US" w:eastAsia="zh-CN"/>
              </w:rPr>
              <w:t>1</w:t>
            </w:r>
          </w:p>
        </w:tc>
        <w:tc>
          <w:tcPr>
            <w:tcW w:w="441" w:type="pct"/>
            <w:vMerge w:val="restart"/>
            <w:shd w:val="clear" w:color="auto" w:fill="auto"/>
            <w:noWrap w:val="0"/>
            <w:vAlign w:val="center"/>
          </w:tcPr>
          <w:p w14:paraId="3E4D48D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85</w:t>
            </w:r>
          </w:p>
        </w:tc>
        <w:tc>
          <w:tcPr>
            <w:tcW w:w="268" w:type="pct"/>
            <w:vMerge w:val="continue"/>
            <w:noWrap w:val="0"/>
            <w:vAlign w:val="center"/>
          </w:tcPr>
          <w:p w14:paraId="6BF3F9A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restart"/>
            <w:shd w:val="clear" w:color="auto" w:fill="auto"/>
            <w:noWrap w:val="0"/>
            <w:vAlign w:val="center"/>
          </w:tcPr>
          <w:p w14:paraId="42DCC341">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5.70</w:t>
            </w:r>
          </w:p>
        </w:tc>
        <w:tc>
          <w:tcPr>
            <w:tcW w:w="333" w:type="pct"/>
            <w:vMerge w:val="restart"/>
            <w:shd w:val="clear" w:color="auto" w:fill="auto"/>
            <w:noWrap w:val="0"/>
            <w:vAlign w:val="center"/>
          </w:tcPr>
          <w:p w14:paraId="5264408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eastAsia="zh-CN"/>
              </w:rPr>
              <w:t>12.65</w:t>
            </w:r>
          </w:p>
        </w:tc>
        <w:tc>
          <w:tcPr>
            <w:tcW w:w="181" w:type="pct"/>
            <w:vMerge w:val="restart"/>
            <w:shd w:val="clear" w:color="auto" w:fill="auto"/>
            <w:noWrap w:val="0"/>
            <w:vAlign w:val="center"/>
          </w:tcPr>
          <w:p w14:paraId="637C070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407" w:type="pct"/>
            <w:shd w:val="clear" w:color="auto" w:fill="auto"/>
            <w:noWrap w:val="0"/>
            <w:vAlign w:val="center"/>
          </w:tcPr>
          <w:p w14:paraId="58C2970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w:t>
            </w:r>
          </w:p>
        </w:tc>
        <w:tc>
          <w:tcPr>
            <w:tcW w:w="360" w:type="pct"/>
            <w:shd w:val="clear" w:color="auto" w:fill="auto"/>
            <w:noWrap w:val="0"/>
            <w:vAlign w:val="center"/>
          </w:tcPr>
          <w:p w14:paraId="4DD2896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北</w:t>
            </w:r>
          </w:p>
        </w:tc>
        <w:tc>
          <w:tcPr>
            <w:tcW w:w="508" w:type="pct"/>
            <w:vMerge w:val="restart"/>
            <w:shd w:val="clear" w:color="auto" w:fill="auto"/>
            <w:noWrap w:val="0"/>
            <w:vAlign w:val="center"/>
          </w:tcPr>
          <w:p w14:paraId="3BC194D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:00</w:t>
            </w:r>
          </w:p>
        </w:tc>
        <w:tc>
          <w:tcPr>
            <w:tcW w:w="384" w:type="pct"/>
            <w:vMerge w:val="restart"/>
            <w:shd w:val="clear" w:color="auto" w:fill="auto"/>
            <w:noWrap w:val="0"/>
            <w:vAlign w:val="center"/>
          </w:tcPr>
          <w:p w14:paraId="22E1A9C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15</w:t>
            </w:r>
          </w:p>
        </w:tc>
        <w:tc>
          <w:tcPr>
            <w:tcW w:w="386" w:type="pct"/>
            <w:shd w:val="clear" w:color="auto" w:fill="auto"/>
            <w:noWrap w:val="0"/>
            <w:vAlign w:val="center"/>
          </w:tcPr>
          <w:p w14:paraId="41A0E4D5">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50.9</w:t>
            </w:r>
          </w:p>
        </w:tc>
        <w:tc>
          <w:tcPr>
            <w:tcW w:w="460" w:type="pct"/>
            <w:shd w:val="clear" w:color="auto" w:fill="auto"/>
            <w:noWrap w:val="0"/>
            <w:vAlign w:val="center"/>
          </w:tcPr>
          <w:p w14:paraId="2AB3DA1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0F89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74A83D9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3ED0574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25E946D1">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07B380DE">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4D09FAF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3A7EAB2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1274800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0961CCF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0F7C0DE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542B61A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360" w:type="pct"/>
            <w:shd w:val="clear" w:color="auto" w:fill="auto"/>
            <w:noWrap w:val="0"/>
            <w:vAlign w:val="center"/>
          </w:tcPr>
          <w:p w14:paraId="6A0C12A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东</w:t>
            </w:r>
          </w:p>
        </w:tc>
        <w:tc>
          <w:tcPr>
            <w:tcW w:w="508" w:type="pct"/>
            <w:vMerge w:val="continue"/>
            <w:noWrap w:val="0"/>
            <w:vAlign w:val="center"/>
          </w:tcPr>
          <w:p w14:paraId="489DC67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42084B6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12EA3B82">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57.9</w:t>
            </w:r>
          </w:p>
        </w:tc>
        <w:tc>
          <w:tcPr>
            <w:tcW w:w="460" w:type="pct"/>
            <w:shd w:val="clear" w:color="auto" w:fill="auto"/>
            <w:noWrap w:val="0"/>
            <w:vAlign w:val="center"/>
          </w:tcPr>
          <w:p w14:paraId="1BEAEA1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253B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5949873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4A71AF8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1865D053">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2994F756">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2F06030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5CF7253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0C3D25B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57D7425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18BFB40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5403C3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w:t>
            </w:r>
          </w:p>
        </w:tc>
        <w:tc>
          <w:tcPr>
            <w:tcW w:w="360" w:type="pct"/>
            <w:shd w:val="clear" w:color="auto" w:fill="auto"/>
            <w:noWrap w:val="0"/>
            <w:vAlign w:val="center"/>
          </w:tcPr>
          <w:p w14:paraId="7476A78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南</w:t>
            </w:r>
          </w:p>
        </w:tc>
        <w:tc>
          <w:tcPr>
            <w:tcW w:w="508" w:type="pct"/>
            <w:vMerge w:val="continue"/>
            <w:noWrap w:val="0"/>
            <w:vAlign w:val="center"/>
          </w:tcPr>
          <w:p w14:paraId="773BD00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28FF21F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01527F25">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47.7</w:t>
            </w:r>
          </w:p>
        </w:tc>
        <w:tc>
          <w:tcPr>
            <w:tcW w:w="460" w:type="pct"/>
            <w:shd w:val="clear" w:color="auto" w:fill="auto"/>
            <w:noWrap w:val="0"/>
            <w:vAlign w:val="center"/>
          </w:tcPr>
          <w:p w14:paraId="435DBB8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215C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40D9223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7591C19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75C48DE5">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47B454AF">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6DA5ECA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58DFDEF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62F0532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765BF27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240C90E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4A7EE4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360" w:type="pct"/>
            <w:shd w:val="clear" w:color="auto" w:fill="auto"/>
            <w:noWrap w:val="0"/>
            <w:vAlign w:val="center"/>
          </w:tcPr>
          <w:p w14:paraId="121A542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西</w:t>
            </w:r>
          </w:p>
        </w:tc>
        <w:tc>
          <w:tcPr>
            <w:tcW w:w="508" w:type="pct"/>
            <w:vMerge w:val="continue"/>
            <w:noWrap w:val="0"/>
            <w:vAlign w:val="center"/>
          </w:tcPr>
          <w:p w14:paraId="285290C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2579E63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70B186FE">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w:t>
            </w:r>
          </w:p>
        </w:tc>
        <w:tc>
          <w:tcPr>
            <w:tcW w:w="460" w:type="pct"/>
            <w:shd w:val="clear" w:color="auto" w:fill="auto"/>
            <w:noWrap w:val="0"/>
            <w:vAlign w:val="center"/>
          </w:tcPr>
          <w:p w14:paraId="5D94FA0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2D4A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noWrap w:val="0"/>
            <w:vAlign w:val="center"/>
          </w:tcPr>
          <w:p w14:paraId="16BB5DF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220" w:type="pct"/>
            <w:vMerge w:val="continue"/>
            <w:noWrap w:val="0"/>
            <w:vAlign w:val="center"/>
          </w:tcPr>
          <w:p w14:paraId="6C522F3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restart"/>
            <w:shd w:val="clear" w:color="auto" w:fill="auto"/>
            <w:noWrap w:val="0"/>
            <w:vAlign w:val="center"/>
          </w:tcPr>
          <w:p w14:paraId="77702ECC">
            <w:pPr>
              <w:widowControl/>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szCs w:val="21"/>
                <w:lang w:val="en-US" w:eastAsia="zh-CN"/>
              </w:rPr>
              <w:t>破碎机</w:t>
            </w:r>
          </w:p>
        </w:tc>
        <w:tc>
          <w:tcPr>
            <w:tcW w:w="271" w:type="pct"/>
            <w:vMerge w:val="restart"/>
            <w:shd w:val="clear" w:color="auto" w:fill="auto"/>
            <w:noWrap w:val="0"/>
            <w:vAlign w:val="center"/>
          </w:tcPr>
          <w:p w14:paraId="2B2D6DD3">
            <w:pPr>
              <w:widowControl/>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szCs w:val="21"/>
                <w:lang w:val="en-US" w:eastAsia="zh-CN"/>
              </w:rPr>
              <w:t>1</w:t>
            </w:r>
          </w:p>
        </w:tc>
        <w:tc>
          <w:tcPr>
            <w:tcW w:w="441" w:type="pct"/>
            <w:vMerge w:val="restart"/>
            <w:shd w:val="clear" w:color="auto" w:fill="auto"/>
            <w:noWrap w:val="0"/>
            <w:vAlign w:val="center"/>
          </w:tcPr>
          <w:p w14:paraId="29CD9A2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90</w:t>
            </w:r>
          </w:p>
        </w:tc>
        <w:tc>
          <w:tcPr>
            <w:tcW w:w="268" w:type="pct"/>
            <w:vMerge w:val="continue"/>
            <w:shd w:val="clear" w:color="auto" w:fill="auto"/>
            <w:noWrap w:val="0"/>
            <w:vAlign w:val="center"/>
          </w:tcPr>
          <w:p w14:paraId="46231B5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restart"/>
            <w:shd w:val="clear" w:color="auto" w:fill="auto"/>
            <w:noWrap w:val="0"/>
            <w:vAlign w:val="center"/>
          </w:tcPr>
          <w:p w14:paraId="4BF2DC8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-0.54</w:t>
            </w:r>
          </w:p>
        </w:tc>
        <w:tc>
          <w:tcPr>
            <w:tcW w:w="333" w:type="pct"/>
            <w:vMerge w:val="restart"/>
            <w:shd w:val="clear" w:color="auto" w:fill="auto"/>
            <w:noWrap w:val="0"/>
            <w:vAlign w:val="center"/>
          </w:tcPr>
          <w:p w14:paraId="2608442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16.03</w:t>
            </w:r>
          </w:p>
        </w:tc>
        <w:tc>
          <w:tcPr>
            <w:tcW w:w="181" w:type="pct"/>
            <w:vMerge w:val="restart"/>
            <w:shd w:val="clear" w:color="auto" w:fill="auto"/>
            <w:noWrap w:val="0"/>
            <w:vAlign w:val="center"/>
          </w:tcPr>
          <w:p w14:paraId="5F9FB2E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407" w:type="pct"/>
            <w:shd w:val="clear" w:color="auto" w:fill="auto"/>
            <w:noWrap w:val="0"/>
            <w:vAlign w:val="center"/>
          </w:tcPr>
          <w:p w14:paraId="442CF9F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w:t>
            </w:r>
          </w:p>
        </w:tc>
        <w:tc>
          <w:tcPr>
            <w:tcW w:w="360" w:type="pct"/>
            <w:shd w:val="clear" w:color="auto" w:fill="auto"/>
            <w:noWrap w:val="0"/>
            <w:vAlign w:val="center"/>
          </w:tcPr>
          <w:p w14:paraId="6D1A231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北</w:t>
            </w:r>
          </w:p>
        </w:tc>
        <w:tc>
          <w:tcPr>
            <w:tcW w:w="508" w:type="pct"/>
            <w:vMerge w:val="restart"/>
            <w:shd w:val="clear" w:color="auto" w:fill="auto"/>
            <w:noWrap w:val="0"/>
            <w:vAlign w:val="center"/>
          </w:tcPr>
          <w:p w14:paraId="4345184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:00</w:t>
            </w:r>
          </w:p>
        </w:tc>
        <w:tc>
          <w:tcPr>
            <w:tcW w:w="384" w:type="pct"/>
            <w:vMerge w:val="restart"/>
            <w:shd w:val="clear" w:color="auto" w:fill="auto"/>
            <w:noWrap w:val="0"/>
            <w:vAlign w:val="center"/>
          </w:tcPr>
          <w:p w14:paraId="583C2A6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15</w:t>
            </w:r>
          </w:p>
        </w:tc>
        <w:tc>
          <w:tcPr>
            <w:tcW w:w="386" w:type="pct"/>
            <w:shd w:val="clear" w:color="auto" w:fill="auto"/>
            <w:noWrap w:val="0"/>
            <w:vAlign w:val="center"/>
          </w:tcPr>
          <w:p w14:paraId="2B235FD2">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61</w:t>
            </w:r>
          </w:p>
        </w:tc>
        <w:tc>
          <w:tcPr>
            <w:tcW w:w="460" w:type="pct"/>
            <w:shd w:val="clear" w:color="auto" w:fill="auto"/>
            <w:noWrap w:val="0"/>
            <w:vAlign w:val="center"/>
          </w:tcPr>
          <w:p w14:paraId="08A4C33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2444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5600C68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02CC8CB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4994293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lang w:val="en-US" w:eastAsia="zh-CN"/>
              </w:rPr>
            </w:pPr>
          </w:p>
        </w:tc>
        <w:tc>
          <w:tcPr>
            <w:tcW w:w="271" w:type="pct"/>
            <w:vMerge w:val="continue"/>
            <w:noWrap w:val="0"/>
            <w:vAlign w:val="center"/>
          </w:tcPr>
          <w:p w14:paraId="489CB5E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lang w:val="en-US" w:eastAsia="zh-CN"/>
              </w:rPr>
            </w:pPr>
          </w:p>
        </w:tc>
        <w:tc>
          <w:tcPr>
            <w:tcW w:w="441" w:type="pct"/>
            <w:vMerge w:val="continue"/>
            <w:noWrap w:val="0"/>
            <w:vAlign w:val="center"/>
          </w:tcPr>
          <w:p w14:paraId="0B38FB8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3A72E60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64D0DAC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7EA5906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0412931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B2994B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360" w:type="pct"/>
            <w:shd w:val="clear" w:color="auto" w:fill="auto"/>
            <w:noWrap w:val="0"/>
            <w:vAlign w:val="center"/>
          </w:tcPr>
          <w:p w14:paraId="6653170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东</w:t>
            </w:r>
          </w:p>
        </w:tc>
        <w:tc>
          <w:tcPr>
            <w:tcW w:w="508" w:type="pct"/>
            <w:vMerge w:val="continue"/>
            <w:noWrap w:val="0"/>
            <w:vAlign w:val="center"/>
          </w:tcPr>
          <w:p w14:paraId="25E9BA3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2DA9367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797BA0CC">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w:t>
            </w:r>
          </w:p>
        </w:tc>
        <w:tc>
          <w:tcPr>
            <w:tcW w:w="460" w:type="pct"/>
            <w:shd w:val="clear" w:color="auto" w:fill="auto"/>
            <w:noWrap w:val="0"/>
            <w:vAlign w:val="center"/>
          </w:tcPr>
          <w:p w14:paraId="3797B9D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66B2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327A430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30DC37E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2A340FB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lang w:val="en-US" w:eastAsia="zh-CN"/>
              </w:rPr>
            </w:pPr>
          </w:p>
        </w:tc>
        <w:tc>
          <w:tcPr>
            <w:tcW w:w="271" w:type="pct"/>
            <w:vMerge w:val="continue"/>
            <w:noWrap w:val="0"/>
            <w:vAlign w:val="center"/>
          </w:tcPr>
          <w:p w14:paraId="57E5C37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lang w:val="en-US" w:eastAsia="zh-CN"/>
              </w:rPr>
            </w:pPr>
          </w:p>
        </w:tc>
        <w:tc>
          <w:tcPr>
            <w:tcW w:w="441" w:type="pct"/>
            <w:vMerge w:val="continue"/>
            <w:noWrap w:val="0"/>
            <w:vAlign w:val="center"/>
          </w:tcPr>
          <w:p w14:paraId="0CF9ABC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63B66FC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26E4FF8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24D0E76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11EC7F7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1F8EA7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17</w:t>
            </w:r>
          </w:p>
        </w:tc>
        <w:tc>
          <w:tcPr>
            <w:tcW w:w="360" w:type="pct"/>
            <w:shd w:val="clear" w:color="auto" w:fill="auto"/>
            <w:noWrap w:val="0"/>
            <w:vAlign w:val="center"/>
          </w:tcPr>
          <w:p w14:paraId="2506BD9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南</w:t>
            </w:r>
          </w:p>
        </w:tc>
        <w:tc>
          <w:tcPr>
            <w:tcW w:w="508" w:type="pct"/>
            <w:vMerge w:val="continue"/>
            <w:noWrap w:val="0"/>
            <w:vAlign w:val="center"/>
          </w:tcPr>
          <w:p w14:paraId="1F9EAE3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5D400AE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50A5990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50.3</w:t>
            </w:r>
          </w:p>
        </w:tc>
        <w:tc>
          <w:tcPr>
            <w:tcW w:w="460" w:type="pct"/>
            <w:shd w:val="clear" w:color="auto" w:fill="auto"/>
            <w:noWrap w:val="0"/>
            <w:vAlign w:val="center"/>
          </w:tcPr>
          <w:p w14:paraId="74825A4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39D7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1DF2125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54DF131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62B5A81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lang w:val="en-US" w:eastAsia="zh-CN"/>
              </w:rPr>
            </w:pPr>
          </w:p>
        </w:tc>
        <w:tc>
          <w:tcPr>
            <w:tcW w:w="271" w:type="pct"/>
            <w:vMerge w:val="continue"/>
            <w:noWrap w:val="0"/>
            <w:vAlign w:val="center"/>
          </w:tcPr>
          <w:p w14:paraId="2D56B2E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lang w:val="en-US" w:eastAsia="zh-CN"/>
              </w:rPr>
            </w:pPr>
          </w:p>
        </w:tc>
        <w:tc>
          <w:tcPr>
            <w:tcW w:w="441" w:type="pct"/>
            <w:vMerge w:val="continue"/>
            <w:noWrap w:val="0"/>
            <w:vAlign w:val="center"/>
          </w:tcPr>
          <w:p w14:paraId="0AFCE50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532C533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07C6FC7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566D407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20CCD1A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21D6CC8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360" w:type="pct"/>
            <w:shd w:val="clear" w:color="auto" w:fill="auto"/>
            <w:noWrap w:val="0"/>
            <w:vAlign w:val="center"/>
          </w:tcPr>
          <w:p w14:paraId="5CE44C6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西</w:t>
            </w:r>
          </w:p>
        </w:tc>
        <w:tc>
          <w:tcPr>
            <w:tcW w:w="508" w:type="pct"/>
            <w:vMerge w:val="continue"/>
            <w:noWrap w:val="0"/>
            <w:vAlign w:val="center"/>
          </w:tcPr>
          <w:p w14:paraId="282F9B7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240B465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5E8986BA">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62.9</w:t>
            </w:r>
          </w:p>
        </w:tc>
        <w:tc>
          <w:tcPr>
            <w:tcW w:w="460" w:type="pct"/>
            <w:shd w:val="clear" w:color="auto" w:fill="auto"/>
            <w:noWrap w:val="0"/>
            <w:vAlign w:val="center"/>
          </w:tcPr>
          <w:p w14:paraId="4E6DB73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75F8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noWrap w:val="0"/>
            <w:vAlign w:val="center"/>
          </w:tcPr>
          <w:p w14:paraId="00C41B5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220" w:type="pct"/>
            <w:vMerge w:val="continue"/>
            <w:noWrap w:val="0"/>
            <w:vAlign w:val="center"/>
          </w:tcPr>
          <w:p w14:paraId="24B9F45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restart"/>
            <w:shd w:val="clear" w:color="auto" w:fill="auto"/>
            <w:noWrap w:val="0"/>
            <w:vAlign w:val="center"/>
          </w:tcPr>
          <w:p w14:paraId="5B62B9F2">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重力分选机</w:t>
            </w:r>
          </w:p>
        </w:tc>
        <w:tc>
          <w:tcPr>
            <w:tcW w:w="271" w:type="pct"/>
            <w:vMerge w:val="restart"/>
            <w:shd w:val="clear" w:color="auto" w:fill="auto"/>
            <w:noWrap w:val="0"/>
            <w:vAlign w:val="center"/>
          </w:tcPr>
          <w:p w14:paraId="00890F09">
            <w:pPr>
              <w:widowControl/>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szCs w:val="21"/>
                <w:lang w:val="en-US" w:eastAsia="zh-CN"/>
              </w:rPr>
              <w:t>1</w:t>
            </w:r>
          </w:p>
        </w:tc>
        <w:tc>
          <w:tcPr>
            <w:tcW w:w="441" w:type="pct"/>
            <w:vMerge w:val="restart"/>
            <w:shd w:val="clear" w:color="auto" w:fill="auto"/>
            <w:noWrap w:val="0"/>
            <w:vAlign w:val="center"/>
          </w:tcPr>
          <w:p w14:paraId="1F662AE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80</w:t>
            </w:r>
          </w:p>
        </w:tc>
        <w:tc>
          <w:tcPr>
            <w:tcW w:w="268" w:type="pct"/>
            <w:vMerge w:val="continue"/>
            <w:shd w:val="clear" w:color="auto" w:fill="auto"/>
            <w:noWrap w:val="0"/>
            <w:vAlign w:val="center"/>
          </w:tcPr>
          <w:p w14:paraId="1C23AB9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restart"/>
            <w:shd w:val="clear" w:color="auto" w:fill="auto"/>
            <w:noWrap w:val="0"/>
            <w:vAlign w:val="center"/>
          </w:tcPr>
          <w:p w14:paraId="4B0FC93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6.36</w:t>
            </w:r>
          </w:p>
        </w:tc>
        <w:tc>
          <w:tcPr>
            <w:tcW w:w="333" w:type="pct"/>
            <w:vMerge w:val="restart"/>
            <w:shd w:val="clear" w:color="auto" w:fill="auto"/>
            <w:noWrap w:val="0"/>
            <w:vAlign w:val="center"/>
          </w:tcPr>
          <w:p w14:paraId="0D96057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7.51</w:t>
            </w:r>
          </w:p>
        </w:tc>
        <w:tc>
          <w:tcPr>
            <w:tcW w:w="181" w:type="pct"/>
            <w:vMerge w:val="restart"/>
            <w:shd w:val="clear" w:color="auto" w:fill="auto"/>
            <w:noWrap w:val="0"/>
            <w:vAlign w:val="center"/>
          </w:tcPr>
          <w:p w14:paraId="631A739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407" w:type="pct"/>
            <w:shd w:val="clear" w:color="auto" w:fill="auto"/>
            <w:noWrap w:val="0"/>
            <w:vAlign w:val="center"/>
          </w:tcPr>
          <w:p w14:paraId="1578419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c>
          <w:tcPr>
            <w:tcW w:w="360" w:type="pct"/>
            <w:shd w:val="clear" w:color="auto" w:fill="auto"/>
            <w:noWrap w:val="0"/>
            <w:vAlign w:val="center"/>
          </w:tcPr>
          <w:p w14:paraId="1A5D026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北</w:t>
            </w:r>
          </w:p>
        </w:tc>
        <w:tc>
          <w:tcPr>
            <w:tcW w:w="508" w:type="pct"/>
            <w:vMerge w:val="restart"/>
            <w:shd w:val="clear" w:color="auto" w:fill="auto"/>
            <w:noWrap w:val="0"/>
            <w:vAlign w:val="center"/>
          </w:tcPr>
          <w:p w14:paraId="33FED3A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:00</w:t>
            </w:r>
          </w:p>
        </w:tc>
        <w:tc>
          <w:tcPr>
            <w:tcW w:w="384" w:type="pct"/>
            <w:vMerge w:val="restart"/>
            <w:shd w:val="clear" w:color="auto" w:fill="auto"/>
            <w:noWrap w:val="0"/>
            <w:vAlign w:val="center"/>
          </w:tcPr>
          <w:p w14:paraId="7B2A42E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15</w:t>
            </w:r>
          </w:p>
        </w:tc>
        <w:tc>
          <w:tcPr>
            <w:tcW w:w="386" w:type="pct"/>
            <w:shd w:val="clear" w:color="auto" w:fill="auto"/>
            <w:noWrap w:val="0"/>
            <w:vAlign w:val="center"/>
          </w:tcPr>
          <w:p w14:paraId="7F12CD99">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41.4</w:t>
            </w:r>
          </w:p>
        </w:tc>
        <w:tc>
          <w:tcPr>
            <w:tcW w:w="460" w:type="pct"/>
            <w:shd w:val="clear" w:color="auto" w:fill="auto"/>
            <w:noWrap w:val="0"/>
            <w:vAlign w:val="center"/>
          </w:tcPr>
          <w:p w14:paraId="12E780A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54AD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566C7A5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120DB24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452AFB26">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567860A8">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2989FAF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48FDCA1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0190990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22AA7A3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578933E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53DCC5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360" w:type="pct"/>
            <w:shd w:val="clear" w:color="auto" w:fill="auto"/>
            <w:noWrap w:val="0"/>
            <w:vAlign w:val="center"/>
          </w:tcPr>
          <w:p w14:paraId="7985F11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东</w:t>
            </w:r>
          </w:p>
        </w:tc>
        <w:tc>
          <w:tcPr>
            <w:tcW w:w="508" w:type="pct"/>
            <w:vMerge w:val="continue"/>
            <w:noWrap w:val="0"/>
            <w:vAlign w:val="center"/>
          </w:tcPr>
          <w:p w14:paraId="1E68BBA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6CE9F60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0739E1E0">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52.9</w:t>
            </w:r>
          </w:p>
        </w:tc>
        <w:tc>
          <w:tcPr>
            <w:tcW w:w="460" w:type="pct"/>
            <w:shd w:val="clear" w:color="auto" w:fill="auto"/>
            <w:noWrap w:val="0"/>
            <w:vAlign w:val="center"/>
          </w:tcPr>
          <w:p w14:paraId="3539D48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1C2E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2DA1CBA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23BFE8C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65BD9848">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65688636">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5BDACE8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6208569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3FF0E1E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2823CA2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7EACB54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62B2422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360" w:type="pct"/>
            <w:shd w:val="clear" w:color="auto" w:fill="auto"/>
            <w:noWrap w:val="0"/>
            <w:vAlign w:val="center"/>
          </w:tcPr>
          <w:p w14:paraId="78AA640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南</w:t>
            </w:r>
          </w:p>
        </w:tc>
        <w:tc>
          <w:tcPr>
            <w:tcW w:w="508" w:type="pct"/>
            <w:vMerge w:val="continue"/>
            <w:noWrap w:val="0"/>
            <w:vAlign w:val="center"/>
          </w:tcPr>
          <w:p w14:paraId="052158A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0966985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3FAB6E59">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48.1</w:t>
            </w:r>
          </w:p>
        </w:tc>
        <w:tc>
          <w:tcPr>
            <w:tcW w:w="460" w:type="pct"/>
            <w:shd w:val="clear" w:color="auto" w:fill="auto"/>
            <w:noWrap w:val="0"/>
            <w:vAlign w:val="center"/>
          </w:tcPr>
          <w:p w14:paraId="79873A5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4220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18C6241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64ACCEE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349F373B">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3A48133C">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4578A10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36C54B9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4CF63B3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3893419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4E19B4F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2829B2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360" w:type="pct"/>
            <w:shd w:val="clear" w:color="auto" w:fill="auto"/>
            <w:noWrap w:val="0"/>
            <w:vAlign w:val="center"/>
          </w:tcPr>
          <w:p w14:paraId="2EC752E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西</w:t>
            </w:r>
          </w:p>
        </w:tc>
        <w:tc>
          <w:tcPr>
            <w:tcW w:w="508" w:type="pct"/>
            <w:vMerge w:val="continue"/>
            <w:noWrap w:val="0"/>
            <w:vAlign w:val="center"/>
          </w:tcPr>
          <w:p w14:paraId="258B2DA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51959A1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309E11B1">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45</w:t>
            </w:r>
          </w:p>
        </w:tc>
        <w:tc>
          <w:tcPr>
            <w:tcW w:w="460" w:type="pct"/>
            <w:shd w:val="clear" w:color="auto" w:fill="auto"/>
            <w:noWrap w:val="0"/>
            <w:vAlign w:val="center"/>
          </w:tcPr>
          <w:p w14:paraId="6510BF3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50D8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noWrap w:val="0"/>
            <w:vAlign w:val="center"/>
          </w:tcPr>
          <w:p w14:paraId="3886430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220" w:type="pct"/>
            <w:vMerge w:val="continue"/>
            <w:noWrap w:val="0"/>
            <w:vAlign w:val="center"/>
          </w:tcPr>
          <w:p w14:paraId="7970C2A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restart"/>
            <w:shd w:val="clear" w:color="auto" w:fill="auto"/>
            <w:noWrap w:val="0"/>
            <w:vAlign w:val="center"/>
          </w:tcPr>
          <w:p w14:paraId="2917CC0A">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机械磨粉机</w:t>
            </w:r>
          </w:p>
        </w:tc>
        <w:tc>
          <w:tcPr>
            <w:tcW w:w="271" w:type="pct"/>
            <w:vMerge w:val="restart"/>
            <w:shd w:val="clear" w:color="auto" w:fill="auto"/>
            <w:noWrap w:val="0"/>
            <w:vAlign w:val="center"/>
          </w:tcPr>
          <w:p w14:paraId="3AAF8A2F">
            <w:pPr>
              <w:widowControl/>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szCs w:val="21"/>
                <w:lang w:val="en-US" w:eastAsia="zh-CN"/>
              </w:rPr>
              <w:t>1</w:t>
            </w:r>
          </w:p>
        </w:tc>
        <w:tc>
          <w:tcPr>
            <w:tcW w:w="441" w:type="pct"/>
            <w:vMerge w:val="restart"/>
            <w:shd w:val="clear" w:color="auto" w:fill="auto"/>
            <w:noWrap w:val="0"/>
            <w:vAlign w:val="center"/>
          </w:tcPr>
          <w:p w14:paraId="43050D5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90</w:t>
            </w:r>
          </w:p>
        </w:tc>
        <w:tc>
          <w:tcPr>
            <w:tcW w:w="268" w:type="pct"/>
            <w:vMerge w:val="continue"/>
            <w:shd w:val="clear" w:color="auto" w:fill="auto"/>
            <w:noWrap w:val="0"/>
            <w:vAlign w:val="center"/>
          </w:tcPr>
          <w:p w14:paraId="7A96989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restart"/>
            <w:shd w:val="clear" w:color="auto" w:fill="auto"/>
            <w:noWrap w:val="0"/>
            <w:vAlign w:val="center"/>
          </w:tcPr>
          <w:p w14:paraId="46FF228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28.60</w:t>
            </w:r>
          </w:p>
        </w:tc>
        <w:tc>
          <w:tcPr>
            <w:tcW w:w="333" w:type="pct"/>
            <w:vMerge w:val="restart"/>
            <w:shd w:val="clear" w:color="auto" w:fill="auto"/>
            <w:noWrap w:val="0"/>
            <w:vAlign w:val="center"/>
          </w:tcPr>
          <w:p w14:paraId="20A8F1F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15.77</w:t>
            </w:r>
          </w:p>
        </w:tc>
        <w:tc>
          <w:tcPr>
            <w:tcW w:w="181" w:type="pct"/>
            <w:vMerge w:val="restart"/>
            <w:shd w:val="clear" w:color="auto" w:fill="auto"/>
            <w:noWrap w:val="0"/>
            <w:vAlign w:val="center"/>
          </w:tcPr>
          <w:p w14:paraId="739C692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407" w:type="pct"/>
            <w:shd w:val="clear" w:color="auto" w:fill="auto"/>
            <w:noWrap w:val="0"/>
            <w:vAlign w:val="center"/>
          </w:tcPr>
          <w:p w14:paraId="259918A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w:t>
            </w:r>
          </w:p>
        </w:tc>
        <w:tc>
          <w:tcPr>
            <w:tcW w:w="360" w:type="pct"/>
            <w:shd w:val="clear" w:color="auto" w:fill="auto"/>
            <w:noWrap w:val="0"/>
            <w:vAlign w:val="center"/>
          </w:tcPr>
          <w:p w14:paraId="0713768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北</w:t>
            </w:r>
          </w:p>
        </w:tc>
        <w:tc>
          <w:tcPr>
            <w:tcW w:w="508" w:type="pct"/>
            <w:vMerge w:val="restart"/>
            <w:shd w:val="clear" w:color="auto" w:fill="auto"/>
            <w:noWrap w:val="0"/>
            <w:vAlign w:val="center"/>
          </w:tcPr>
          <w:p w14:paraId="240E6ED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:00</w:t>
            </w:r>
          </w:p>
        </w:tc>
        <w:tc>
          <w:tcPr>
            <w:tcW w:w="384" w:type="pct"/>
            <w:vMerge w:val="restart"/>
            <w:shd w:val="clear" w:color="auto" w:fill="auto"/>
            <w:noWrap w:val="0"/>
            <w:vAlign w:val="center"/>
          </w:tcPr>
          <w:p w14:paraId="5EB9E9A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15</w:t>
            </w:r>
          </w:p>
        </w:tc>
        <w:tc>
          <w:tcPr>
            <w:tcW w:w="386" w:type="pct"/>
            <w:shd w:val="clear" w:color="auto" w:fill="auto"/>
            <w:noWrap w:val="0"/>
            <w:vAlign w:val="center"/>
          </w:tcPr>
          <w:p w14:paraId="448868F3">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54.1</w:t>
            </w:r>
          </w:p>
        </w:tc>
        <w:tc>
          <w:tcPr>
            <w:tcW w:w="460" w:type="pct"/>
            <w:shd w:val="clear" w:color="auto" w:fill="auto"/>
            <w:noWrap w:val="0"/>
            <w:vAlign w:val="center"/>
          </w:tcPr>
          <w:p w14:paraId="40FFE7A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40FF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3A6126D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78DD91F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63FBC6CA">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3C0857D8">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7361D97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0EE6544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3F9D46F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63D9156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50D3608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34C79AE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360" w:type="pct"/>
            <w:shd w:val="clear" w:color="auto" w:fill="auto"/>
            <w:noWrap w:val="0"/>
            <w:vAlign w:val="center"/>
          </w:tcPr>
          <w:p w14:paraId="12B4CFE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东</w:t>
            </w:r>
          </w:p>
        </w:tc>
        <w:tc>
          <w:tcPr>
            <w:tcW w:w="508" w:type="pct"/>
            <w:vMerge w:val="continue"/>
            <w:noWrap w:val="0"/>
            <w:vAlign w:val="center"/>
          </w:tcPr>
          <w:p w14:paraId="0BB5DA4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6264704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5D79D537">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w:t>
            </w:r>
          </w:p>
        </w:tc>
        <w:tc>
          <w:tcPr>
            <w:tcW w:w="460" w:type="pct"/>
            <w:shd w:val="clear" w:color="auto" w:fill="auto"/>
            <w:noWrap w:val="0"/>
            <w:vAlign w:val="center"/>
          </w:tcPr>
          <w:p w14:paraId="0E14100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5CB2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41B58D7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628DD9D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505E2E7D">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708413AD">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259939E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5389529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59E0996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37D0C5A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4853B92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A41448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w:t>
            </w:r>
          </w:p>
        </w:tc>
        <w:tc>
          <w:tcPr>
            <w:tcW w:w="360" w:type="pct"/>
            <w:shd w:val="clear" w:color="auto" w:fill="auto"/>
            <w:noWrap w:val="0"/>
            <w:vAlign w:val="center"/>
          </w:tcPr>
          <w:p w14:paraId="1FF3B48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南</w:t>
            </w:r>
          </w:p>
        </w:tc>
        <w:tc>
          <w:tcPr>
            <w:tcW w:w="508" w:type="pct"/>
            <w:vMerge w:val="continue"/>
            <w:noWrap w:val="0"/>
            <w:vAlign w:val="center"/>
          </w:tcPr>
          <w:p w14:paraId="61C3541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162213D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0F8E9BC1">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54.1</w:t>
            </w:r>
          </w:p>
        </w:tc>
        <w:tc>
          <w:tcPr>
            <w:tcW w:w="460" w:type="pct"/>
            <w:shd w:val="clear" w:color="auto" w:fill="auto"/>
            <w:noWrap w:val="0"/>
            <w:vAlign w:val="center"/>
          </w:tcPr>
          <w:p w14:paraId="6FE90E8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5448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207E92A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1E00E1E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3F26255E">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3F6C6184">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56BE910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17F7C63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35A2C77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20EAB0B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2F68562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5677F5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w:t>
            </w:r>
          </w:p>
        </w:tc>
        <w:tc>
          <w:tcPr>
            <w:tcW w:w="360" w:type="pct"/>
            <w:shd w:val="clear" w:color="auto" w:fill="auto"/>
            <w:noWrap w:val="0"/>
            <w:vAlign w:val="center"/>
          </w:tcPr>
          <w:p w14:paraId="7A0651E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西</w:t>
            </w:r>
          </w:p>
        </w:tc>
        <w:tc>
          <w:tcPr>
            <w:tcW w:w="508" w:type="pct"/>
            <w:vMerge w:val="continue"/>
            <w:noWrap w:val="0"/>
            <w:vAlign w:val="center"/>
          </w:tcPr>
          <w:p w14:paraId="579FE0A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5A39D26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2A22DE16">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55.9</w:t>
            </w:r>
          </w:p>
        </w:tc>
        <w:tc>
          <w:tcPr>
            <w:tcW w:w="460" w:type="pct"/>
            <w:shd w:val="clear" w:color="auto" w:fill="auto"/>
            <w:noWrap w:val="0"/>
            <w:vAlign w:val="center"/>
          </w:tcPr>
          <w:p w14:paraId="1630FAB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727D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noWrap w:val="0"/>
            <w:vAlign w:val="center"/>
          </w:tcPr>
          <w:p w14:paraId="4F1C0A0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220" w:type="pct"/>
            <w:vMerge w:val="continue"/>
            <w:noWrap w:val="0"/>
            <w:vAlign w:val="center"/>
          </w:tcPr>
          <w:p w14:paraId="4BA0C70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restart"/>
            <w:shd w:val="clear" w:color="auto" w:fill="auto"/>
            <w:noWrap w:val="0"/>
            <w:vAlign w:val="center"/>
          </w:tcPr>
          <w:p w14:paraId="23CF743B">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包装机</w:t>
            </w:r>
          </w:p>
        </w:tc>
        <w:tc>
          <w:tcPr>
            <w:tcW w:w="271" w:type="pct"/>
            <w:vMerge w:val="restart"/>
            <w:shd w:val="clear" w:color="auto" w:fill="auto"/>
            <w:noWrap w:val="0"/>
            <w:vAlign w:val="center"/>
          </w:tcPr>
          <w:p w14:paraId="14A5A9AF">
            <w:pPr>
              <w:widowControl/>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szCs w:val="21"/>
                <w:lang w:val="en-US" w:eastAsia="zh-CN"/>
              </w:rPr>
              <w:t>2</w:t>
            </w:r>
          </w:p>
        </w:tc>
        <w:tc>
          <w:tcPr>
            <w:tcW w:w="441" w:type="pct"/>
            <w:vMerge w:val="restart"/>
            <w:shd w:val="clear" w:color="auto" w:fill="auto"/>
            <w:noWrap w:val="0"/>
            <w:vAlign w:val="center"/>
          </w:tcPr>
          <w:p w14:paraId="66FEFCF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80</w:t>
            </w:r>
          </w:p>
        </w:tc>
        <w:tc>
          <w:tcPr>
            <w:tcW w:w="268" w:type="pct"/>
            <w:vMerge w:val="continue"/>
            <w:shd w:val="clear" w:color="auto" w:fill="auto"/>
            <w:noWrap w:val="0"/>
            <w:vAlign w:val="center"/>
          </w:tcPr>
          <w:p w14:paraId="2F707E4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restart"/>
            <w:shd w:val="clear" w:color="auto" w:fill="auto"/>
            <w:noWrap w:val="0"/>
            <w:vAlign w:val="center"/>
          </w:tcPr>
          <w:p w14:paraId="1D0C16F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26.65</w:t>
            </w:r>
          </w:p>
        </w:tc>
        <w:tc>
          <w:tcPr>
            <w:tcW w:w="333" w:type="pct"/>
            <w:vMerge w:val="restart"/>
            <w:shd w:val="clear" w:color="auto" w:fill="auto"/>
            <w:noWrap w:val="0"/>
            <w:vAlign w:val="center"/>
          </w:tcPr>
          <w:p w14:paraId="612AA75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18.77</w:t>
            </w:r>
          </w:p>
        </w:tc>
        <w:tc>
          <w:tcPr>
            <w:tcW w:w="181" w:type="pct"/>
            <w:vMerge w:val="restart"/>
            <w:shd w:val="clear" w:color="auto" w:fill="auto"/>
            <w:noWrap w:val="0"/>
            <w:vAlign w:val="center"/>
          </w:tcPr>
          <w:p w14:paraId="242BF85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407" w:type="pct"/>
            <w:shd w:val="clear" w:color="auto" w:fill="auto"/>
            <w:noWrap w:val="0"/>
            <w:vAlign w:val="center"/>
          </w:tcPr>
          <w:p w14:paraId="1D69F43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360" w:type="pct"/>
            <w:shd w:val="clear" w:color="auto" w:fill="auto"/>
            <w:noWrap w:val="0"/>
            <w:vAlign w:val="center"/>
          </w:tcPr>
          <w:p w14:paraId="029F157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北</w:t>
            </w:r>
          </w:p>
        </w:tc>
        <w:tc>
          <w:tcPr>
            <w:tcW w:w="508" w:type="pct"/>
            <w:vMerge w:val="restart"/>
            <w:shd w:val="clear" w:color="auto" w:fill="auto"/>
            <w:noWrap w:val="0"/>
            <w:vAlign w:val="center"/>
          </w:tcPr>
          <w:p w14:paraId="211B758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:00</w:t>
            </w:r>
          </w:p>
        </w:tc>
        <w:tc>
          <w:tcPr>
            <w:tcW w:w="384" w:type="pct"/>
            <w:vMerge w:val="restart"/>
            <w:shd w:val="clear" w:color="auto" w:fill="auto"/>
            <w:noWrap w:val="0"/>
            <w:vAlign w:val="center"/>
          </w:tcPr>
          <w:p w14:paraId="0C988A8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15</w:t>
            </w:r>
          </w:p>
        </w:tc>
        <w:tc>
          <w:tcPr>
            <w:tcW w:w="386" w:type="pct"/>
            <w:shd w:val="clear" w:color="auto" w:fill="auto"/>
            <w:noWrap w:val="0"/>
            <w:vAlign w:val="center"/>
          </w:tcPr>
          <w:p w14:paraId="4B3AC601">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49.4</w:t>
            </w:r>
          </w:p>
        </w:tc>
        <w:tc>
          <w:tcPr>
            <w:tcW w:w="460" w:type="pct"/>
            <w:shd w:val="clear" w:color="auto" w:fill="auto"/>
            <w:noWrap w:val="0"/>
            <w:vAlign w:val="center"/>
          </w:tcPr>
          <w:p w14:paraId="2B030D4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4A6A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4DCC094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52E657E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42FDD5B5">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23C24BB8">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59DA721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2D92833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7A2D289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4AAE3CE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10045AF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4C6BDB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w:t>
            </w:r>
          </w:p>
        </w:tc>
        <w:tc>
          <w:tcPr>
            <w:tcW w:w="360" w:type="pct"/>
            <w:shd w:val="clear" w:color="auto" w:fill="auto"/>
            <w:noWrap w:val="0"/>
            <w:vAlign w:val="center"/>
          </w:tcPr>
          <w:p w14:paraId="1812255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东</w:t>
            </w:r>
          </w:p>
        </w:tc>
        <w:tc>
          <w:tcPr>
            <w:tcW w:w="508" w:type="pct"/>
            <w:vMerge w:val="continue"/>
            <w:noWrap w:val="0"/>
            <w:vAlign w:val="center"/>
          </w:tcPr>
          <w:p w14:paraId="18C25C9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4DF4ED1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1E0B7A11">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43.4</w:t>
            </w:r>
          </w:p>
        </w:tc>
        <w:tc>
          <w:tcPr>
            <w:tcW w:w="460" w:type="pct"/>
            <w:shd w:val="clear" w:color="auto" w:fill="auto"/>
            <w:noWrap w:val="0"/>
            <w:vAlign w:val="center"/>
          </w:tcPr>
          <w:p w14:paraId="668C9A8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4EA1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2F42E36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08DBD6D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7DFCE2F5">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343585D6">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22C7E95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3578EFD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7351BE7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1BBB6FE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6171014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22E89F7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w:t>
            </w:r>
          </w:p>
        </w:tc>
        <w:tc>
          <w:tcPr>
            <w:tcW w:w="360" w:type="pct"/>
            <w:shd w:val="clear" w:color="auto" w:fill="auto"/>
            <w:noWrap w:val="0"/>
            <w:vAlign w:val="center"/>
          </w:tcPr>
          <w:p w14:paraId="79CA76E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南</w:t>
            </w:r>
          </w:p>
        </w:tc>
        <w:tc>
          <w:tcPr>
            <w:tcW w:w="508" w:type="pct"/>
            <w:vMerge w:val="continue"/>
            <w:noWrap w:val="0"/>
            <w:vAlign w:val="center"/>
          </w:tcPr>
          <w:p w14:paraId="6491287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256F57C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1F1AABF3">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42.7</w:t>
            </w:r>
          </w:p>
        </w:tc>
        <w:tc>
          <w:tcPr>
            <w:tcW w:w="460" w:type="pct"/>
            <w:shd w:val="clear" w:color="auto" w:fill="auto"/>
            <w:noWrap w:val="0"/>
            <w:vAlign w:val="center"/>
          </w:tcPr>
          <w:p w14:paraId="563DB8D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6AA7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7D2EA1F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1C4792C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center"/>
          </w:tcPr>
          <w:p w14:paraId="56AABCD1">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20776DF0">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0E261E7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1ABF17D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147BB30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0A8599F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7DFFF33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43AB59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360" w:type="pct"/>
            <w:shd w:val="clear" w:color="auto" w:fill="auto"/>
            <w:noWrap w:val="0"/>
            <w:vAlign w:val="center"/>
          </w:tcPr>
          <w:p w14:paraId="6769134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西</w:t>
            </w:r>
          </w:p>
        </w:tc>
        <w:tc>
          <w:tcPr>
            <w:tcW w:w="508" w:type="pct"/>
            <w:vMerge w:val="continue"/>
            <w:noWrap w:val="0"/>
            <w:vAlign w:val="center"/>
          </w:tcPr>
          <w:p w14:paraId="276B693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4A7250B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6477C94A">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48.1</w:t>
            </w:r>
          </w:p>
        </w:tc>
        <w:tc>
          <w:tcPr>
            <w:tcW w:w="460" w:type="pct"/>
            <w:shd w:val="clear" w:color="auto" w:fill="auto"/>
            <w:noWrap w:val="0"/>
            <w:vAlign w:val="center"/>
          </w:tcPr>
          <w:p w14:paraId="40D1461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3C1C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noWrap w:val="0"/>
            <w:vAlign w:val="center"/>
          </w:tcPr>
          <w:p w14:paraId="4706999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220" w:type="pct"/>
            <w:vMerge w:val="continue"/>
            <w:noWrap w:val="0"/>
            <w:vAlign w:val="center"/>
          </w:tcPr>
          <w:p w14:paraId="16970799">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restart"/>
            <w:shd w:val="clear" w:color="auto" w:fill="auto"/>
            <w:noWrap w:val="0"/>
            <w:vAlign w:val="center"/>
          </w:tcPr>
          <w:p w14:paraId="77CAB040">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码垛机</w:t>
            </w:r>
          </w:p>
        </w:tc>
        <w:tc>
          <w:tcPr>
            <w:tcW w:w="271" w:type="pct"/>
            <w:vMerge w:val="restart"/>
            <w:shd w:val="clear" w:color="auto" w:fill="auto"/>
            <w:noWrap w:val="0"/>
            <w:vAlign w:val="center"/>
          </w:tcPr>
          <w:p w14:paraId="597AEA6B">
            <w:pPr>
              <w:widowControl/>
              <w:jc w:val="center"/>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szCs w:val="21"/>
                <w:lang w:val="en-US" w:eastAsia="zh-CN"/>
              </w:rPr>
              <w:t>1</w:t>
            </w:r>
          </w:p>
        </w:tc>
        <w:tc>
          <w:tcPr>
            <w:tcW w:w="441" w:type="pct"/>
            <w:vMerge w:val="restart"/>
            <w:shd w:val="clear" w:color="auto" w:fill="auto"/>
            <w:noWrap w:val="0"/>
            <w:vAlign w:val="center"/>
          </w:tcPr>
          <w:p w14:paraId="5A38545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80</w:t>
            </w:r>
          </w:p>
        </w:tc>
        <w:tc>
          <w:tcPr>
            <w:tcW w:w="268" w:type="pct"/>
            <w:vMerge w:val="continue"/>
            <w:shd w:val="clear" w:color="auto" w:fill="auto"/>
            <w:noWrap w:val="0"/>
            <w:vAlign w:val="center"/>
          </w:tcPr>
          <w:p w14:paraId="11740B4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restart"/>
            <w:shd w:val="clear" w:color="auto" w:fill="auto"/>
            <w:noWrap w:val="0"/>
            <w:vAlign w:val="center"/>
          </w:tcPr>
          <w:p w14:paraId="40DD12D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31.20</w:t>
            </w:r>
          </w:p>
        </w:tc>
        <w:tc>
          <w:tcPr>
            <w:tcW w:w="333" w:type="pct"/>
            <w:vMerge w:val="restart"/>
            <w:shd w:val="clear" w:color="auto" w:fill="auto"/>
            <w:noWrap w:val="0"/>
            <w:vAlign w:val="center"/>
          </w:tcPr>
          <w:p w14:paraId="5A53F39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19.74</w:t>
            </w:r>
          </w:p>
        </w:tc>
        <w:tc>
          <w:tcPr>
            <w:tcW w:w="181" w:type="pct"/>
            <w:vMerge w:val="restart"/>
            <w:shd w:val="clear" w:color="auto" w:fill="auto"/>
            <w:noWrap w:val="0"/>
            <w:vAlign w:val="center"/>
          </w:tcPr>
          <w:p w14:paraId="2F27FAA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407" w:type="pct"/>
            <w:shd w:val="clear" w:color="auto" w:fill="auto"/>
            <w:noWrap w:val="0"/>
            <w:vAlign w:val="center"/>
          </w:tcPr>
          <w:p w14:paraId="299192A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360" w:type="pct"/>
            <w:shd w:val="clear" w:color="auto" w:fill="auto"/>
            <w:noWrap w:val="0"/>
            <w:vAlign w:val="center"/>
          </w:tcPr>
          <w:p w14:paraId="752ECE27">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北</w:t>
            </w:r>
          </w:p>
        </w:tc>
        <w:tc>
          <w:tcPr>
            <w:tcW w:w="508" w:type="pct"/>
            <w:vMerge w:val="restart"/>
            <w:shd w:val="clear" w:color="auto" w:fill="auto"/>
            <w:noWrap w:val="0"/>
            <w:vAlign w:val="center"/>
          </w:tcPr>
          <w:p w14:paraId="19876D0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:00</w:t>
            </w:r>
          </w:p>
        </w:tc>
        <w:tc>
          <w:tcPr>
            <w:tcW w:w="384" w:type="pct"/>
            <w:vMerge w:val="restart"/>
            <w:shd w:val="clear" w:color="auto" w:fill="auto"/>
            <w:noWrap w:val="0"/>
            <w:vAlign w:val="center"/>
          </w:tcPr>
          <w:p w14:paraId="05B621B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15</w:t>
            </w:r>
          </w:p>
        </w:tc>
        <w:tc>
          <w:tcPr>
            <w:tcW w:w="386" w:type="pct"/>
            <w:shd w:val="clear" w:color="auto" w:fill="auto"/>
            <w:noWrap w:val="0"/>
            <w:vAlign w:val="center"/>
          </w:tcPr>
          <w:p w14:paraId="2580C7D3">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49.4</w:t>
            </w:r>
          </w:p>
        </w:tc>
        <w:tc>
          <w:tcPr>
            <w:tcW w:w="460" w:type="pct"/>
            <w:shd w:val="clear" w:color="auto" w:fill="auto"/>
            <w:noWrap w:val="0"/>
            <w:vAlign w:val="center"/>
          </w:tcPr>
          <w:p w14:paraId="490F7E0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45DA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15DD887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371A53C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16C6063F">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7CE71D71">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7BF924E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1620B19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4F02D52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14AB544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27A711D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E78EAA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360" w:type="pct"/>
            <w:shd w:val="clear" w:color="auto" w:fill="auto"/>
            <w:noWrap w:val="0"/>
            <w:vAlign w:val="center"/>
          </w:tcPr>
          <w:p w14:paraId="40867D0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东</w:t>
            </w:r>
          </w:p>
        </w:tc>
        <w:tc>
          <w:tcPr>
            <w:tcW w:w="508" w:type="pct"/>
            <w:vMerge w:val="continue"/>
            <w:noWrap w:val="0"/>
            <w:vAlign w:val="center"/>
          </w:tcPr>
          <w:p w14:paraId="3BAC80F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2A5189B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1B205F84">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48.1</w:t>
            </w:r>
          </w:p>
        </w:tc>
        <w:tc>
          <w:tcPr>
            <w:tcW w:w="460" w:type="pct"/>
            <w:shd w:val="clear" w:color="auto" w:fill="auto"/>
            <w:noWrap w:val="0"/>
            <w:vAlign w:val="center"/>
          </w:tcPr>
          <w:p w14:paraId="45DCE01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2224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21A1AD8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11DBD46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44B9F48E">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5991F890">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429812F8">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74A88F8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445D87B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1085C9BD">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75A7A9AC">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21AE55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14</w:t>
            </w:r>
          </w:p>
        </w:tc>
        <w:tc>
          <w:tcPr>
            <w:tcW w:w="360" w:type="pct"/>
            <w:shd w:val="clear" w:color="auto" w:fill="auto"/>
            <w:noWrap w:val="0"/>
            <w:vAlign w:val="center"/>
          </w:tcPr>
          <w:p w14:paraId="270B9CB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南</w:t>
            </w:r>
          </w:p>
        </w:tc>
        <w:tc>
          <w:tcPr>
            <w:tcW w:w="508" w:type="pct"/>
            <w:vMerge w:val="continue"/>
            <w:noWrap w:val="0"/>
            <w:vAlign w:val="center"/>
          </w:tcPr>
          <w:p w14:paraId="489324C6">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18C0802F">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087F2800">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42.1</w:t>
            </w:r>
          </w:p>
        </w:tc>
        <w:tc>
          <w:tcPr>
            <w:tcW w:w="460" w:type="pct"/>
            <w:shd w:val="clear" w:color="auto" w:fill="auto"/>
            <w:noWrap w:val="0"/>
            <w:vAlign w:val="center"/>
          </w:tcPr>
          <w:p w14:paraId="02C8238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7E45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noWrap w:val="0"/>
            <w:vAlign w:val="center"/>
          </w:tcPr>
          <w:p w14:paraId="7CCAAEFA">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20" w:type="pct"/>
            <w:vMerge w:val="continue"/>
            <w:noWrap w:val="0"/>
            <w:vAlign w:val="center"/>
          </w:tcPr>
          <w:p w14:paraId="191B58AE">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6" w:type="pct"/>
            <w:vMerge w:val="continue"/>
            <w:noWrap w:val="0"/>
            <w:vAlign w:val="bottom"/>
          </w:tcPr>
          <w:p w14:paraId="4D05F40F">
            <w:pPr>
              <w:widowControl/>
              <w:jc w:val="center"/>
              <w:rPr>
                <w:rFonts w:hint="default" w:ascii="Times New Roman" w:hAnsi="Times New Roman" w:eastAsia="宋体" w:cs="Times New Roman"/>
                <w:color w:val="auto"/>
                <w:kern w:val="2"/>
                <w:sz w:val="21"/>
                <w:szCs w:val="21"/>
                <w:lang w:val="en-US" w:eastAsia="zh-CN" w:bidi="ar-SA"/>
              </w:rPr>
            </w:pPr>
          </w:p>
        </w:tc>
        <w:tc>
          <w:tcPr>
            <w:tcW w:w="271" w:type="pct"/>
            <w:vMerge w:val="continue"/>
            <w:noWrap w:val="0"/>
            <w:vAlign w:val="center"/>
          </w:tcPr>
          <w:p w14:paraId="518C0CC4">
            <w:pPr>
              <w:widowControl/>
              <w:jc w:val="center"/>
              <w:rPr>
                <w:rFonts w:hint="default" w:ascii="Times New Roman" w:hAnsi="Times New Roman" w:eastAsia="宋体" w:cs="Times New Roman"/>
                <w:color w:val="auto"/>
                <w:kern w:val="2"/>
                <w:sz w:val="21"/>
                <w:szCs w:val="21"/>
                <w:lang w:val="en-US" w:eastAsia="zh-CN" w:bidi="ar-SA"/>
              </w:rPr>
            </w:pPr>
          </w:p>
        </w:tc>
        <w:tc>
          <w:tcPr>
            <w:tcW w:w="441" w:type="pct"/>
            <w:vMerge w:val="continue"/>
            <w:noWrap w:val="0"/>
            <w:vAlign w:val="center"/>
          </w:tcPr>
          <w:p w14:paraId="5A0F68A0">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68" w:type="pct"/>
            <w:vMerge w:val="continue"/>
            <w:noWrap w:val="0"/>
            <w:vAlign w:val="center"/>
          </w:tcPr>
          <w:p w14:paraId="46361F6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292" w:type="pct"/>
            <w:vMerge w:val="continue"/>
            <w:noWrap w:val="0"/>
            <w:vAlign w:val="center"/>
          </w:tcPr>
          <w:p w14:paraId="6F872DB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33" w:type="pct"/>
            <w:vMerge w:val="continue"/>
            <w:noWrap w:val="0"/>
            <w:vAlign w:val="center"/>
          </w:tcPr>
          <w:p w14:paraId="6A4391D5">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181" w:type="pct"/>
            <w:vMerge w:val="continue"/>
            <w:noWrap w:val="0"/>
            <w:vAlign w:val="center"/>
          </w:tcPr>
          <w:p w14:paraId="5DC0EC53">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407" w:type="pct"/>
            <w:shd w:val="clear" w:color="auto" w:fill="auto"/>
            <w:noWrap w:val="0"/>
            <w:vAlign w:val="center"/>
          </w:tcPr>
          <w:p w14:paraId="11FE209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w:t>
            </w:r>
          </w:p>
        </w:tc>
        <w:tc>
          <w:tcPr>
            <w:tcW w:w="360" w:type="pct"/>
            <w:shd w:val="clear" w:color="auto" w:fill="auto"/>
            <w:noWrap w:val="0"/>
            <w:vAlign w:val="center"/>
          </w:tcPr>
          <w:p w14:paraId="3BEF9C44">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西</w:t>
            </w:r>
          </w:p>
        </w:tc>
        <w:tc>
          <w:tcPr>
            <w:tcW w:w="508" w:type="pct"/>
            <w:vMerge w:val="continue"/>
            <w:noWrap w:val="0"/>
            <w:vAlign w:val="center"/>
          </w:tcPr>
          <w:p w14:paraId="1A615A71">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4" w:type="pct"/>
            <w:vMerge w:val="continue"/>
            <w:noWrap w:val="0"/>
            <w:vAlign w:val="center"/>
          </w:tcPr>
          <w:p w14:paraId="58CC27F2">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rPr>
            </w:pPr>
          </w:p>
        </w:tc>
        <w:tc>
          <w:tcPr>
            <w:tcW w:w="386" w:type="pct"/>
            <w:shd w:val="clear" w:color="auto" w:fill="auto"/>
            <w:noWrap w:val="0"/>
            <w:vAlign w:val="center"/>
          </w:tcPr>
          <w:p w14:paraId="3C78CDBD">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42.7</w:t>
            </w:r>
          </w:p>
        </w:tc>
        <w:tc>
          <w:tcPr>
            <w:tcW w:w="460" w:type="pct"/>
            <w:shd w:val="clear" w:color="auto" w:fill="auto"/>
            <w:noWrap w:val="0"/>
            <w:vAlign w:val="center"/>
          </w:tcPr>
          <w:p w14:paraId="4CBC896B">
            <w:pPr>
              <w:pStyle w:val="20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1</w:t>
            </w:r>
          </w:p>
        </w:tc>
      </w:tr>
      <w:tr w14:paraId="133C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000" w:type="pct"/>
            <w:gridSpan w:val="15"/>
            <w:noWrap w:val="0"/>
            <w:vAlign w:val="center"/>
          </w:tcPr>
          <w:p w14:paraId="104F2E40">
            <w:pPr>
              <w:pStyle w:val="201"/>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注：①本项目以</w:t>
            </w:r>
            <w:r>
              <w:rPr>
                <w:rFonts w:hint="eastAsia" w:eastAsia="宋体" w:cs="Times New Roman"/>
                <w:color w:val="auto"/>
                <w:sz w:val="21"/>
                <w:szCs w:val="21"/>
                <w:lang w:val="en-US" w:eastAsia="zh-CN"/>
              </w:rPr>
              <w:t>生产车间一西南边界</w:t>
            </w:r>
            <w:r>
              <w:rPr>
                <w:rFonts w:hint="eastAsia" w:ascii="Times New Roman" w:hAnsi="Times New Roman" w:eastAsia="宋体" w:cs="Times New Roman"/>
                <w:color w:val="auto"/>
                <w:sz w:val="21"/>
                <w:szCs w:val="21"/>
                <w:lang w:val="en-US" w:eastAsia="zh-CN"/>
              </w:rPr>
              <w:t>为原点，正东向为X轴正方向，正北向为Y轴正方向，以厂区地面平面为Z=0；②相同设备声源按点声源组进行预测。</w:t>
            </w:r>
          </w:p>
        </w:tc>
      </w:tr>
    </w:tbl>
    <w:p w14:paraId="6503C16A">
      <w:pPr>
        <w:rPr>
          <w:rFonts w:ascii="Times New Roman" w:hAnsi="Times New Roman"/>
          <w:snapToGrid w:val="0"/>
          <w:color w:val="auto"/>
        </w:rPr>
        <w:sectPr>
          <w:pgSz w:w="16840" w:h="11907" w:orient="landscape"/>
          <w:pgMar w:top="1417" w:right="1701" w:bottom="1417" w:left="1701" w:header="851" w:footer="851" w:gutter="0"/>
          <w:pgBorders>
            <w:top w:val="none" w:sz="0" w:space="0"/>
            <w:left w:val="none" w:sz="0" w:space="0"/>
            <w:bottom w:val="none" w:sz="0" w:space="0"/>
            <w:right w:val="none" w:sz="0" w:space="0"/>
          </w:pgBorders>
          <w:cols w:space="720" w:num="1"/>
          <w:docGrid w:linePitch="312" w:charSpace="0"/>
        </w:sectPr>
      </w:pPr>
    </w:p>
    <w:tbl>
      <w:tblPr>
        <w:tblStyle w:val="29"/>
        <w:tblW w:w="90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8298"/>
      </w:tblGrid>
      <w:tr w14:paraId="5265B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16" w:hRule="atLeast"/>
          <w:jc w:val="center"/>
        </w:trPr>
        <w:tc>
          <w:tcPr>
            <w:tcW w:w="777" w:type="dxa"/>
            <w:noWrap w:val="0"/>
            <w:tcMar>
              <w:left w:w="28" w:type="dxa"/>
              <w:right w:w="28" w:type="dxa"/>
            </w:tcMar>
            <w:vAlign w:val="center"/>
          </w:tcPr>
          <w:p w14:paraId="0959F745">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运营</w:t>
            </w:r>
          </w:p>
          <w:p w14:paraId="2AD3882D">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期环</w:t>
            </w:r>
          </w:p>
          <w:p w14:paraId="3A0EBC70">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境影</w:t>
            </w:r>
          </w:p>
          <w:p w14:paraId="1DEE3842">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响和</w:t>
            </w:r>
          </w:p>
          <w:p w14:paraId="19C59698">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保护</w:t>
            </w:r>
          </w:p>
          <w:p w14:paraId="0597AD81">
            <w:pPr>
              <w:adjustRightInd w:val="0"/>
              <w:snapToGrid w:val="0"/>
              <w:jc w:val="center"/>
              <w:rPr>
                <w:rFonts w:ascii="Times New Roman" w:hAnsi="Times New Roman"/>
                <w:bCs/>
                <w:color w:val="auto"/>
                <w:szCs w:val="21"/>
              </w:rPr>
            </w:pPr>
            <w:r>
              <w:rPr>
                <w:rFonts w:ascii="Times New Roman" w:hAnsi="Times New Roman"/>
                <w:bCs/>
                <w:color w:val="auto"/>
                <w:sz w:val="24"/>
                <w:szCs w:val="24"/>
              </w:rPr>
              <w:t>措施</w:t>
            </w:r>
          </w:p>
        </w:tc>
        <w:tc>
          <w:tcPr>
            <w:tcW w:w="8243" w:type="dxa"/>
            <w:noWrap w:val="0"/>
            <w:vAlign w:val="center"/>
          </w:tcPr>
          <w:p w14:paraId="5BE9F561">
            <w:pPr>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4.2.3噪声</w:t>
            </w:r>
          </w:p>
          <w:p w14:paraId="66D9F806">
            <w:pPr>
              <w:pStyle w:val="137"/>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ascii="Times New Roman" w:hAnsi="Times New Roman" w:eastAsia="宋体"/>
                <w:b/>
                <w:bCs/>
                <w:color w:val="auto"/>
                <w:sz w:val="24"/>
                <w:szCs w:val="24"/>
                <w:highlight w:val="none"/>
                <w:lang w:eastAsia="zh-CN"/>
              </w:rPr>
            </w:pPr>
            <w:r>
              <w:rPr>
                <w:rFonts w:hint="eastAsia" w:ascii="Times New Roman" w:hAnsi="Times New Roman"/>
                <w:b/>
                <w:bCs/>
                <w:color w:val="auto"/>
                <w:sz w:val="24"/>
                <w:szCs w:val="24"/>
                <w:highlight w:val="none"/>
                <w:lang w:val="en-US" w:eastAsia="zh-CN"/>
              </w:rPr>
              <w:t xml:space="preserve">4.2.3.1 </w:t>
            </w:r>
            <w:r>
              <w:rPr>
                <w:rFonts w:ascii="Times New Roman" w:hAnsi="Times New Roman"/>
                <w:b/>
                <w:bCs/>
                <w:color w:val="auto"/>
                <w:sz w:val="24"/>
                <w:szCs w:val="24"/>
                <w:highlight w:val="none"/>
              </w:rPr>
              <w:t>噪声源强</w:t>
            </w:r>
            <w:r>
              <w:rPr>
                <w:rFonts w:hint="eastAsia" w:ascii="Times New Roman" w:hAnsi="Times New Roman"/>
                <w:b/>
                <w:bCs/>
                <w:color w:val="auto"/>
                <w:sz w:val="24"/>
                <w:szCs w:val="24"/>
                <w:highlight w:val="none"/>
                <w:lang w:eastAsia="zh-CN"/>
              </w:rPr>
              <w:t>分析</w:t>
            </w:r>
          </w:p>
          <w:p w14:paraId="63414F14">
            <w:pPr>
              <w:pStyle w:val="137"/>
              <w:keepNext w:val="0"/>
              <w:keepLines w:val="0"/>
              <w:pageBreakBefore w:val="0"/>
              <w:widowControl w:val="0"/>
              <w:kinsoku/>
              <w:wordWrap/>
              <w:overflowPunct/>
              <w:topLinePunct w:val="0"/>
              <w:bidi w:val="0"/>
              <w:adjustRightInd/>
              <w:snapToGrid/>
              <w:ind w:firstLine="48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项目噪声污染源主要为</w:t>
            </w:r>
            <w:r>
              <w:rPr>
                <w:rFonts w:hint="eastAsia"/>
                <w:color w:val="auto"/>
                <w:sz w:val="24"/>
                <w:szCs w:val="24"/>
                <w:highlight w:val="none"/>
                <w:lang w:val="en-US" w:eastAsia="zh-CN"/>
              </w:rPr>
              <w:t>筛分</w:t>
            </w:r>
            <w:r>
              <w:rPr>
                <w:rFonts w:hint="eastAsia" w:ascii="Times New Roman" w:hAnsi="Times New Roman"/>
                <w:color w:val="auto"/>
                <w:sz w:val="24"/>
                <w:szCs w:val="24"/>
                <w:highlight w:val="none"/>
                <w:lang w:val="en-US" w:eastAsia="zh-CN"/>
              </w:rPr>
              <w:t>机、</w:t>
            </w:r>
            <w:r>
              <w:rPr>
                <w:rFonts w:hint="eastAsia"/>
                <w:color w:val="auto"/>
                <w:sz w:val="24"/>
                <w:szCs w:val="24"/>
                <w:highlight w:val="none"/>
                <w:lang w:val="en-US" w:eastAsia="zh-CN"/>
              </w:rPr>
              <w:t>破碎机</w:t>
            </w:r>
            <w:r>
              <w:rPr>
                <w:rFonts w:hint="eastAsia" w:ascii="Times New Roman" w:hAnsi="Times New Roman"/>
                <w:color w:val="auto"/>
                <w:sz w:val="24"/>
                <w:szCs w:val="24"/>
                <w:highlight w:val="none"/>
                <w:lang w:val="en-US" w:eastAsia="zh-CN"/>
              </w:rPr>
              <w:t>等机械设施，</w:t>
            </w:r>
            <w:r>
              <w:rPr>
                <w:rFonts w:ascii="Times New Roman" w:hAnsi="Times New Roman"/>
                <w:color w:val="auto"/>
                <w:sz w:val="24"/>
                <w:szCs w:val="24"/>
                <w:highlight w:val="none"/>
              </w:rPr>
              <w:t>项目拟对各类加工设备设置减震垫、隔声罩措施进行降噪，降噪效果可达</w:t>
            </w:r>
            <w:r>
              <w:rPr>
                <w:rFonts w:hint="eastAsia" w:ascii="Times New Roman" w:hAnsi="Times New Roman"/>
                <w:color w:val="auto"/>
                <w:sz w:val="24"/>
                <w:szCs w:val="24"/>
                <w:highlight w:val="none"/>
                <w:lang w:val="en-US" w:eastAsia="zh-CN"/>
              </w:rPr>
              <w:t>15</w:t>
            </w:r>
            <w:r>
              <w:rPr>
                <w:rFonts w:ascii="Times New Roman" w:hAnsi="Times New Roman"/>
                <w:color w:val="auto"/>
                <w:sz w:val="24"/>
                <w:szCs w:val="24"/>
                <w:highlight w:val="none"/>
              </w:rPr>
              <w:t>dB（A）左右，项目主要噪声源强见</w:t>
            </w:r>
            <w:r>
              <w:rPr>
                <w:rFonts w:hint="eastAsia" w:ascii="Times New Roman" w:hAnsi="Times New Roman"/>
                <w:color w:val="auto"/>
                <w:sz w:val="24"/>
                <w:szCs w:val="24"/>
                <w:highlight w:val="none"/>
                <w:lang w:val="en-US" w:eastAsia="zh-CN"/>
              </w:rPr>
              <w:t>表</w:t>
            </w:r>
            <w:r>
              <w:rPr>
                <w:rFonts w:hint="eastAsia"/>
                <w:color w:val="auto"/>
                <w:sz w:val="24"/>
                <w:szCs w:val="24"/>
                <w:highlight w:val="none"/>
                <w:lang w:val="en-US" w:eastAsia="zh-CN"/>
              </w:rPr>
              <w:t>32</w:t>
            </w:r>
            <w:r>
              <w:rPr>
                <w:rFonts w:ascii="Times New Roman" w:hAnsi="Times New Roman"/>
                <w:color w:val="auto"/>
                <w:sz w:val="24"/>
                <w:szCs w:val="24"/>
                <w:highlight w:val="none"/>
              </w:rPr>
              <w:t>。</w:t>
            </w:r>
          </w:p>
          <w:p w14:paraId="7FAD4C2D">
            <w:pPr>
              <w:pStyle w:val="137"/>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4.2.3.2 噪声预测范围、点位和评价内容</w:t>
            </w:r>
          </w:p>
          <w:p w14:paraId="016CC8E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rPr>
              <w:t>噪声预测范围：厂界外</w:t>
            </w:r>
            <w:r>
              <w:rPr>
                <w:rFonts w:hint="eastAsia" w:ascii="Times New Roman" w:hAnsi="Times New Roman"/>
                <w:color w:val="auto"/>
                <w:sz w:val="24"/>
                <w:highlight w:val="none"/>
                <w:lang w:val="en-US" w:eastAsia="zh-CN"/>
              </w:rPr>
              <w:t>50</w:t>
            </w:r>
            <w:r>
              <w:rPr>
                <w:rFonts w:ascii="Times New Roman" w:hAnsi="Times New Roman"/>
                <w:color w:val="auto"/>
                <w:sz w:val="24"/>
                <w:highlight w:val="none"/>
              </w:rPr>
              <w:t>m</w:t>
            </w:r>
            <w:r>
              <w:rPr>
                <w:rFonts w:hint="eastAsia" w:ascii="Times New Roman" w:hAnsi="Times New Roman"/>
                <w:color w:val="auto"/>
                <w:sz w:val="24"/>
                <w:highlight w:val="none"/>
              </w:rPr>
              <w:t>；</w:t>
            </w:r>
          </w:p>
          <w:p w14:paraId="2DF391E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color w:val="auto"/>
                <w:sz w:val="24"/>
                <w:highlight w:val="none"/>
              </w:rPr>
            </w:pPr>
            <w:r>
              <w:rPr>
                <w:rFonts w:hint="eastAsia" w:ascii="Times New Roman" w:hAnsi="Times New Roman"/>
                <w:color w:val="auto"/>
                <w:sz w:val="24"/>
                <w:highlight w:val="none"/>
              </w:rPr>
              <w:t>预测点位：以</w:t>
            </w:r>
            <w:r>
              <w:rPr>
                <w:rFonts w:hint="eastAsia" w:ascii="Times New Roman" w:hAnsi="Times New Roman"/>
                <w:color w:val="auto"/>
                <w:sz w:val="24"/>
                <w:highlight w:val="none"/>
                <w:lang w:val="en-US" w:eastAsia="zh-CN"/>
              </w:rPr>
              <w:t>厂界</w:t>
            </w:r>
            <w:r>
              <w:rPr>
                <w:rFonts w:hint="eastAsia" w:ascii="Times New Roman" w:hAnsi="Times New Roman"/>
                <w:color w:val="auto"/>
                <w:sz w:val="24"/>
                <w:highlight w:val="none"/>
              </w:rPr>
              <w:t>为预测评价点；</w:t>
            </w:r>
          </w:p>
          <w:p w14:paraId="2B8BA71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rPr>
              <w:t>预测内容：本次预测</w:t>
            </w:r>
            <w:r>
              <w:rPr>
                <w:rFonts w:hint="eastAsia" w:ascii="Times New Roman" w:hAnsi="Times New Roman"/>
                <w:color w:val="auto"/>
                <w:sz w:val="24"/>
                <w:highlight w:val="none"/>
                <w:lang w:eastAsia="zh-CN"/>
              </w:rPr>
              <w:t>以</w:t>
            </w:r>
            <w:r>
              <w:rPr>
                <w:rFonts w:hint="eastAsia" w:ascii="Times New Roman" w:hAnsi="Times New Roman"/>
                <w:color w:val="auto"/>
                <w:sz w:val="24"/>
                <w:highlight w:val="none"/>
                <w:lang w:val="en-US" w:eastAsia="zh-CN"/>
              </w:rPr>
              <w:t>全厂主要产噪</w:t>
            </w:r>
            <w:r>
              <w:rPr>
                <w:rFonts w:hint="eastAsia" w:ascii="Times New Roman" w:hAnsi="Times New Roman"/>
                <w:color w:val="auto"/>
                <w:sz w:val="24"/>
                <w:highlight w:val="none"/>
              </w:rPr>
              <w:t>设备贡献值作为分析厂界环境噪声的评价量。</w:t>
            </w:r>
          </w:p>
          <w:p w14:paraId="1AC65C32">
            <w:pPr>
              <w:pStyle w:val="137"/>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4.2.3.3 工业噪声预测模式</w:t>
            </w:r>
          </w:p>
          <w:p w14:paraId="69B753A6">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噪声预测模式采用《环境影响评价技术导则</w:t>
            </w:r>
            <w:r>
              <w:rPr>
                <w:rFonts w:ascii="Times New Roman" w:hAnsi="Times New Roman"/>
                <w:color w:val="auto"/>
                <w:sz w:val="24"/>
                <w:highlight w:val="none"/>
              </w:rPr>
              <w:t xml:space="preserve">  </w:t>
            </w:r>
            <w:r>
              <w:rPr>
                <w:rFonts w:hint="eastAsia" w:ascii="Times New Roman" w:hAnsi="Times New Roman"/>
                <w:color w:val="auto"/>
                <w:sz w:val="24"/>
                <w:highlight w:val="none"/>
              </w:rPr>
              <w:t>声环境》</w:t>
            </w:r>
            <w:r>
              <w:rPr>
                <w:rFonts w:hint="eastAsia"/>
                <w:color w:val="auto"/>
                <w:sz w:val="24"/>
                <w:highlight w:val="none"/>
                <w:lang w:eastAsia="zh-CN"/>
              </w:rPr>
              <w:t>（</w:t>
            </w:r>
            <w:r>
              <w:rPr>
                <w:rFonts w:ascii="Times New Roman" w:hAnsi="Times New Roman"/>
                <w:color w:val="auto"/>
                <w:sz w:val="24"/>
                <w:highlight w:val="none"/>
              </w:rPr>
              <w:t>HJ2.4-2021</w:t>
            </w:r>
            <w:r>
              <w:rPr>
                <w:rFonts w:hint="eastAsia"/>
                <w:color w:val="auto"/>
                <w:sz w:val="24"/>
                <w:highlight w:val="none"/>
                <w:lang w:eastAsia="zh-CN"/>
              </w:rPr>
              <w:t>）</w:t>
            </w:r>
            <w:r>
              <w:rPr>
                <w:rFonts w:hint="eastAsia" w:ascii="Times New Roman" w:hAnsi="Times New Roman"/>
                <w:color w:val="auto"/>
                <w:sz w:val="24"/>
                <w:highlight w:val="none"/>
              </w:rPr>
              <w:t>中推荐的预测模型。噪声在传播过程中受到多种因素的干扰，使其产生衰减，根据建设项目噪声源和环境特征，预测过程中考虑了厂房等建筑物的屏障作用、空气吸收。预测模式采用点声源处于半自由空间的几何发散模式。</w:t>
            </w:r>
          </w:p>
          <w:p w14:paraId="4150073C">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）室外点声源利用点源衰减公式</w:t>
            </w:r>
          </w:p>
          <w:p w14:paraId="24E8CE17">
            <w:pPr>
              <w:spacing w:line="360" w:lineRule="auto"/>
              <w:jc w:val="center"/>
              <w:rPr>
                <w:rFonts w:ascii="Times New Roman" w:hAnsi="Times New Roman"/>
                <w:color w:val="auto"/>
                <w:sz w:val="24"/>
                <w:highlight w:val="none"/>
              </w:rPr>
            </w:pPr>
            <w:r>
              <w:rPr>
                <w:rFonts w:ascii="Times New Roman" w:hAnsi="Times New Roman"/>
                <w:color w:val="auto"/>
                <w:sz w:val="24"/>
                <w:szCs w:val="24"/>
                <w:highlight w:val="none"/>
              </w:rPr>
              <w:drawing>
                <wp:inline distT="0" distB="0" distL="114300" distR="114300">
                  <wp:extent cx="2200275" cy="361950"/>
                  <wp:effectExtent l="0" t="0" r="9525" b="0"/>
                  <wp:docPr id="98"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99"/>
                          <pic:cNvPicPr>
                            <a:picLocks noChangeAspect="1"/>
                          </pic:cNvPicPr>
                        </pic:nvPicPr>
                        <pic:blipFill>
                          <a:blip r:embed="rId12"/>
                          <a:stretch>
                            <a:fillRect/>
                          </a:stretch>
                        </pic:blipFill>
                        <pic:spPr>
                          <a:xfrm>
                            <a:off x="0" y="0"/>
                            <a:ext cx="2200275" cy="361950"/>
                          </a:xfrm>
                          <a:prstGeom prst="rect">
                            <a:avLst/>
                          </a:prstGeom>
                          <a:noFill/>
                          <a:ln>
                            <a:noFill/>
                          </a:ln>
                        </pic:spPr>
                      </pic:pic>
                    </a:graphicData>
                  </a:graphic>
                </wp:inline>
              </w:drawing>
            </w:r>
          </w:p>
          <w:p w14:paraId="1E6DD341">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式中</w:t>
            </w:r>
            <w:r>
              <w:rPr>
                <w:rFonts w:ascii="Times New Roman" w:hAnsi="Times New Roman"/>
                <w:color w:val="auto"/>
                <w:sz w:val="24"/>
                <w:highlight w:val="none"/>
              </w:rPr>
              <w:t>LA</w:t>
            </w:r>
            <w:r>
              <w:rPr>
                <w:rFonts w:hint="eastAsia"/>
                <w:color w:val="auto"/>
                <w:sz w:val="24"/>
                <w:highlight w:val="none"/>
                <w:lang w:eastAsia="zh-CN"/>
              </w:rPr>
              <w:t>（</w:t>
            </w:r>
            <w:r>
              <w:rPr>
                <w:rFonts w:ascii="Times New Roman" w:hAnsi="Times New Roman"/>
                <w:color w:val="auto"/>
                <w:sz w:val="24"/>
                <w:highlight w:val="none"/>
              </w:rPr>
              <w:t>r</w:t>
            </w:r>
            <w:r>
              <w:rPr>
                <w:rFonts w:hint="eastAsia"/>
                <w:color w:val="auto"/>
                <w:sz w:val="24"/>
                <w:highlight w:val="none"/>
                <w:lang w:eastAsia="zh-CN"/>
              </w:rPr>
              <w:t>）</w:t>
            </w:r>
            <w:r>
              <w:rPr>
                <w:rFonts w:hint="eastAsia" w:ascii="Times New Roman" w:hAnsi="Times New Roman"/>
                <w:color w:val="auto"/>
                <w:sz w:val="24"/>
                <w:highlight w:val="none"/>
              </w:rPr>
              <w:t>、</w:t>
            </w:r>
            <w:r>
              <w:rPr>
                <w:rFonts w:ascii="Times New Roman" w:hAnsi="Times New Roman"/>
                <w:color w:val="auto"/>
                <w:sz w:val="24"/>
                <w:highlight w:val="none"/>
              </w:rPr>
              <w:t>LA</w:t>
            </w:r>
            <w:r>
              <w:rPr>
                <w:rFonts w:hint="eastAsia"/>
                <w:color w:val="auto"/>
                <w:sz w:val="24"/>
                <w:highlight w:val="none"/>
                <w:lang w:eastAsia="zh-CN"/>
              </w:rPr>
              <w:t>（</w:t>
            </w:r>
            <w:r>
              <w:rPr>
                <w:rFonts w:ascii="Times New Roman" w:hAnsi="Times New Roman"/>
                <w:color w:val="auto"/>
                <w:sz w:val="24"/>
                <w:highlight w:val="none"/>
              </w:rPr>
              <w:t>r</w:t>
            </w:r>
            <w:r>
              <w:rPr>
                <w:rFonts w:ascii="Times New Roman" w:hAnsi="Times New Roman"/>
                <w:color w:val="auto"/>
                <w:sz w:val="24"/>
                <w:highlight w:val="none"/>
                <w:vertAlign w:val="subscript"/>
              </w:rPr>
              <w:t>0</w:t>
            </w:r>
            <w:r>
              <w:rPr>
                <w:rFonts w:hint="eastAsia"/>
                <w:color w:val="auto"/>
                <w:sz w:val="24"/>
                <w:highlight w:val="none"/>
                <w:lang w:eastAsia="zh-CN"/>
              </w:rPr>
              <w:t>）</w:t>
            </w:r>
            <w:r>
              <w:rPr>
                <w:rFonts w:hint="eastAsia" w:ascii="Times New Roman" w:hAnsi="Times New Roman"/>
                <w:color w:val="auto"/>
                <w:sz w:val="24"/>
                <w:highlight w:val="none"/>
              </w:rPr>
              <w:t>分别是距声源</w:t>
            </w:r>
            <w:r>
              <w:rPr>
                <w:rFonts w:ascii="Times New Roman" w:hAnsi="Times New Roman"/>
                <w:color w:val="auto"/>
                <w:sz w:val="24"/>
                <w:highlight w:val="none"/>
              </w:rPr>
              <w:t>r</w:t>
            </w:r>
            <w:r>
              <w:rPr>
                <w:rFonts w:hint="eastAsia" w:ascii="Times New Roman" w:hAnsi="Times New Roman"/>
                <w:color w:val="auto"/>
                <w:sz w:val="24"/>
                <w:highlight w:val="none"/>
              </w:rPr>
              <w:t>、</w:t>
            </w:r>
            <w:r>
              <w:rPr>
                <w:rFonts w:ascii="Times New Roman" w:hAnsi="Times New Roman"/>
                <w:color w:val="auto"/>
                <w:sz w:val="24"/>
                <w:highlight w:val="none"/>
              </w:rPr>
              <w:t>r</w:t>
            </w:r>
            <w:r>
              <w:rPr>
                <w:rFonts w:ascii="Times New Roman" w:hAnsi="Times New Roman"/>
                <w:color w:val="auto"/>
                <w:sz w:val="24"/>
                <w:highlight w:val="none"/>
                <w:vertAlign w:val="subscript"/>
              </w:rPr>
              <w:t>0</w:t>
            </w:r>
            <w:r>
              <w:rPr>
                <w:rFonts w:hint="eastAsia" w:ascii="Times New Roman" w:hAnsi="Times New Roman"/>
                <w:color w:val="auto"/>
                <w:sz w:val="24"/>
                <w:highlight w:val="none"/>
              </w:rPr>
              <w:t>处的</w:t>
            </w:r>
            <w:r>
              <w:rPr>
                <w:rFonts w:ascii="Times New Roman" w:hAnsi="Times New Roman"/>
                <w:color w:val="auto"/>
                <w:sz w:val="24"/>
                <w:highlight w:val="none"/>
              </w:rPr>
              <w:t>A</w:t>
            </w:r>
            <w:r>
              <w:rPr>
                <w:rFonts w:hint="eastAsia" w:ascii="Times New Roman" w:hAnsi="Times New Roman"/>
                <w:color w:val="auto"/>
                <w:sz w:val="24"/>
                <w:highlight w:val="none"/>
              </w:rPr>
              <w:t>声级值。</w:t>
            </w:r>
          </w:p>
          <w:p w14:paraId="2A148955">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）室内声源按下列步骤计算：</w:t>
            </w:r>
          </w:p>
          <w:p w14:paraId="3A9E8B1E">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①由类比监测取得室外靠近围护结构处的声压级</w:t>
            </w:r>
            <w:r>
              <w:rPr>
                <w:rFonts w:ascii="Times New Roman" w:hAnsi="Times New Roman"/>
                <w:color w:val="auto"/>
                <w:sz w:val="24"/>
                <w:highlight w:val="none"/>
              </w:rPr>
              <w:t>LA</w:t>
            </w:r>
            <w:r>
              <w:rPr>
                <w:rFonts w:hint="eastAsia"/>
                <w:color w:val="auto"/>
                <w:sz w:val="24"/>
                <w:highlight w:val="none"/>
                <w:lang w:eastAsia="zh-CN"/>
              </w:rPr>
              <w:t>（</w:t>
            </w:r>
            <w:r>
              <w:rPr>
                <w:rFonts w:ascii="Times New Roman" w:hAnsi="Times New Roman"/>
                <w:color w:val="auto"/>
                <w:sz w:val="24"/>
                <w:highlight w:val="none"/>
              </w:rPr>
              <w:t>r</w:t>
            </w:r>
            <w:r>
              <w:rPr>
                <w:rFonts w:ascii="Times New Roman" w:hAnsi="Times New Roman"/>
                <w:color w:val="auto"/>
                <w:sz w:val="24"/>
                <w:highlight w:val="none"/>
                <w:vertAlign w:val="subscript"/>
              </w:rPr>
              <w:t>0</w:t>
            </w:r>
            <w:r>
              <w:rPr>
                <w:rFonts w:hint="eastAsia"/>
                <w:color w:val="auto"/>
                <w:sz w:val="24"/>
                <w:highlight w:val="none"/>
                <w:lang w:eastAsia="zh-CN"/>
              </w:rPr>
              <w:t>）</w:t>
            </w:r>
            <w:r>
              <w:rPr>
                <w:rFonts w:hint="eastAsia" w:ascii="Times New Roman" w:hAnsi="Times New Roman"/>
                <w:color w:val="auto"/>
                <w:sz w:val="24"/>
                <w:highlight w:val="none"/>
              </w:rPr>
              <w:t>。</w:t>
            </w:r>
          </w:p>
          <w:p w14:paraId="3D726C82">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②将室外声级</w:t>
            </w:r>
            <w:r>
              <w:rPr>
                <w:rFonts w:ascii="Times New Roman" w:hAnsi="Times New Roman"/>
                <w:color w:val="auto"/>
                <w:sz w:val="24"/>
                <w:highlight w:val="none"/>
              </w:rPr>
              <w:t>LA</w:t>
            </w:r>
            <w:r>
              <w:rPr>
                <w:rFonts w:hint="eastAsia"/>
                <w:color w:val="auto"/>
                <w:sz w:val="24"/>
                <w:highlight w:val="none"/>
                <w:lang w:eastAsia="zh-CN"/>
              </w:rPr>
              <w:t>（</w:t>
            </w:r>
            <w:r>
              <w:rPr>
                <w:rFonts w:ascii="Times New Roman" w:hAnsi="Times New Roman"/>
                <w:color w:val="auto"/>
                <w:sz w:val="24"/>
                <w:highlight w:val="none"/>
              </w:rPr>
              <w:t>r</w:t>
            </w:r>
            <w:r>
              <w:rPr>
                <w:rFonts w:ascii="Times New Roman" w:hAnsi="Times New Roman"/>
                <w:color w:val="auto"/>
                <w:sz w:val="24"/>
                <w:highlight w:val="none"/>
                <w:vertAlign w:val="subscript"/>
              </w:rPr>
              <w:t>0</w:t>
            </w:r>
            <w:r>
              <w:rPr>
                <w:rFonts w:hint="eastAsia"/>
                <w:color w:val="auto"/>
                <w:sz w:val="24"/>
                <w:highlight w:val="none"/>
                <w:lang w:eastAsia="zh-CN"/>
              </w:rPr>
              <w:t>）</w:t>
            </w:r>
            <w:r>
              <w:rPr>
                <w:rFonts w:hint="eastAsia" w:ascii="Times New Roman" w:hAnsi="Times New Roman"/>
                <w:color w:val="auto"/>
                <w:sz w:val="24"/>
                <w:highlight w:val="none"/>
              </w:rPr>
              <w:t>和透声面积换算成等效的室外声源。计算出等效源的声功率级：</w:t>
            </w:r>
          </w:p>
          <w:p w14:paraId="0D4B2E5E">
            <w:pPr>
              <w:spacing w:line="360" w:lineRule="auto"/>
              <w:jc w:val="center"/>
              <w:rPr>
                <w:rFonts w:ascii="Times New Roman" w:hAnsi="Times New Roman"/>
                <w:color w:val="auto"/>
                <w:sz w:val="24"/>
                <w:highlight w:val="none"/>
              </w:rPr>
            </w:pPr>
            <w:r>
              <w:rPr>
                <w:rFonts w:ascii="Times New Roman" w:hAnsi="Times New Roman"/>
                <w:color w:val="auto"/>
                <w:sz w:val="24"/>
                <w:szCs w:val="24"/>
                <w:highlight w:val="none"/>
              </w:rPr>
              <w:drawing>
                <wp:inline distT="0" distB="0" distL="114300" distR="114300">
                  <wp:extent cx="1591310" cy="361950"/>
                  <wp:effectExtent l="0" t="0" r="8890" b="0"/>
                  <wp:docPr id="99"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300"/>
                          <pic:cNvPicPr>
                            <a:picLocks noChangeAspect="1"/>
                          </pic:cNvPicPr>
                        </pic:nvPicPr>
                        <pic:blipFill>
                          <a:blip r:embed="rId13"/>
                          <a:stretch>
                            <a:fillRect/>
                          </a:stretch>
                        </pic:blipFill>
                        <pic:spPr>
                          <a:xfrm>
                            <a:off x="0" y="0"/>
                            <a:ext cx="1591310" cy="361950"/>
                          </a:xfrm>
                          <a:prstGeom prst="rect">
                            <a:avLst/>
                          </a:prstGeom>
                          <a:noFill/>
                          <a:ln>
                            <a:noFill/>
                          </a:ln>
                        </pic:spPr>
                      </pic:pic>
                    </a:graphicData>
                  </a:graphic>
                </wp:inline>
              </w:drawing>
            </w:r>
          </w:p>
          <w:p w14:paraId="5B3E8614">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式中</w:t>
            </w:r>
            <w:r>
              <w:rPr>
                <w:rFonts w:ascii="Times New Roman" w:hAnsi="Times New Roman"/>
                <w:color w:val="auto"/>
                <w:sz w:val="24"/>
                <w:highlight w:val="none"/>
              </w:rPr>
              <w:t>S</w:t>
            </w:r>
            <w:r>
              <w:rPr>
                <w:rFonts w:hint="eastAsia" w:ascii="Times New Roman" w:hAnsi="Times New Roman"/>
                <w:color w:val="auto"/>
                <w:sz w:val="24"/>
                <w:highlight w:val="none"/>
              </w:rPr>
              <w:t>为透声面积。</w:t>
            </w:r>
          </w:p>
          <w:p w14:paraId="4E203F88">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③用下式计算出等效室外声源在预测点的声压级。</w:t>
            </w:r>
          </w:p>
          <w:p w14:paraId="076C6D92">
            <w:pPr>
              <w:spacing w:line="360" w:lineRule="auto"/>
              <w:jc w:val="center"/>
              <w:rPr>
                <w:rFonts w:ascii="Times New Roman" w:hAnsi="Times New Roman"/>
                <w:color w:val="auto"/>
                <w:sz w:val="24"/>
                <w:highlight w:val="none"/>
              </w:rPr>
            </w:pPr>
            <w:r>
              <w:rPr>
                <w:rFonts w:ascii="Times New Roman" w:hAnsi="Times New Roman"/>
                <w:color w:val="auto"/>
                <w:sz w:val="24"/>
                <w:szCs w:val="24"/>
                <w:highlight w:val="none"/>
              </w:rPr>
              <w:drawing>
                <wp:inline distT="0" distB="0" distL="114300" distR="114300">
                  <wp:extent cx="2485390" cy="296545"/>
                  <wp:effectExtent l="0" t="0" r="10160" b="8255"/>
                  <wp:docPr id="100"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01"/>
                          <pic:cNvPicPr>
                            <a:picLocks noChangeAspect="1"/>
                          </pic:cNvPicPr>
                        </pic:nvPicPr>
                        <pic:blipFill>
                          <a:blip r:embed="rId14"/>
                          <a:srcRect t="13889"/>
                          <a:stretch>
                            <a:fillRect/>
                          </a:stretch>
                        </pic:blipFill>
                        <pic:spPr>
                          <a:xfrm>
                            <a:off x="0" y="0"/>
                            <a:ext cx="2485390" cy="296545"/>
                          </a:xfrm>
                          <a:prstGeom prst="rect">
                            <a:avLst/>
                          </a:prstGeom>
                          <a:noFill/>
                          <a:ln>
                            <a:noFill/>
                          </a:ln>
                        </pic:spPr>
                      </pic:pic>
                    </a:graphicData>
                  </a:graphic>
                </wp:inline>
              </w:drawing>
            </w:r>
          </w:p>
          <w:p w14:paraId="6F33CD5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④用下式计算各噪声源对预测点贡献声级及背景噪声叠加。</w:t>
            </w:r>
          </w:p>
          <w:p w14:paraId="392A3B2A">
            <w:pPr>
              <w:spacing w:line="360" w:lineRule="auto"/>
              <w:jc w:val="center"/>
              <w:rPr>
                <w:rFonts w:ascii="Times New Roman" w:hAnsi="Times New Roman"/>
                <w:color w:val="auto"/>
                <w:sz w:val="24"/>
                <w:highlight w:val="none"/>
              </w:rPr>
            </w:pPr>
            <w:r>
              <w:rPr>
                <w:rFonts w:ascii="Times New Roman" w:hAnsi="Times New Roman"/>
                <w:color w:val="auto"/>
                <w:sz w:val="24"/>
                <w:szCs w:val="24"/>
                <w:highlight w:val="none"/>
              </w:rPr>
              <w:drawing>
                <wp:inline distT="0" distB="0" distL="114300" distR="114300">
                  <wp:extent cx="1629410" cy="581660"/>
                  <wp:effectExtent l="0" t="0" r="8890" b="8890"/>
                  <wp:docPr id="101"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302"/>
                          <pic:cNvPicPr>
                            <a:picLocks noChangeAspect="1"/>
                          </pic:cNvPicPr>
                        </pic:nvPicPr>
                        <pic:blipFill>
                          <a:blip r:embed="rId15"/>
                          <a:stretch>
                            <a:fillRect/>
                          </a:stretch>
                        </pic:blipFill>
                        <pic:spPr>
                          <a:xfrm>
                            <a:off x="0" y="0"/>
                            <a:ext cx="1629410" cy="581660"/>
                          </a:xfrm>
                          <a:prstGeom prst="rect">
                            <a:avLst/>
                          </a:prstGeom>
                          <a:noFill/>
                          <a:ln>
                            <a:noFill/>
                          </a:ln>
                        </pic:spPr>
                      </pic:pic>
                    </a:graphicData>
                  </a:graphic>
                </wp:inline>
              </w:drawing>
            </w:r>
          </w:p>
          <w:p w14:paraId="4ADEB785">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式中：</w:t>
            </w:r>
            <w:r>
              <w:rPr>
                <w:rFonts w:ascii="Times New Roman" w:hAnsi="Times New Roman"/>
                <w:color w:val="auto"/>
                <w:sz w:val="24"/>
                <w:highlight w:val="none"/>
              </w:rPr>
              <w:t>LAi</w:t>
            </w:r>
            <w:r>
              <w:rPr>
                <w:rFonts w:hint="eastAsia" w:ascii="Times New Roman" w:hAnsi="Times New Roman"/>
                <w:color w:val="auto"/>
                <w:sz w:val="24"/>
                <w:highlight w:val="none"/>
              </w:rPr>
              <w:t>为声源单独作用时预测处的</w:t>
            </w:r>
            <w:r>
              <w:rPr>
                <w:rFonts w:ascii="Times New Roman" w:hAnsi="Times New Roman"/>
                <w:color w:val="auto"/>
                <w:sz w:val="24"/>
                <w:highlight w:val="none"/>
              </w:rPr>
              <w:t>A</w:t>
            </w:r>
            <w:r>
              <w:rPr>
                <w:rFonts w:hint="eastAsia" w:ascii="Times New Roman" w:hAnsi="Times New Roman"/>
                <w:color w:val="auto"/>
                <w:sz w:val="24"/>
                <w:highlight w:val="none"/>
              </w:rPr>
              <w:t>声级，</w:t>
            </w:r>
            <w:r>
              <w:rPr>
                <w:rFonts w:ascii="Times New Roman" w:hAnsi="Times New Roman"/>
                <w:color w:val="auto"/>
                <w:sz w:val="24"/>
                <w:highlight w:val="none"/>
              </w:rPr>
              <w:t>n</w:t>
            </w:r>
            <w:r>
              <w:rPr>
                <w:rFonts w:hint="eastAsia" w:ascii="Times New Roman" w:hAnsi="Times New Roman"/>
                <w:color w:val="auto"/>
                <w:sz w:val="24"/>
                <w:highlight w:val="none"/>
              </w:rPr>
              <w:t>为声源个数。</w:t>
            </w:r>
          </w:p>
          <w:p w14:paraId="1D0C2F36">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）户外建筑物的声屏障效应</w:t>
            </w:r>
          </w:p>
          <w:p w14:paraId="64690176">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声屏障的隔声效应与声源和接收点、屏障位置、屏障高度和屏障长度及结构性质有关，我们根据它们之间的距离、声音的频率（一般取</w:t>
            </w:r>
            <w:r>
              <w:rPr>
                <w:rFonts w:ascii="Times New Roman" w:hAnsi="Times New Roman"/>
                <w:color w:val="auto"/>
                <w:sz w:val="24"/>
                <w:highlight w:val="none"/>
              </w:rPr>
              <w:t>500</w:t>
            </w:r>
            <w:r>
              <w:rPr>
                <w:rFonts w:hint="eastAsia"/>
                <w:color w:val="auto"/>
                <w:sz w:val="24"/>
                <w:highlight w:val="none"/>
                <w:lang w:eastAsia="zh-CN"/>
              </w:rPr>
              <w:t>Hz</w:t>
            </w:r>
            <w:r>
              <w:rPr>
                <w:rFonts w:hint="eastAsia" w:ascii="Times New Roman" w:hAnsi="Times New Roman"/>
                <w:color w:val="auto"/>
                <w:sz w:val="24"/>
                <w:highlight w:val="none"/>
              </w:rPr>
              <w:t>）算出菲涅尔系数，然后再查表找出相对应的衰减值（</w:t>
            </w:r>
            <w:r>
              <w:rPr>
                <w:rFonts w:ascii="Times New Roman" w:hAnsi="Times New Roman"/>
                <w:color w:val="auto"/>
                <w:sz w:val="24"/>
                <w:highlight w:val="none"/>
              </w:rPr>
              <w:t>dB</w:t>
            </w:r>
            <w:r>
              <w:rPr>
                <w:rFonts w:hint="eastAsia" w:ascii="Times New Roman" w:hAnsi="Times New Roman"/>
                <w:color w:val="auto"/>
                <w:sz w:val="24"/>
                <w:highlight w:val="none"/>
              </w:rPr>
              <w:t>）。菲涅尔系数的计算方法如下：</w:t>
            </w:r>
          </w:p>
          <w:p w14:paraId="63174297">
            <w:pPr>
              <w:spacing w:line="360" w:lineRule="auto"/>
              <w:jc w:val="center"/>
              <w:rPr>
                <w:rFonts w:ascii="Times New Roman" w:hAnsi="Times New Roman"/>
                <w:color w:val="auto"/>
                <w:sz w:val="24"/>
                <w:highlight w:val="none"/>
              </w:rPr>
            </w:pPr>
            <w:r>
              <w:rPr>
                <w:rFonts w:ascii="Times New Roman" w:hAnsi="Times New Roman"/>
                <w:color w:val="auto"/>
                <w:sz w:val="24"/>
                <w:szCs w:val="24"/>
                <w:highlight w:val="none"/>
              </w:rPr>
              <w:drawing>
                <wp:inline distT="0" distB="0" distL="114300" distR="114300">
                  <wp:extent cx="1236980" cy="466090"/>
                  <wp:effectExtent l="0" t="0" r="1270" b="10160"/>
                  <wp:docPr id="102"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03"/>
                          <pic:cNvPicPr>
                            <a:picLocks noChangeAspect="1"/>
                          </pic:cNvPicPr>
                        </pic:nvPicPr>
                        <pic:blipFill>
                          <a:blip r:embed="rId16"/>
                          <a:stretch>
                            <a:fillRect/>
                          </a:stretch>
                        </pic:blipFill>
                        <pic:spPr>
                          <a:xfrm>
                            <a:off x="0" y="0"/>
                            <a:ext cx="1236980" cy="466090"/>
                          </a:xfrm>
                          <a:prstGeom prst="rect">
                            <a:avLst/>
                          </a:prstGeom>
                          <a:noFill/>
                          <a:ln>
                            <a:noFill/>
                          </a:ln>
                        </pic:spPr>
                      </pic:pic>
                    </a:graphicData>
                  </a:graphic>
                </wp:inline>
              </w:drawing>
            </w:r>
          </w:p>
          <w:p w14:paraId="6E96DE31">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式中：</w:t>
            </w:r>
            <w:r>
              <w:rPr>
                <w:rFonts w:ascii="Times New Roman" w:hAnsi="Times New Roman"/>
                <w:color w:val="auto"/>
                <w:sz w:val="24"/>
                <w:highlight w:val="none"/>
              </w:rPr>
              <w:t>A—</w:t>
            </w:r>
            <w:r>
              <w:rPr>
                <w:rFonts w:hint="eastAsia" w:ascii="Times New Roman" w:hAnsi="Times New Roman"/>
                <w:color w:val="auto"/>
                <w:sz w:val="24"/>
                <w:highlight w:val="none"/>
              </w:rPr>
              <w:t>是声源与屏障顶端的距离；</w:t>
            </w:r>
          </w:p>
          <w:p w14:paraId="20A517F5">
            <w:pPr>
              <w:spacing w:line="360" w:lineRule="auto"/>
              <w:ind w:firstLine="1200" w:firstLineChars="500"/>
              <w:rPr>
                <w:rFonts w:ascii="Times New Roman" w:hAnsi="Times New Roman"/>
                <w:color w:val="auto"/>
                <w:sz w:val="24"/>
                <w:highlight w:val="none"/>
              </w:rPr>
            </w:pPr>
            <w:r>
              <w:rPr>
                <w:rFonts w:ascii="Times New Roman" w:hAnsi="Times New Roman"/>
                <w:color w:val="auto"/>
                <w:sz w:val="24"/>
                <w:highlight w:val="none"/>
              </w:rPr>
              <w:t>B—</w:t>
            </w:r>
            <w:r>
              <w:rPr>
                <w:rFonts w:hint="eastAsia" w:ascii="Times New Roman" w:hAnsi="Times New Roman"/>
                <w:color w:val="auto"/>
                <w:sz w:val="24"/>
                <w:highlight w:val="none"/>
              </w:rPr>
              <w:t>是接收点与屏障顶端的距离；</w:t>
            </w:r>
          </w:p>
          <w:p w14:paraId="547E35AC">
            <w:pPr>
              <w:spacing w:line="360" w:lineRule="auto"/>
              <w:ind w:firstLine="1200" w:firstLineChars="500"/>
              <w:rPr>
                <w:rFonts w:ascii="Times New Roman" w:hAnsi="Times New Roman"/>
                <w:color w:val="auto"/>
                <w:sz w:val="24"/>
                <w:highlight w:val="none"/>
              </w:rPr>
            </w:pPr>
            <w:r>
              <w:rPr>
                <w:rFonts w:ascii="Times New Roman" w:hAnsi="Times New Roman"/>
                <w:color w:val="auto"/>
                <w:sz w:val="24"/>
                <w:highlight w:val="none"/>
              </w:rPr>
              <w:t>d—</w:t>
            </w:r>
            <w:r>
              <w:rPr>
                <w:rFonts w:hint="eastAsia" w:ascii="Times New Roman" w:hAnsi="Times New Roman"/>
                <w:color w:val="auto"/>
                <w:sz w:val="24"/>
                <w:highlight w:val="none"/>
              </w:rPr>
              <w:t>是声源与接收点间的距离；</w:t>
            </w:r>
          </w:p>
          <w:p w14:paraId="5945F1E0">
            <w:pPr>
              <w:spacing w:line="360" w:lineRule="auto"/>
              <w:ind w:firstLine="1200" w:firstLineChars="500"/>
              <w:rPr>
                <w:rFonts w:ascii="Times New Roman" w:hAnsi="Times New Roman"/>
                <w:color w:val="auto"/>
                <w:sz w:val="24"/>
                <w:highlight w:val="none"/>
              </w:rPr>
            </w:pPr>
            <w:r>
              <w:rPr>
                <w:rFonts w:ascii="Times New Roman" w:hAnsi="Times New Roman"/>
                <w:color w:val="auto"/>
                <w:sz w:val="24"/>
                <w:highlight w:val="none"/>
              </w:rPr>
              <w:t>λ—</w:t>
            </w:r>
            <w:r>
              <w:rPr>
                <w:rFonts w:hint="eastAsia" w:ascii="Times New Roman" w:hAnsi="Times New Roman"/>
                <w:color w:val="auto"/>
                <w:sz w:val="24"/>
                <w:highlight w:val="none"/>
              </w:rPr>
              <w:t>波长。</w:t>
            </w:r>
          </w:p>
          <w:p w14:paraId="12B76B0A">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4</w:t>
            </w:r>
            <w:r>
              <w:rPr>
                <w:rFonts w:hint="eastAsia" w:ascii="Times New Roman" w:hAnsi="Times New Roman"/>
                <w:color w:val="auto"/>
                <w:sz w:val="24"/>
                <w:highlight w:val="none"/>
              </w:rPr>
              <w:t>）空气吸收引起的衰减（</w:t>
            </w:r>
            <w:r>
              <w:rPr>
                <w:rFonts w:ascii="Times New Roman" w:hAnsi="Times New Roman"/>
                <w:color w:val="auto"/>
                <w:sz w:val="24"/>
                <w:highlight w:val="none"/>
              </w:rPr>
              <w:t>Aatm</w:t>
            </w:r>
            <w:r>
              <w:rPr>
                <w:rFonts w:hint="eastAsia" w:ascii="Times New Roman" w:hAnsi="Times New Roman"/>
                <w:color w:val="auto"/>
                <w:sz w:val="24"/>
                <w:highlight w:val="none"/>
              </w:rPr>
              <w:t>）空气吸收引起的衰减按以下公式计算：</w:t>
            </w:r>
          </w:p>
          <w:p w14:paraId="5A959914">
            <w:pPr>
              <w:spacing w:line="360" w:lineRule="auto"/>
              <w:jc w:val="center"/>
              <w:rPr>
                <w:rFonts w:ascii="Times New Roman" w:hAnsi="Times New Roman"/>
                <w:color w:val="auto"/>
                <w:sz w:val="24"/>
                <w:highlight w:val="none"/>
              </w:rPr>
            </w:pPr>
            <w:r>
              <w:rPr>
                <w:rFonts w:ascii="Times New Roman" w:hAnsi="Times New Roman"/>
                <w:color w:val="auto"/>
                <w:sz w:val="24"/>
                <w:szCs w:val="24"/>
                <w:highlight w:val="none"/>
              </w:rPr>
              <w:drawing>
                <wp:inline distT="0" distB="0" distL="114300" distR="114300">
                  <wp:extent cx="1330325" cy="478155"/>
                  <wp:effectExtent l="0" t="0" r="3175" b="17145"/>
                  <wp:docPr id="103"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04"/>
                          <pic:cNvPicPr>
                            <a:picLocks noChangeAspect="1"/>
                          </pic:cNvPicPr>
                        </pic:nvPicPr>
                        <pic:blipFill>
                          <a:blip r:embed="rId17"/>
                          <a:stretch>
                            <a:fillRect/>
                          </a:stretch>
                        </pic:blipFill>
                        <pic:spPr>
                          <a:xfrm>
                            <a:off x="0" y="0"/>
                            <a:ext cx="1330325" cy="478155"/>
                          </a:xfrm>
                          <a:prstGeom prst="rect">
                            <a:avLst/>
                          </a:prstGeom>
                          <a:noFill/>
                          <a:ln>
                            <a:noFill/>
                          </a:ln>
                        </pic:spPr>
                      </pic:pic>
                    </a:graphicData>
                  </a:graphic>
                </wp:inline>
              </w:drawing>
            </w:r>
          </w:p>
          <w:p w14:paraId="1BDA0754">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式中：</w:t>
            </w:r>
            <w:r>
              <w:rPr>
                <w:rFonts w:ascii="Times New Roman" w:hAnsi="Times New Roman"/>
                <w:color w:val="auto"/>
                <w:sz w:val="24"/>
                <w:highlight w:val="none"/>
              </w:rPr>
              <w:t>a</w:t>
            </w:r>
            <w:r>
              <w:rPr>
                <w:rFonts w:hint="eastAsia" w:ascii="Times New Roman" w:hAnsi="Times New Roman"/>
                <w:color w:val="auto"/>
                <w:sz w:val="24"/>
                <w:highlight w:val="none"/>
              </w:rPr>
              <w:t>为温度、湿度和声波频率的函数，预测计算中一般根据建设项目所处区域常年平均气温和湿度选择相应的空气吸收系数，见</w:t>
            </w:r>
            <w:r>
              <w:rPr>
                <w:rFonts w:hint="eastAsia"/>
                <w:color w:val="auto"/>
                <w:sz w:val="24"/>
                <w:highlight w:val="none"/>
                <w:lang w:val="en-US" w:eastAsia="zh-CN"/>
              </w:rPr>
              <w:t>下表</w:t>
            </w:r>
            <w:r>
              <w:rPr>
                <w:rFonts w:hint="eastAsia" w:ascii="Times New Roman" w:hAnsi="Times New Roman"/>
                <w:color w:val="auto"/>
                <w:sz w:val="24"/>
                <w:highlight w:val="none"/>
              </w:rPr>
              <w:t>。</w:t>
            </w:r>
          </w:p>
          <w:p w14:paraId="0C846A1C">
            <w:pPr>
              <w:pStyle w:val="22"/>
              <w:keepNext w:val="0"/>
              <w:keepLines w:val="0"/>
              <w:pageBreakBefore w:val="0"/>
              <w:widowControl w:val="0"/>
              <w:numPr>
                <w:ilvl w:val="0"/>
                <w:numId w:val="8"/>
              </w:numPr>
              <w:kinsoku/>
              <w:wordWrap/>
              <w:overflowPunct/>
              <w:topLinePunct w:val="0"/>
              <w:autoSpaceDE/>
              <w:autoSpaceDN/>
              <w:bidi w:val="0"/>
              <w:adjustRightInd/>
              <w:snapToGrid/>
              <w:spacing w:before="0" w:after="0" w:line="240" w:lineRule="auto"/>
              <w:textAlignment w:val="auto"/>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倍频带噪声的大气吸收衰减系数</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834"/>
              <w:gridCol w:w="629"/>
              <w:gridCol w:w="696"/>
              <w:gridCol w:w="696"/>
              <w:gridCol w:w="696"/>
              <w:gridCol w:w="834"/>
              <w:gridCol w:w="834"/>
              <w:gridCol w:w="834"/>
              <w:gridCol w:w="919"/>
            </w:tblGrid>
            <w:tr w14:paraId="104E47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5" w:type="pct"/>
                  <w:vMerge w:val="restart"/>
                  <w:tcBorders>
                    <w:tl2br w:val="nil"/>
                    <w:tr2bl w:val="nil"/>
                  </w:tcBorders>
                  <w:noWrap w:val="0"/>
                  <w:vAlign w:val="center"/>
                </w:tcPr>
                <w:p w14:paraId="491D62B8">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温度℃</w:t>
                  </w:r>
                </w:p>
              </w:tc>
              <w:tc>
                <w:tcPr>
                  <w:tcW w:w="516" w:type="pct"/>
                  <w:vMerge w:val="restart"/>
                  <w:tcBorders>
                    <w:tl2br w:val="nil"/>
                    <w:tr2bl w:val="nil"/>
                  </w:tcBorders>
                  <w:noWrap w:val="0"/>
                  <w:vAlign w:val="center"/>
                </w:tcPr>
                <w:p w14:paraId="34F7A582">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相对</w:t>
                  </w:r>
                </w:p>
                <w:p w14:paraId="2AC7543A">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湿度</w:t>
                  </w:r>
                </w:p>
                <w:p w14:paraId="294F75CA">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3797" w:type="pct"/>
                  <w:gridSpan w:val="8"/>
                  <w:tcBorders>
                    <w:tl2br w:val="nil"/>
                    <w:tr2bl w:val="nil"/>
                  </w:tcBorders>
                  <w:noWrap w:val="0"/>
                  <w:vAlign w:val="center"/>
                </w:tcPr>
                <w:p w14:paraId="4919DEE4">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大气吸收衰减系数a，dB/km</w:t>
                  </w:r>
                </w:p>
              </w:tc>
            </w:tr>
            <w:tr w14:paraId="50A086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5" w:type="pct"/>
                  <w:vMerge w:val="continue"/>
                  <w:tcBorders>
                    <w:tl2br w:val="nil"/>
                    <w:tr2bl w:val="nil"/>
                  </w:tcBorders>
                  <w:noWrap w:val="0"/>
                  <w:vAlign w:val="center"/>
                </w:tcPr>
                <w:p w14:paraId="69BBDE87">
                  <w:pPr>
                    <w:widowControl/>
                    <w:spacing w:line="240" w:lineRule="exact"/>
                    <w:jc w:val="left"/>
                    <w:rPr>
                      <w:rFonts w:hint="default" w:ascii="Times New Roman" w:hAnsi="Times New Roman" w:eastAsia="宋体" w:cs="Times New Roman"/>
                      <w:color w:val="auto"/>
                      <w:sz w:val="21"/>
                      <w:szCs w:val="21"/>
                      <w:highlight w:val="none"/>
                    </w:rPr>
                  </w:pPr>
                </w:p>
              </w:tc>
              <w:tc>
                <w:tcPr>
                  <w:tcW w:w="516" w:type="pct"/>
                  <w:vMerge w:val="continue"/>
                  <w:tcBorders>
                    <w:tl2br w:val="nil"/>
                    <w:tr2bl w:val="nil"/>
                  </w:tcBorders>
                  <w:noWrap w:val="0"/>
                  <w:vAlign w:val="center"/>
                </w:tcPr>
                <w:p w14:paraId="1994BEED">
                  <w:pPr>
                    <w:widowControl/>
                    <w:spacing w:line="240" w:lineRule="exact"/>
                    <w:jc w:val="left"/>
                    <w:rPr>
                      <w:rFonts w:hint="default" w:ascii="Times New Roman" w:hAnsi="Times New Roman" w:eastAsia="宋体" w:cs="Times New Roman"/>
                      <w:color w:val="auto"/>
                      <w:sz w:val="21"/>
                      <w:szCs w:val="21"/>
                      <w:highlight w:val="none"/>
                    </w:rPr>
                  </w:pPr>
                </w:p>
              </w:tc>
              <w:tc>
                <w:tcPr>
                  <w:tcW w:w="3797" w:type="pct"/>
                  <w:gridSpan w:val="8"/>
                  <w:tcBorders>
                    <w:tl2br w:val="nil"/>
                    <w:tr2bl w:val="nil"/>
                  </w:tcBorders>
                  <w:noWrap w:val="0"/>
                  <w:vAlign w:val="center"/>
                </w:tcPr>
                <w:p w14:paraId="27AC52CA">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倍频带中心频率，Hz</w:t>
                  </w:r>
                </w:p>
              </w:tc>
            </w:tr>
            <w:tr w14:paraId="2C25BB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5" w:type="pct"/>
                  <w:vMerge w:val="continue"/>
                  <w:tcBorders>
                    <w:tl2br w:val="nil"/>
                    <w:tr2bl w:val="nil"/>
                  </w:tcBorders>
                  <w:noWrap w:val="0"/>
                  <w:vAlign w:val="center"/>
                </w:tcPr>
                <w:p w14:paraId="450D6013">
                  <w:pPr>
                    <w:widowControl/>
                    <w:spacing w:line="240" w:lineRule="exact"/>
                    <w:jc w:val="left"/>
                    <w:rPr>
                      <w:rFonts w:hint="default" w:ascii="Times New Roman" w:hAnsi="Times New Roman" w:eastAsia="宋体" w:cs="Times New Roman"/>
                      <w:color w:val="auto"/>
                      <w:sz w:val="21"/>
                      <w:szCs w:val="21"/>
                      <w:highlight w:val="none"/>
                    </w:rPr>
                  </w:pPr>
                </w:p>
              </w:tc>
              <w:tc>
                <w:tcPr>
                  <w:tcW w:w="516" w:type="pct"/>
                  <w:vMerge w:val="continue"/>
                  <w:tcBorders>
                    <w:tl2br w:val="nil"/>
                    <w:tr2bl w:val="nil"/>
                  </w:tcBorders>
                  <w:noWrap w:val="0"/>
                  <w:vAlign w:val="center"/>
                </w:tcPr>
                <w:p w14:paraId="6FCF1C67">
                  <w:pPr>
                    <w:widowControl/>
                    <w:spacing w:line="240" w:lineRule="exact"/>
                    <w:jc w:val="left"/>
                    <w:rPr>
                      <w:rFonts w:hint="default" w:ascii="Times New Roman" w:hAnsi="Times New Roman" w:eastAsia="宋体" w:cs="Times New Roman"/>
                      <w:color w:val="auto"/>
                      <w:sz w:val="21"/>
                      <w:szCs w:val="21"/>
                      <w:highlight w:val="none"/>
                    </w:rPr>
                  </w:pPr>
                </w:p>
              </w:tc>
              <w:tc>
                <w:tcPr>
                  <w:tcW w:w="389" w:type="pct"/>
                  <w:tcBorders>
                    <w:tl2br w:val="nil"/>
                    <w:tr2bl w:val="nil"/>
                  </w:tcBorders>
                  <w:noWrap w:val="0"/>
                  <w:vAlign w:val="center"/>
                </w:tcPr>
                <w:p w14:paraId="379FB4A0">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w:t>
                  </w:r>
                </w:p>
              </w:tc>
              <w:tc>
                <w:tcPr>
                  <w:tcW w:w="431" w:type="pct"/>
                  <w:tcBorders>
                    <w:tl2br w:val="nil"/>
                    <w:tr2bl w:val="nil"/>
                  </w:tcBorders>
                  <w:noWrap w:val="0"/>
                  <w:vAlign w:val="center"/>
                </w:tcPr>
                <w:p w14:paraId="24EF7242">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125</w:t>
                  </w:r>
                </w:p>
              </w:tc>
              <w:tc>
                <w:tcPr>
                  <w:tcW w:w="431" w:type="pct"/>
                  <w:tcBorders>
                    <w:tl2br w:val="nil"/>
                    <w:tr2bl w:val="nil"/>
                  </w:tcBorders>
                  <w:noWrap w:val="0"/>
                  <w:vAlign w:val="center"/>
                </w:tcPr>
                <w:p w14:paraId="65FBD78F">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250</w:t>
                  </w:r>
                </w:p>
              </w:tc>
              <w:tc>
                <w:tcPr>
                  <w:tcW w:w="431" w:type="pct"/>
                  <w:tcBorders>
                    <w:tl2br w:val="nil"/>
                    <w:tr2bl w:val="nil"/>
                  </w:tcBorders>
                  <w:noWrap w:val="0"/>
                  <w:vAlign w:val="center"/>
                </w:tcPr>
                <w:p w14:paraId="79612C6A">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516" w:type="pct"/>
                  <w:tcBorders>
                    <w:tl2br w:val="nil"/>
                    <w:tr2bl w:val="nil"/>
                  </w:tcBorders>
                  <w:noWrap w:val="0"/>
                  <w:vAlign w:val="center"/>
                </w:tcPr>
                <w:p w14:paraId="296FDBCB">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1000</w:t>
                  </w:r>
                </w:p>
              </w:tc>
              <w:tc>
                <w:tcPr>
                  <w:tcW w:w="516" w:type="pct"/>
                  <w:tcBorders>
                    <w:tl2br w:val="nil"/>
                    <w:tr2bl w:val="nil"/>
                  </w:tcBorders>
                  <w:noWrap w:val="0"/>
                  <w:vAlign w:val="center"/>
                </w:tcPr>
                <w:p w14:paraId="6CED8207">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2000</w:t>
                  </w:r>
                </w:p>
              </w:tc>
              <w:tc>
                <w:tcPr>
                  <w:tcW w:w="516" w:type="pct"/>
                  <w:tcBorders>
                    <w:tl2br w:val="nil"/>
                    <w:tr2bl w:val="nil"/>
                  </w:tcBorders>
                  <w:noWrap w:val="0"/>
                  <w:vAlign w:val="center"/>
                </w:tcPr>
                <w:p w14:paraId="3E3D7F85">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4000</w:t>
                  </w:r>
                </w:p>
              </w:tc>
              <w:tc>
                <w:tcPr>
                  <w:tcW w:w="566" w:type="pct"/>
                  <w:tcBorders>
                    <w:tl2br w:val="nil"/>
                    <w:tr2bl w:val="nil"/>
                  </w:tcBorders>
                  <w:noWrap w:val="0"/>
                  <w:vAlign w:val="center"/>
                </w:tcPr>
                <w:p w14:paraId="36F6BF5D">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8000</w:t>
                  </w:r>
                </w:p>
              </w:tc>
            </w:tr>
            <w:tr w14:paraId="2BAF3C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5" w:type="pct"/>
                  <w:tcBorders>
                    <w:tl2br w:val="nil"/>
                    <w:tr2bl w:val="nil"/>
                  </w:tcBorders>
                  <w:noWrap w:val="0"/>
                  <w:vAlign w:val="center"/>
                </w:tcPr>
                <w:p w14:paraId="74694C23">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516" w:type="pct"/>
                  <w:tcBorders>
                    <w:tl2br w:val="nil"/>
                    <w:tr2bl w:val="nil"/>
                  </w:tcBorders>
                  <w:noWrap w:val="0"/>
                  <w:vAlign w:val="center"/>
                </w:tcPr>
                <w:p w14:paraId="27074B64">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389" w:type="pct"/>
                  <w:tcBorders>
                    <w:tl2br w:val="nil"/>
                    <w:tr2bl w:val="nil"/>
                  </w:tcBorders>
                  <w:noWrap w:val="0"/>
                  <w:vAlign w:val="center"/>
                </w:tcPr>
                <w:p w14:paraId="4796C912">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w:t>
                  </w:r>
                </w:p>
              </w:tc>
              <w:tc>
                <w:tcPr>
                  <w:tcW w:w="431" w:type="pct"/>
                  <w:tcBorders>
                    <w:tl2br w:val="nil"/>
                    <w:tr2bl w:val="nil"/>
                  </w:tcBorders>
                  <w:noWrap w:val="0"/>
                  <w:vAlign w:val="center"/>
                </w:tcPr>
                <w:p w14:paraId="63BE3DE7">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w:t>
                  </w:r>
                </w:p>
              </w:tc>
              <w:tc>
                <w:tcPr>
                  <w:tcW w:w="431" w:type="pct"/>
                  <w:tcBorders>
                    <w:tl2br w:val="nil"/>
                    <w:tr2bl w:val="nil"/>
                  </w:tcBorders>
                  <w:noWrap w:val="0"/>
                  <w:vAlign w:val="center"/>
                </w:tcPr>
                <w:p w14:paraId="06EB0472">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31" w:type="pct"/>
                  <w:tcBorders>
                    <w:tl2br w:val="nil"/>
                    <w:tr2bl w:val="nil"/>
                  </w:tcBorders>
                  <w:noWrap w:val="0"/>
                  <w:vAlign w:val="center"/>
                </w:tcPr>
                <w:p w14:paraId="71F24CDB">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516" w:type="pct"/>
                  <w:tcBorders>
                    <w:tl2br w:val="nil"/>
                    <w:tr2bl w:val="nil"/>
                  </w:tcBorders>
                  <w:noWrap w:val="0"/>
                  <w:vAlign w:val="center"/>
                </w:tcPr>
                <w:p w14:paraId="1DB3B2ED">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516" w:type="pct"/>
                  <w:tcBorders>
                    <w:tl2br w:val="nil"/>
                    <w:tr2bl w:val="nil"/>
                  </w:tcBorders>
                  <w:noWrap w:val="0"/>
                  <w:vAlign w:val="center"/>
                </w:tcPr>
                <w:p w14:paraId="3EC98799">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9.7</w:t>
                  </w:r>
                </w:p>
              </w:tc>
              <w:tc>
                <w:tcPr>
                  <w:tcW w:w="516" w:type="pct"/>
                  <w:tcBorders>
                    <w:tl2br w:val="nil"/>
                    <w:tr2bl w:val="nil"/>
                  </w:tcBorders>
                  <w:noWrap w:val="0"/>
                  <w:vAlign w:val="center"/>
                </w:tcPr>
                <w:p w14:paraId="32440A27">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32.8</w:t>
                  </w:r>
                </w:p>
              </w:tc>
              <w:tc>
                <w:tcPr>
                  <w:tcW w:w="566" w:type="pct"/>
                  <w:tcBorders>
                    <w:tl2br w:val="nil"/>
                    <w:tr2bl w:val="nil"/>
                  </w:tcBorders>
                  <w:noWrap w:val="0"/>
                  <w:vAlign w:val="center"/>
                </w:tcPr>
                <w:p w14:paraId="6A5F1F16">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117.0</w:t>
                  </w:r>
                </w:p>
              </w:tc>
            </w:tr>
            <w:tr w14:paraId="2A505C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5" w:type="pct"/>
                  <w:tcBorders>
                    <w:tl2br w:val="nil"/>
                    <w:tr2bl w:val="nil"/>
                  </w:tcBorders>
                  <w:noWrap w:val="0"/>
                  <w:vAlign w:val="center"/>
                </w:tcPr>
                <w:p w14:paraId="65D3E6C4">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516" w:type="pct"/>
                  <w:tcBorders>
                    <w:tl2br w:val="nil"/>
                    <w:tr2bl w:val="nil"/>
                  </w:tcBorders>
                  <w:noWrap w:val="0"/>
                  <w:vAlign w:val="center"/>
                </w:tcPr>
                <w:p w14:paraId="345965A5">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389" w:type="pct"/>
                  <w:tcBorders>
                    <w:tl2br w:val="nil"/>
                    <w:tr2bl w:val="nil"/>
                  </w:tcBorders>
                  <w:noWrap w:val="0"/>
                  <w:vAlign w:val="center"/>
                </w:tcPr>
                <w:p w14:paraId="1FF74406">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w:t>
                  </w:r>
                </w:p>
              </w:tc>
              <w:tc>
                <w:tcPr>
                  <w:tcW w:w="431" w:type="pct"/>
                  <w:tcBorders>
                    <w:tl2br w:val="nil"/>
                    <w:tr2bl w:val="nil"/>
                  </w:tcBorders>
                  <w:noWrap w:val="0"/>
                  <w:vAlign w:val="center"/>
                </w:tcPr>
                <w:p w14:paraId="248959D3">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w:t>
                  </w:r>
                </w:p>
              </w:tc>
              <w:tc>
                <w:tcPr>
                  <w:tcW w:w="431" w:type="pct"/>
                  <w:tcBorders>
                    <w:tl2br w:val="nil"/>
                    <w:tr2bl w:val="nil"/>
                  </w:tcBorders>
                  <w:noWrap w:val="0"/>
                  <w:vAlign w:val="center"/>
                </w:tcPr>
                <w:p w14:paraId="342CF98A">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31" w:type="pct"/>
                  <w:tcBorders>
                    <w:tl2br w:val="nil"/>
                    <w:tr2bl w:val="nil"/>
                  </w:tcBorders>
                  <w:noWrap w:val="0"/>
                  <w:vAlign w:val="center"/>
                </w:tcPr>
                <w:p w14:paraId="568F6B9A">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516" w:type="pct"/>
                  <w:tcBorders>
                    <w:tl2br w:val="nil"/>
                    <w:tr2bl w:val="nil"/>
                  </w:tcBorders>
                  <w:noWrap w:val="0"/>
                  <w:vAlign w:val="center"/>
                </w:tcPr>
                <w:p w14:paraId="05F3DCE5">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516" w:type="pct"/>
                  <w:tcBorders>
                    <w:tl2br w:val="nil"/>
                    <w:tr2bl w:val="nil"/>
                  </w:tcBorders>
                  <w:noWrap w:val="0"/>
                  <w:vAlign w:val="center"/>
                </w:tcPr>
                <w:p w14:paraId="620A071B">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516" w:type="pct"/>
                  <w:tcBorders>
                    <w:tl2br w:val="nil"/>
                    <w:tr2bl w:val="nil"/>
                  </w:tcBorders>
                  <w:noWrap w:val="0"/>
                  <w:vAlign w:val="center"/>
                </w:tcPr>
                <w:p w14:paraId="6388DA4D">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22.9</w:t>
                  </w:r>
                </w:p>
              </w:tc>
              <w:tc>
                <w:tcPr>
                  <w:tcW w:w="566" w:type="pct"/>
                  <w:tcBorders>
                    <w:tl2br w:val="nil"/>
                    <w:tr2bl w:val="nil"/>
                  </w:tcBorders>
                  <w:noWrap w:val="0"/>
                  <w:vAlign w:val="center"/>
                </w:tcPr>
                <w:p w14:paraId="63A2CDC3">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76.6</w:t>
                  </w:r>
                </w:p>
              </w:tc>
            </w:tr>
            <w:tr w14:paraId="20E269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5" w:type="pct"/>
                  <w:tcBorders>
                    <w:tl2br w:val="nil"/>
                    <w:tr2bl w:val="nil"/>
                  </w:tcBorders>
                  <w:noWrap w:val="0"/>
                  <w:vAlign w:val="center"/>
                </w:tcPr>
                <w:p w14:paraId="5A8880EB">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516" w:type="pct"/>
                  <w:tcBorders>
                    <w:tl2br w:val="nil"/>
                    <w:tr2bl w:val="nil"/>
                  </w:tcBorders>
                  <w:noWrap w:val="0"/>
                  <w:vAlign w:val="center"/>
                </w:tcPr>
                <w:p w14:paraId="1064E3FD">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389" w:type="pct"/>
                  <w:tcBorders>
                    <w:tl2br w:val="nil"/>
                    <w:tr2bl w:val="nil"/>
                  </w:tcBorders>
                  <w:noWrap w:val="0"/>
                  <w:vAlign w:val="center"/>
                </w:tcPr>
                <w:p w14:paraId="6791E868">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w:t>
                  </w:r>
                </w:p>
              </w:tc>
              <w:tc>
                <w:tcPr>
                  <w:tcW w:w="431" w:type="pct"/>
                  <w:tcBorders>
                    <w:tl2br w:val="nil"/>
                    <w:tr2bl w:val="nil"/>
                  </w:tcBorders>
                  <w:noWrap w:val="0"/>
                  <w:vAlign w:val="center"/>
                </w:tcPr>
                <w:p w14:paraId="354315F6">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w:t>
                  </w:r>
                </w:p>
              </w:tc>
              <w:tc>
                <w:tcPr>
                  <w:tcW w:w="431" w:type="pct"/>
                  <w:tcBorders>
                    <w:tl2br w:val="nil"/>
                    <w:tr2bl w:val="nil"/>
                  </w:tcBorders>
                  <w:noWrap w:val="0"/>
                  <w:vAlign w:val="center"/>
                </w:tcPr>
                <w:p w14:paraId="3DDE8124">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31" w:type="pct"/>
                  <w:tcBorders>
                    <w:tl2br w:val="nil"/>
                    <w:tr2bl w:val="nil"/>
                  </w:tcBorders>
                  <w:noWrap w:val="0"/>
                  <w:vAlign w:val="center"/>
                </w:tcPr>
                <w:p w14:paraId="5BFE90B8">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516" w:type="pct"/>
                  <w:tcBorders>
                    <w:tl2br w:val="nil"/>
                    <w:tr2bl w:val="nil"/>
                  </w:tcBorders>
                  <w:noWrap w:val="0"/>
                  <w:vAlign w:val="center"/>
                </w:tcPr>
                <w:p w14:paraId="5B892A5E">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516" w:type="pct"/>
                  <w:tcBorders>
                    <w:tl2br w:val="nil"/>
                    <w:tr2bl w:val="nil"/>
                  </w:tcBorders>
                  <w:noWrap w:val="0"/>
                  <w:vAlign w:val="center"/>
                </w:tcPr>
                <w:p w14:paraId="69B50F4A">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12.7</w:t>
                  </w:r>
                </w:p>
              </w:tc>
              <w:tc>
                <w:tcPr>
                  <w:tcW w:w="516" w:type="pct"/>
                  <w:tcBorders>
                    <w:tl2br w:val="nil"/>
                    <w:tr2bl w:val="nil"/>
                  </w:tcBorders>
                  <w:noWrap w:val="0"/>
                  <w:vAlign w:val="center"/>
                </w:tcPr>
                <w:p w14:paraId="278B3FEB">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w:t>
                  </w:r>
                </w:p>
              </w:tc>
              <w:tc>
                <w:tcPr>
                  <w:tcW w:w="566" w:type="pct"/>
                  <w:tcBorders>
                    <w:tl2br w:val="nil"/>
                    <w:tr2bl w:val="nil"/>
                  </w:tcBorders>
                  <w:noWrap w:val="0"/>
                  <w:vAlign w:val="center"/>
                </w:tcPr>
                <w:p w14:paraId="3A5BBBC1">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59.3</w:t>
                  </w:r>
                </w:p>
              </w:tc>
            </w:tr>
            <w:tr w14:paraId="6BA48D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5" w:type="pct"/>
                  <w:tcBorders>
                    <w:tl2br w:val="nil"/>
                    <w:tr2bl w:val="nil"/>
                  </w:tcBorders>
                  <w:noWrap w:val="0"/>
                  <w:vAlign w:val="center"/>
                </w:tcPr>
                <w:p w14:paraId="590977C1">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516" w:type="pct"/>
                  <w:tcBorders>
                    <w:tl2br w:val="nil"/>
                    <w:tr2bl w:val="nil"/>
                  </w:tcBorders>
                  <w:noWrap w:val="0"/>
                  <w:vAlign w:val="center"/>
                </w:tcPr>
                <w:p w14:paraId="4F651C51">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389" w:type="pct"/>
                  <w:tcBorders>
                    <w:tl2br w:val="nil"/>
                    <w:tr2bl w:val="nil"/>
                  </w:tcBorders>
                  <w:noWrap w:val="0"/>
                  <w:vAlign w:val="center"/>
                </w:tcPr>
                <w:p w14:paraId="0E9DA8F2">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w:t>
                  </w:r>
                </w:p>
              </w:tc>
              <w:tc>
                <w:tcPr>
                  <w:tcW w:w="431" w:type="pct"/>
                  <w:tcBorders>
                    <w:tl2br w:val="nil"/>
                    <w:tr2bl w:val="nil"/>
                  </w:tcBorders>
                  <w:noWrap w:val="0"/>
                  <w:vAlign w:val="center"/>
                </w:tcPr>
                <w:p w14:paraId="244FCC2C">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0.6</w:t>
                  </w:r>
                </w:p>
              </w:tc>
              <w:tc>
                <w:tcPr>
                  <w:tcW w:w="431" w:type="pct"/>
                  <w:tcBorders>
                    <w:tl2br w:val="nil"/>
                    <w:tr2bl w:val="nil"/>
                  </w:tcBorders>
                  <w:noWrap w:val="0"/>
                  <w:vAlign w:val="center"/>
                </w:tcPr>
                <w:p w14:paraId="6294708A">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31" w:type="pct"/>
                  <w:tcBorders>
                    <w:tl2br w:val="nil"/>
                    <w:tr2bl w:val="nil"/>
                  </w:tcBorders>
                  <w:noWrap w:val="0"/>
                  <w:vAlign w:val="center"/>
                </w:tcPr>
                <w:p w14:paraId="37B0E359">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516" w:type="pct"/>
                  <w:tcBorders>
                    <w:tl2br w:val="nil"/>
                    <w:tr2bl w:val="nil"/>
                  </w:tcBorders>
                  <w:noWrap w:val="0"/>
                  <w:vAlign w:val="center"/>
                </w:tcPr>
                <w:p w14:paraId="0B792551">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w:t>
                  </w:r>
                </w:p>
              </w:tc>
              <w:tc>
                <w:tcPr>
                  <w:tcW w:w="516" w:type="pct"/>
                  <w:tcBorders>
                    <w:tl2br w:val="nil"/>
                    <w:tr2bl w:val="nil"/>
                  </w:tcBorders>
                  <w:noWrap w:val="0"/>
                  <w:vAlign w:val="center"/>
                </w:tcPr>
                <w:p w14:paraId="47EBEB60">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28.2</w:t>
                  </w:r>
                </w:p>
              </w:tc>
              <w:tc>
                <w:tcPr>
                  <w:tcW w:w="516" w:type="pct"/>
                  <w:tcBorders>
                    <w:tl2br w:val="nil"/>
                    <w:tr2bl w:val="nil"/>
                  </w:tcBorders>
                  <w:noWrap w:val="0"/>
                  <w:vAlign w:val="center"/>
                </w:tcPr>
                <w:p w14:paraId="76BB6B88">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28.8</w:t>
                  </w:r>
                </w:p>
              </w:tc>
              <w:tc>
                <w:tcPr>
                  <w:tcW w:w="566" w:type="pct"/>
                  <w:tcBorders>
                    <w:tl2br w:val="nil"/>
                    <w:tr2bl w:val="nil"/>
                  </w:tcBorders>
                  <w:noWrap w:val="0"/>
                  <w:vAlign w:val="center"/>
                </w:tcPr>
                <w:p w14:paraId="3922F024">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202.0</w:t>
                  </w:r>
                </w:p>
              </w:tc>
            </w:tr>
            <w:tr w14:paraId="28F766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5" w:type="pct"/>
                  <w:tcBorders>
                    <w:tl2br w:val="nil"/>
                    <w:tr2bl w:val="nil"/>
                  </w:tcBorders>
                  <w:noWrap w:val="0"/>
                  <w:vAlign w:val="center"/>
                </w:tcPr>
                <w:p w14:paraId="13B77833">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516" w:type="pct"/>
                  <w:tcBorders>
                    <w:tl2br w:val="nil"/>
                    <w:tr2bl w:val="nil"/>
                  </w:tcBorders>
                  <w:noWrap w:val="0"/>
                  <w:vAlign w:val="center"/>
                </w:tcPr>
                <w:p w14:paraId="01548926">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389" w:type="pct"/>
                  <w:tcBorders>
                    <w:tl2br w:val="nil"/>
                    <w:tr2bl w:val="nil"/>
                  </w:tcBorders>
                  <w:noWrap w:val="0"/>
                  <w:vAlign w:val="center"/>
                </w:tcPr>
                <w:p w14:paraId="4D52E71A">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w:t>
                  </w:r>
                </w:p>
              </w:tc>
              <w:tc>
                <w:tcPr>
                  <w:tcW w:w="431" w:type="pct"/>
                  <w:tcBorders>
                    <w:tl2br w:val="nil"/>
                    <w:tr2bl w:val="nil"/>
                  </w:tcBorders>
                  <w:noWrap w:val="0"/>
                  <w:vAlign w:val="center"/>
                </w:tcPr>
                <w:p w14:paraId="11460657">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w:t>
                  </w:r>
                </w:p>
              </w:tc>
              <w:tc>
                <w:tcPr>
                  <w:tcW w:w="431" w:type="pct"/>
                  <w:tcBorders>
                    <w:tl2br w:val="nil"/>
                    <w:tr2bl w:val="nil"/>
                  </w:tcBorders>
                  <w:noWrap w:val="0"/>
                  <w:vAlign w:val="center"/>
                </w:tcPr>
                <w:p w14:paraId="26B599ED">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31" w:type="pct"/>
                  <w:tcBorders>
                    <w:tl2br w:val="nil"/>
                    <w:tr2bl w:val="nil"/>
                  </w:tcBorders>
                  <w:noWrap w:val="0"/>
                  <w:vAlign w:val="center"/>
                </w:tcPr>
                <w:p w14:paraId="445F693D">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516" w:type="pct"/>
                  <w:tcBorders>
                    <w:tl2br w:val="nil"/>
                    <w:tr2bl w:val="nil"/>
                  </w:tcBorders>
                  <w:noWrap w:val="0"/>
                  <w:vAlign w:val="center"/>
                </w:tcPr>
                <w:p w14:paraId="46ABBBD0">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516" w:type="pct"/>
                  <w:tcBorders>
                    <w:tl2br w:val="nil"/>
                    <w:tr2bl w:val="nil"/>
                  </w:tcBorders>
                  <w:noWrap w:val="0"/>
                  <w:vAlign w:val="center"/>
                </w:tcPr>
                <w:p w14:paraId="104D0C33">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10.8</w:t>
                  </w:r>
                </w:p>
              </w:tc>
              <w:tc>
                <w:tcPr>
                  <w:tcW w:w="516" w:type="pct"/>
                  <w:tcBorders>
                    <w:tl2br w:val="nil"/>
                    <w:tr2bl w:val="nil"/>
                  </w:tcBorders>
                  <w:noWrap w:val="0"/>
                  <w:vAlign w:val="center"/>
                </w:tcPr>
                <w:p w14:paraId="43563498">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36.2</w:t>
                  </w:r>
                </w:p>
              </w:tc>
              <w:tc>
                <w:tcPr>
                  <w:tcW w:w="566" w:type="pct"/>
                  <w:tcBorders>
                    <w:tl2br w:val="nil"/>
                    <w:tr2bl w:val="nil"/>
                  </w:tcBorders>
                  <w:noWrap w:val="0"/>
                  <w:vAlign w:val="center"/>
                </w:tcPr>
                <w:p w14:paraId="2DB564BC">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129.0</w:t>
                  </w:r>
                </w:p>
              </w:tc>
            </w:tr>
            <w:tr w14:paraId="4D198E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5" w:type="pct"/>
                  <w:tcBorders>
                    <w:tl2br w:val="nil"/>
                    <w:tr2bl w:val="nil"/>
                  </w:tcBorders>
                  <w:noWrap w:val="0"/>
                  <w:vAlign w:val="center"/>
                </w:tcPr>
                <w:p w14:paraId="10F44E6B">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516" w:type="pct"/>
                  <w:tcBorders>
                    <w:tl2br w:val="nil"/>
                    <w:tr2bl w:val="nil"/>
                  </w:tcBorders>
                  <w:noWrap w:val="0"/>
                  <w:vAlign w:val="center"/>
                </w:tcPr>
                <w:p w14:paraId="415D44AB">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389" w:type="pct"/>
                  <w:tcBorders>
                    <w:tl2br w:val="nil"/>
                    <w:tr2bl w:val="nil"/>
                  </w:tcBorders>
                  <w:noWrap w:val="0"/>
                  <w:vAlign w:val="center"/>
                </w:tcPr>
                <w:p w14:paraId="14348F0D">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w:t>
                  </w:r>
                </w:p>
              </w:tc>
              <w:tc>
                <w:tcPr>
                  <w:tcW w:w="431" w:type="pct"/>
                  <w:tcBorders>
                    <w:tl2br w:val="nil"/>
                    <w:tr2bl w:val="nil"/>
                  </w:tcBorders>
                  <w:noWrap w:val="0"/>
                  <w:vAlign w:val="center"/>
                </w:tcPr>
                <w:p w14:paraId="478D5B90">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w:t>
                  </w:r>
                </w:p>
              </w:tc>
              <w:tc>
                <w:tcPr>
                  <w:tcW w:w="431" w:type="pct"/>
                  <w:tcBorders>
                    <w:tl2br w:val="nil"/>
                    <w:tr2bl w:val="nil"/>
                  </w:tcBorders>
                  <w:noWrap w:val="0"/>
                  <w:vAlign w:val="center"/>
                </w:tcPr>
                <w:p w14:paraId="42BA1302">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31" w:type="pct"/>
                  <w:tcBorders>
                    <w:tl2br w:val="nil"/>
                    <w:tr2bl w:val="nil"/>
                  </w:tcBorders>
                  <w:noWrap w:val="0"/>
                  <w:vAlign w:val="center"/>
                </w:tcPr>
                <w:p w14:paraId="6E7A5295">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516" w:type="pct"/>
                  <w:tcBorders>
                    <w:tl2br w:val="nil"/>
                    <w:tr2bl w:val="nil"/>
                  </w:tcBorders>
                  <w:noWrap w:val="0"/>
                  <w:vAlign w:val="center"/>
                </w:tcPr>
                <w:p w14:paraId="017636F9">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516" w:type="pct"/>
                  <w:tcBorders>
                    <w:tl2br w:val="nil"/>
                    <w:tr2bl w:val="nil"/>
                  </w:tcBorders>
                  <w:noWrap w:val="0"/>
                  <w:vAlign w:val="center"/>
                </w:tcPr>
                <w:p w14:paraId="76B23193">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516" w:type="pct"/>
                  <w:tcBorders>
                    <w:tl2br w:val="nil"/>
                    <w:tr2bl w:val="nil"/>
                  </w:tcBorders>
                  <w:noWrap w:val="0"/>
                  <w:vAlign w:val="center"/>
                </w:tcPr>
                <w:p w14:paraId="37778E75">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23.7</w:t>
                  </w:r>
                </w:p>
              </w:tc>
              <w:tc>
                <w:tcPr>
                  <w:tcW w:w="566" w:type="pct"/>
                  <w:tcBorders>
                    <w:tl2br w:val="nil"/>
                    <w:tr2bl w:val="nil"/>
                  </w:tcBorders>
                  <w:noWrap w:val="0"/>
                  <w:vAlign w:val="center"/>
                </w:tcPr>
                <w:p w14:paraId="7764D13B">
                  <w:pPr>
                    <w:widowControl/>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82.8</w:t>
                  </w:r>
                </w:p>
              </w:tc>
            </w:tr>
            <w:tr w14:paraId="6A4160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10"/>
                  <w:tcBorders>
                    <w:tl2br w:val="nil"/>
                    <w:tr2bl w:val="nil"/>
                  </w:tcBorders>
                  <w:noWrap w:val="0"/>
                  <w:vAlign w:val="center"/>
                </w:tcPr>
                <w:p w14:paraId="7B15398C">
                  <w:pPr>
                    <w:widowControl/>
                    <w:spacing w:line="240" w:lineRule="exact"/>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注：参数选取项目所在区域的年平均温度为20℃，湿度为70%。计算过程考虑了建筑物的屏障作用和室内源向室外的传播。</w:t>
                  </w:r>
                </w:p>
              </w:tc>
            </w:tr>
          </w:tbl>
          <w:p w14:paraId="44A1E4F4">
            <w:pPr>
              <w:pStyle w:val="21"/>
              <w:rPr>
                <w:rFonts w:hint="eastAsia" w:ascii="Times New Roman" w:hAnsi="Times New Roman"/>
                <w:iCs/>
                <w:color w:val="auto"/>
                <w:kern w:val="0"/>
                <w:sz w:val="18"/>
                <w:szCs w:val="18"/>
                <w:highlight w:val="none"/>
              </w:rPr>
            </w:pPr>
          </w:p>
          <w:p w14:paraId="2A3E4D45">
            <w:pPr>
              <w:pStyle w:val="137"/>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4.2.3.4 噪声预测结果与评价</w:t>
            </w:r>
          </w:p>
          <w:p w14:paraId="1BC2F523">
            <w:pPr>
              <w:pStyle w:val="149"/>
              <w:ind w:firstLine="480"/>
              <w:rPr>
                <w:rFonts w:ascii="Times New Roman" w:hAnsi="Times New Roman"/>
                <w:color w:val="auto"/>
                <w:highlight w:val="none"/>
              </w:rPr>
            </w:pPr>
            <w:r>
              <w:rPr>
                <w:rFonts w:hint="eastAsia" w:ascii="Times New Roman" w:hAnsi="Times New Roman"/>
                <w:color w:val="auto"/>
                <w:sz w:val="24"/>
                <w:szCs w:val="24"/>
                <w:highlight w:val="none"/>
              </w:rPr>
              <w:t>根据噪声源分布情况，项目建成运行后的噪声进行预测，项目声环境贡献值预测结果见</w:t>
            </w:r>
            <w:r>
              <w:rPr>
                <w:rFonts w:ascii="Times New Roman" w:hAnsi="Times New Roman"/>
                <w:color w:val="auto"/>
                <w:highlight w:val="none"/>
              </w:rPr>
              <w:t>表</w:t>
            </w:r>
            <w:r>
              <w:rPr>
                <w:rFonts w:hint="eastAsia"/>
                <w:color w:val="auto"/>
                <w:highlight w:val="none"/>
                <w:lang w:val="en-US" w:eastAsia="zh-CN"/>
              </w:rPr>
              <w:t>34</w:t>
            </w:r>
            <w:r>
              <w:rPr>
                <w:rFonts w:ascii="Times New Roman" w:hAnsi="Times New Roman"/>
                <w:color w:val="auto"/>
                <w:highlight w:val="none"/>
              </w:rPr>
              <w:t>。</w:t>
            </w:r>
          </w:p>
          <w:p w14:paraId="50E269D5">
            <w:pPr>
              <w:pStyle w:val="22"/>
              <w:keepNext w:val="0"/>
              <w:keepLines w:val="0"/>
              <w:pageBreakBefore w:val="0"/>
              <w:widowControl w:val="0"/>
              <w:numPr>
                <w:ilvl w:val="0"/>
                <w:numId w:val="8"/>
              </w:numPr>
              <w:kinsoku/>
              <w:wordWrap/>
              <w:overflowPunct/>
              <w:topLinePunct w:val="0"/>
              <w:autoSpaceDE/>
              <w:autoSpaceDN/>
              <w:bidi w:val="0"/>
              <w:adjustRightInd/>
              <w:snapToGrid/>
              <w:spacing w:before="0" w:after="0" w:line="240" w:lineRule="auto"/>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 xml:space="preserve">噪声预测结果一览表 </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535"/>
              <w:gridCol w:w="797"/>
              <w:gridCol w:w="1849"/>
              <w:gridCol w:w="2189"/>
              <w:gridCol w:w="1319"/>
              <w:gridCol w:w="1390"/>
            </w:tblGrid>
            <w:tr w14:paraId="73293EA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31" w:type="pct"/>
                  <w:vMerge w:val="restart"/>
                  <w:tcBorders>
                    <w:tl2br w:val="nil"/>
                    <w:tr2bl w:val="nil"/>
                  </w:tcBorders>
                  <w:noWrap w:val="0"/>
                  <w:vAlign w:val="center"/>
                </w:tcPr>
                <w:p w14:paraId="3DBD36E5">
                  <w:pPr>
                    <w:pStyle w:val="201"/>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序号</w:t>
                  </w:r>
                </w:p>
              </w:tc>
              <w:tc>
                <w:tcPr>
                  <w:tcW w:w="493" w:type="pct"/>
                  <w:vMerge w:val="restart"/>
                  <w:tcBorders>
                    <w:tl2br w:val="nil"/>
                    <w:tr2bl w:val="nil"/>
                  </w:tcBorders>
                  <w:noWrap/>
                  <w:vAlign w:val="center"/>
                </w:tcPr>
                <w:p w14:paraId="3C327B94">
                  <w:pPr>
                    <w:pStyle w:val="201"/>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编号</w:t>
                  </w:r>
                </w:p>
              </w:tc>
              <w:tc>
                <w:tcPr>
                  <w:tcW w:w="1144" w:type="pct"/>
                  <w:vMerge w:val="restart"/>
                  <w:tcBorders>
                    <w:tl2br w:val="nil"/>
                    <w:tr2bl w:val="nil"/>
                  </w:tcBorders>
                  <w:noWrap/>
                  <w:vAlign w:val="center"/>
                </w:tcPr>
                <w:p w14:paraId="201FEE2E">
                  <w:pPr>
                    <w:pStyle w:val="201"/>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位置</w:t>
                  </w:r>
                </w:p>
              </w:tc>
              <w:tc>
                <w:tcPr>
                  <w:tcW w:w="1354" w:type="pct"/>
                  <w:vMerge w:val="restart"/>
                  <w:tcBorders>
                    <w:tl2br w:val="nil"/>
                    <w:tr2bl w:val="nil"/>
                  </w:tcBorders>
                  <w:noWrap w:val="0"/>
                  <w:vAlign w:val="center"/>
                </w:tcPr>
                <w:p w14:paraId="0C6FD33E">
                  <w:pPr>
                    <w:pStyle w:val="201"/>
                    <w:rPr>
                      <w:rFonts w:hint="eastAsia" w:ascii="Times New Roman" w:hAnsi="Times New Roman" w:eastAsia="宋体" w:cs="Times New Roman"/>
                      <w:b/>
                      <w:bCs/>
                      <w:color w:val="auto"/>
                      <w:highlight w:val="none"/>
                      <w:lang w:val="en-US" w:eastAsia="zh-CN"/>
                    </w:rPr>
                  </w:pPr>
                  <w:r>
                    <w:rPr>
                      <w:rFonts w:hint="eastAsia" w:eastAsia="宋体" w:cs="Times New Roman"/>
                      <w:b/>
                      <w:bCs/>
                      <w:color w:val="auto"/>
                      <w:highlight w:val="none"/>
                      <w:lang w:val="en-US" w:eastAsia="zh-CN"/>
                    </w:rPr>
                    <w:t>厂界</w:t>
                  </w:r>
                  <w:r>
                    <w:rPr>
                      <w:rFonts w:hint="default" w:ascii="Times New Roman" w:hAnsi="Times New Roman" w:eastAsia="宋体" w:cs="Times New Roman"/>
                      <w:b/>
                      <w:bCs/>
                      <w:color w:val="auto"/>
                      <w:highlight w:val="none"/>
                    </w:rPr>
                    <w:t>贡献值dB（A）</w:t>
                  </w:r>
                </w:p>
              </w:tc>
              <w:tc>
                <w:tcPr>
                  <w:tcW w:w="1676" w:type="pct"/>
                  <w:gridSpan w:val="2"/>
                  <w:tcBorders>
                    <w:tl2br w:val="nil"/>
                    <w:tr2bl w:val="nil"/>
                  </w:tcBorders>
                  <w:noWrap w:val="0"/>
                  <w:vAlign w:val="center"/>
                </w:tcPr>
                <w:p w14:paraId="673BC0F9">
                  <w:pPr>
                    <w:pStyle w:val="201"/>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highlight w:val="none"/>
                      <w:lang w:val="en-US" w:eastAsia="zh-CN"/>
                    </w:rPr>
                    <w:t>标准</w:t>
                  </w:r>
                  <w:r>
                    <w:rPr>
                      <w:rFonts w:hint="default" w:ascii="Times New Roman" w:hAnsi="Times New Roman" w:eastAsia="宋体" w:cs="Times New Roman"/>
                      <w:b/>
                      <w:bCs/>
                      <w:color w:val="auto"/>
                      <w:highlight w:val="none"/>
                    </w:rPr>
                    <w:t>值dB（A）</w:t>
                  </w:r>
                </w:p>
              </w:tc>
            </w:tr>
            <w:tr w14:paraId="60A1DA9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31" w:type="pct"/>
                  <w:vMerge w:val="continue"/>
                  <w:tcBorders>
                    <w:tl2br w:val="nil"/>
                    <w:tr2bl w:val="nil"/>
                  </w:tcBorders>
                  <w:noWrap w:val="0"/>
                  <w:vAlign w:val="center"/>
                </w:tcPr>
                <w:p w14:paraId="6F9652A6">
                  <w:pPr>
                    <w:pStyle w:val="201"/>
                    <w:rPr>
                      <w:rFonts w:hint="default" w:ascii="Times New Roman" w:hAnsi="Times New Roman" w:eastAsia="宋体" w:cs="Times New Roman"/>
                      <w:b/>
                      <w:bCs/>
                      <w:color w:val="auto"/>
                      <w:highlight w:val="none"/>
                    </w:rPr>
                  </w:pPr>
                </w:p>
              </w:tc>
              <w:tc>
                <w:tcPr>
                  <w:tcW w:w="493" w:type="pct"/>
                  <w:vMerge w:val="continue"/>
                  <w:tcBorders>
                    <w:tl2br w:val="nil"/>
                    <w:tr2bl w:val="nil"/>
                  </w:tcBorders>
                  <w:noWrap/>
                  <w:vAlign w:val="center"/>
                </w:tcPr>
                <w:p w14:paraId="59E4074A">
                  <w:pPr>
                    <w:pStyle w:val="201"/>
                    <w:rPr>
                      <w:rFonts w:hint="default" w:ascii="Times New Roman" w:hAnsi="Times New Roman" w:eastAsia="宋体" w:cs="Times New Roman"/>
                      <w:b/>
                      <w:bCs/>
                      <w:color w:val="auto"/>
                      <w:highlight w:val="none"/>
                    </w:rPr>
                  </w:pPr>
                </w:p>
              </w:tc>
              <w:tc>
                <w:tcPr>
                  <w:tcW w:w="1144" w:type="pct"/>
                  <w:vMerge w:val="continue"/>
                  <w:tcBorders>
                    <w:tl2br w:val="nil"/>
                    <w:tr2bl w:val="nil"/>
                  </w:tcBorders>
                  <w:noWrap/>
                  <w:vAlign w:val="center"/>
                </w:tcPr>
                <w:p w14:paraId="0870414A">
                  <w:pPr>
                    <w:pStyle w:val="201"/>
                    <w:rPr>
                      <w:rFonts w:hint="default" w:ascii="Times New Roman" w:hAnsi="Times New Roman" w:eastAsia="宋体" w:cs="Times New Roman"/>
                      <w:b/>
                      <w:bCs/>
                      <w:color w:val="auto"/>
                      <w:highlight w:val="none"/>
                    </w:rPr>
                  </w:pPr>
                </w:p>
              </w:tc>
              <w:tc>
                <w:tcPr>
                  <w:tcW w:w="1354" w:type="pct"/>
                  <w:vMerge w:val="continue"/>
                  <w:tcBorders>
                    <w:tl2br w:val="nil"/>
                    <w:tr2bl w:val="nil"/>
                  </w:tcBorders>
                  <w:noWrap/>
                  <w:vAlign w:val="center"/>
                </w:tcPr>
                <w:p w14:paraId="63F46881">
                  <w:pPr>
                    <w:pStyle w:val="201"/>
                    <w:rPr>
                      <w:rFonts w:hint="eastAsia" w:eastAsia="宋体" w:cs="Times New Roman"/>
                      <w:b/>
                      <w:bCs/>
                      <w:color w:val="auto"/>
                      <w:highlight w:val="none"/>
                      <w:lang w:val="en-US" w:eastAsia="zh-CN"/>
                    </w:rPr>
                  </w:pPr>
                </w:p>
              </w:tc>
              <w:tc>
                <w:tcPr>
                  <w:tcW w:w="816" w:type="pct"/>
                  <w:tcBorders>
                    <w:left w:val="single" w:color="auto" w:sz="4" w:space="0"/>
                    <w:right w:val="single" w:color="auto" w:sz="4" w:space="0"/>
                    <w:tl2br w:val="nil"/>
                    <w:tr2bl w:val="nil"/>
                  </w:tcBorders>
                  <w:noWrap/>
                  <w:vAlign w:val="center"/>
                </w:tcPr>
                <w:p w14:paraId="7F576599">
                  <w:pPr>
                    <w:pStyle w:val="201"/>
                    <w:rPr>
                      <w:rFonts w:hint="eastAsia" w:ascii="Times New Roman" w:hAnsi="Times New Roman" w:eastAsia="宋体" w:cs="Times New Roman"/>
                      <w:b/>
                      <w:bCs/>
                      <w:color w:val="auto"/>
                      <w:highlight w:val="none"/>
                      <w:lang w:val="en-US" w:eastAsia="zh-CN"/>
                    </w:rPr>
                  </w:pPr>
                  <w:r>
                    <w:rPr>
                      <w:rFonts w:hint="eastAsia" w:eastAsia="宋体" w:cs="Times New Roman"/>
                      <w:b/>
                      <w:bCs/>
                      <w:color w:val="auto"/>
                      <w:highlight w:val="none"/>
                      <w:lang w:val="en-US" w:eastAsia="zh-CN"/>
                    </w:rPr>
                    <w:t>昼间</w:t>
                  </w:r>
                </w:p>
              </w:tc>
              <w:tc>
                <w:tcPr>
                  <w:tcW w:w="860" w:type="pct"/>
                  <w:tcBorders>
                    <w:left w:val="single" w:color="auto" w:sz="4" w:space="0"/>
                    <w:tl2br w:val="nil"/>
                    <w:tr2bl w:val="nil"/>
                  </w:tcBorders>
                  <w:noWrap/>
                  <w:vAlign w:val="center"/>
                </w:tcPr>
                <w:p w14:paraId="495B0E88">
                  <w:pPr>
                    <w:pStyle w:val="201"/>
                    <w:rPr>
                      <w:rFonts w:hint="default" w:eastAsia="宋体" w:cs="Times New Roman"/>
                      <w:b/>
                      <w:bCs/>
                      <w:color w:val="auto"/>
                      <w:highlight w:val="none"/>
                      <w:lang w:val="en-US" w:eastAsia="zh-CN"/>
                    </w:rPr>
                  </w:pPr>
                  <w:r>
                    <w:rPr>
                      <w:rFonts w:hint="eastAsia" w:eastAsia="宋体" w:cs="Times New Roman"/>
                      <w:b/>
                      <w:bCs/>
                      <w:color w:val="auto"/>
                      <w:highlight w:val="none"/>
                      <w:lang w:val="en-US" w:eastAsia="zh-CN"/>
                    </w:rPr>
                    <w:t>夜间</w:t>
                  </w:r>
                </w:p>
              </w:tc>
            </w:tr>
            <w:tr w14:paraId="1E9E14C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31" w:type="pct"/>
                  <w:tcBorders>
                    <w:tl2br w:val="nil"/>
                    <w:tr2bl w:val="nil"/>
                  </w:tcBorders>
                  <w:noWrap w:val="0"/>
                  <w:vAlign w:val="center"/>
                </w:tcPr>
                <w:p w14:paraId="4F24731B">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493" w:type="pct"/>
                  <w:tcBorders>
                    <w:tl2br w:val="nil"/>
                    <w:tr2bl w:val="nil"/>
                  </w:tcBorders>
                  <w:noWrap/>
                  <w:vAlign w:val="center"/>
                </w:tcPr>
                <w:p w14:paraId="51EA6149">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N1</w:t>
                  </w:r>
                </w:p>
              </w:tc>
              <w:tc>
                <w:tcPr>
                  <w:tcW w:w="1144" w:type="pct"/>
                  <w:tcBorders>
                    <w:tl2br w:val="nil"/>
                    <w:tr2bl w:val="nil"/>
                  </w:tcBorders>
                  <w:noWrap/>
                  <w:vAlign w:val="center"/>
                </w:tcPr>
                <w:p w14:paraId="2352DE4B">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北厂界外1m</w:t>
                  </w:r>
                </w:p>
              </w:tc>
              <w:tc>
                <w:tcPr>
                  <w:tcW w:w="1354" w:type="pct"/>
                  <w:tcBorders>
                    <w:tl2br w:val="nil"/>
                    <w:tr2bl w:val="nil"/>
                  </w:tcBorders>
                  <w:noWrap/>
                  <w:vAlign w:val="center"/>
                </w:tcPr>
                <w:p w14:paraId="5C38C54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highlight w:val="none"/>
                      <w:lang w:val="en-US" w:eastAsia="zh-CN"/>
                    </w:rPr>
                    <w:t>28.4</w:t>
                  </w:r>
                </w:p>
              </w:tc>
              <w:tc>
                <w:tcPr>
                  <w:tcW w:w="816" w:type="pct"/>
                  <w:vMerge w:val="restart"/>
                  <w:tcBorders>
                    <w:right w:val="single" w:color="auto" w:sz="4" w:space="0"/>
                    <w:tl2br w:val="nil"/>
                    <w:tr2bl w:val="nil"/>
                  </w:tcBorders>
                  <w:noWrap/>
                  <w:vAlign w:val="center"/>
                </w:tcPr>
                <w:p w14:paraId="1952B56D">
                  <w:pPr>
                    <w:spacing w:before="72" w:beforeLines="30" w:after="72" w:afterLines="30" w:line="0" w:lineRule="atLeas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60</w:t>
                  </w:r>
                </w:p>
              </w:tc>
              <w:tc>
                <w:tcPr>
                  <w:tcW w:w="860" w:type="pct"/>
                  <w:vMerge w:val="restart"/>
                  <w:tcBorders>
                    <w:left w:val="single" w:color="auto" w:sz="4" w:space="0"/>
                    <w:tl2br w:val="nil"/>
                    <w:tr2bl w:val="nil"/>
                  </w:tcBorders>
                  <w:noWrap/>
                  <w:vAlign w:val="center"/>
                </w:tcPr>
                <w:p w14:paraId="6D16DD9F">
                  <w:pPr>
                    <w:spacing w:before="72" w:beforeLines="30" w:after="72" w:afterLines="30" w:line="0" w:lineRule="atLeast"/>
                    <w:jc w:val="center"/>
                    <w:rPr>
                      <w:rFonts w:hint="default" w:cs="Times New Roman"/>
                      <w:color w:val="auto"/>
                      <w:highlight w:val="none"/>
                      <w:lang w:val="en-US" w:eastAsia="zh-CN"/>
                    </w:rPr>
                  </w:pPr>
                  <w:r>
                    <w:rPr>
                      <w:rFonts w:hint="eastAsia" w:cs="Times New Roman"/>
                      <w:color w:val="auto"/>
                      <w:highlight w:val="none"/>
                      <w:lang w:val="en-US" w:eastAsia="zh-CN"/>
                    </w:rPr>
                    <w:t>50</w:t>
                  </w:r>
                </w:p>
              </w:tc>
            </w:tr>
            <w:tr w14:paraId="3693FAD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31" w:type="pct"/>
                  <w:tcBorders>
                    <w:tl2br w:val="nil"/>
                    <w:tr2bl w:val="nil"/>
                  </w:tcBorders>
                  <w:noWrap w:val="0"/>
                  <w:vAlign w:val="center"/>
                </w:tcPr>
                <w:p w14:paraId="2E1378D2">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493" w:type="pct"/>
                  <w:tcBorders>
                    <w:tl2br w:val="nil"/>
                    <w:tr2bl w:val="nil"/>
                  </w:tcBorders>
                  <w:noWrap/>
                  <w:vAlign w:val="center"/>
                </w:tcPr>
                <w:p w14:paraId="1D73908D">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N2</w:t>
                  </w:r>
                </w:p>
              </w:tc>
              <w:tc>
                <w:tcPr>
                  <w:tcW w:w="1144" w:type="pct"/>
                  <w:tcBorders>
                    <w:tl2br w:val="nil"/>
                    <w:tr2bl w:val="nil"/>
                  </w:tcBorders>
                  <w:noWrap/>
                  <w:vAlign w:val="center"/>
                </w:tcPr>
                <w:p w14:paraId="26C3DA8F">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东厂界外1m</w:t>
                  </w:r>
                </w:p>
              </w:tc>
              <w:tc>
                <w:tcPr>
                  <w:tcW w:w="1354" w:type="pct"/>
                  <w:tcBorders>
                    <w:tl2br w:val="nil"/>
                    <w:tr2bl w:val="nil"/>
                  </w:tcBorders>
                  <w:noWrap/>
                  <w:vAlign w:val="center"/>
                </w:tcPr>
                <w:p w14:paraId="6787529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highlight w:val="none"/>
                      <w:lang w:val="en-US" w:eastAsia="zh-CN"/>
                    </w:rPr>
                    <w:t>43.5</w:t>
                  </w:r>
                </w:p>
              </w:tc>
              <w:tc>
                <w:tcPr>
                  <w:tcW w:w="816" w:type="pct"/>
                  <w:vMerge w:val="continue"/>
                  <w:tcBorders>
                    <w:right w:val="single" w:color="auto" w:sz="4" w:space="0"/>
                    <w:tl2br w:val="nil"/>
                    <w:tr2bl w:val="nil"/>
                  </w:tcBorders>
                  <w:noWrap/>
                  <w:vAlign w:val="center"/>
                </w:tcPr>
                <w:p w14:paraId="7785CF0D">
                  <w:pPr>
                    <w:spacing w:before="72" w:beforeLines="30" w:after="72" w:afterLines="30" w:line="0" w:lineRule="atLeast"/>
                    <w:jc w:val="center"/>
                    <w:rPr>
                      <w:rFonts w:hint="default" w:ascii="Times New Roman" w:hAnsi="Times New Roman" w:eastAsia="宋体" w:cs="Times New Roman"/>
                      <w:color w:val="auto"/>
                      <w:highlight w:val="none"/>
                    </w:rPr>
                  </w:pPr>
                </w:p>
              </w:tc>
              <w:tc>
                <w:tcPr>
                  <w:tcW w:w="860" w:type="pct"/>
                  <w:vMerge w:val="continue"/>
                  <w:tcBorders>
                    <w:left w:val="single" w:color="auto" w:sz="4" w:space="0"/>
                    <w:tl2br w:val="nil"/>
                    <w:tr2bl w:val="nil"/>
                  </w:tcBorders>
                  <w:noWrap/>
                  <w:vAlign w:val="center"/>
                </w:tcPr>
                <w:p w14:paraId="2C675438">
                  <w:pPr>
                    <w:spacing w:before="72" w:beforeLines="30" w:after="72" w:afterLines="30" w:line="0" w:lineRule="atLeast"/>
                    <w:jc w:val="center"/>
                    <w:rPr>
                      <w:rFonts w:hint="default" w:ascii="Times New Roman" w:hAnsi="Times New Roman" w:eastAsia="宋体" w:cs="Times New Roman"/>
                      <w:color w:val="auto"/>
                      <w:highlight w:val="none"/>
                    </w:rPr>
                  </w:pPr>
                </w:p>
              </w:tc>
            </w:tr>
            <w:tr w14:paraId="4C90C2F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31" w:type="pct"/>
                  <w:tcBorders>
                    <w:tl2br w:val="nil"/>
                    <w:tr2bl w:val="nil"/>
                  </w:tcBorders>
                  <w:noWrap w:val="0"/>
                  <w:vAlign w:val="center"/>
                </w:tcPr>
                <w:p w14:paraId="6D083663">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p>
              </w:tc>
              <w:tc>
                <w:tcPr>
                  <w:tcW w:w="493" w:type="pct"/>
                  <w:tcBorders>
                    <w:tl2br w:val="nil"/>
                    <w:tr2bl w:val="nil"/>
                  </w:tcBorders>
                  <w:noWrap/>
                  <w:vAlign w:val="center"/>
                </w:tcPr>
                <w:p w14:paraId="2FED1335">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N3</w:t>
                  </w:r>
                </w:p>
              </w:tc>
              <w:tc>
                <w:tcPr>
                  <w:tcW w:w="1144" w:type="pct"/>
                  <w:tcBorders>
                    <w:tl2br w:val="nil"/>
                    <w:tr2bl w:val="nil"/>
                  </w:tcBorders>
                  <w:noWrap/>
                  <w:vAlign w:val="center"/>
                </w:tcPr>
                <w:p w14:paraId="4617DCB0">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南厂界外1m</w:t>
                  </w:r>
                </w:p>
              </w:tc>
              <w:tc>
                <w:tcPr>
                  <w:tcW w:w="1354" w:type="pct"/>
                  <w:tcBorders>
                    <w:tl2br w:val="nil"/>
                    <w:tr2bl w:val="nil"/>
                  </w:tcBorders>
                  <w:noWrap/>
                  <w:vAlign w:val="center"/>
                </w:tcPr>
                <w:p w14:paraId="5189013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highlight w:val="none"/>
                      <w:lang w:val="en-US" w:eastAsia="zh-CN"/>
                    </w:rPr>
                    <w:t>25.9</w:t>
                  </w:r>
                </w:p>
              </w:tc>
              <w:tc>
                <w:tcPr>
                  <w:tcW w:w="816" w:type="pct"/>
                  <w:vMerge w:val="continue"/>
                  <w:tcBorders>
                    <w:right w:val="single" w:color="auto" w:sz="4" w:space="0"/>
                    <w:tl2br w:val="nil"/>
                    <w:tr2bl w:val="nil"/>
                  </w:tcBorders>
                  <w:noWrap/>
                  <w:vAlign w:val="center"/>
                </w:tcPr>
                <w:p w14:paraId="76943E45">
                  <w:pPr>
                    <w:spacing w:before="72" w:beforeLines="30" w:after="72" w:afterLines="30" w:line="0" w:lineRule="atLeast"/>
                    <w:jc w:val="center"/>
                    <w:rPr>
                      <w:rFonts w:hint="default" w:ascii="Times New Roman" w:hAnsi="Times New Roman" w:eastAsia="宋体" w:cs="Times New Roman"/>
                      <w:color w:val="auto"/>
                      <w:highlight w:val="none"/>
                    </w:rPr>
                  </w:pPr>
                </w:p>
              </w:tc>
              <w:tc>
                <w:tcPr>
                  <w:tcW w:w="860" w:type="pct"/>
                  <w:vMerge w:val="continue"/>
                  <w:tcBorders>
                    <w:left w:val="single" w:color="auto" w:sz="4" w:space="0"/>
                    <w:tl2br w:val="nil"/>
                    <w:tr2bl w:val="nil"/>
                  </w:tcBorders>
                  <w:noWrap/>
                  <w:vAlign w:val="center"/>
                </w:tcPr>
                <w:p w14:paraId="680581B4">
                  <w:pPr>
                    <w:spacing w:before="72" w:beforeLines="30" w:after="72" w:afterLines="30" w:line="0" w:lineRule="atLeast"/>
                    <w:jc w:val="center"/>
                    <w:rPr>
                      <w:rFonts w:hint="default" w:ascii="Times New Roman" w:hAnsi="Times New Roman" w:eastAsia="宋体" w:cs="Times New Roman"/>
                      <w:color w:val="auto"/>
                      <w:highlight w:val="none"/>
                    </w:rPr>
                  </w:pPr>
                </w:p>
              </w:tc>
            </w:tr>
            <w:tr w14:paraId="2FB0B3D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31" w:type="pct"/>
                  <w:tcBorders>
                    <w:tl2br w:val="nil"/>
                    <w:tr2bl w:val="nil"/>
                  </w:tcBorders>
                  <w:noWrap w:val="0"/>
                  <w:vAlign w:val="center"/>
                </w:tcPr>
                <w:p w14:paraId="097612CA">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493" w:type="pct"/>
                  <w:tcBorders>
                    <w:tl2br w:val="nil"/>
                    <w:tr2bl w:val="nil"/>
                  </w:tcBorders>
                  <w:noWrap/>
                  <w:vAlign w:val="center"/>
                </w:tcPr>
                <w:p w14:paraId="7A51CDB2">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N4</w:t>
                  </w:r>
                </w:p>
              </w:tc>
              <w:tc>
                <w:tcPr>
                  <w:tcW w:w="1144" w:type="pct"/>
                  <w:tcBorders>
                    <w:tl2br w:val="nil"/>
                    <w:tr2bl w:val="nil"/>
                  </w:tcBorders>
                  <w:noWrap/>
                  <w:vAlign w:val="center"/>
                </w:tcPr>
                <w:p w14:paraId="34D7D37A">
                  <w:pPr>
                    <w:pStyle w:val="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西厂界外1m</w:t>
                  </w:r>
                </w:p>
              </w:tc>
              <w:tc>
                <w:tcPr>
                  <w:tcW w:w="1354" w:type="pct"/>
                  <w:tcBorders>
                    <w:tl2br w:val="nil"/>
                    <w:tr2bl w:val="nil"/>
                  </w:tcBorders>
                  <w:noWrap/>
                  <w:vAlign w:val="center"/>
                </w:tcPr>
                <w:p w14:paraId="17BF01C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highlight w:val="none"/>
                      <w:lang w:val="en-US" w:eastAsia="zh-CN"/>
                    </w:rPr>
                    <w:t>45.1</w:t>
                  </w:r>
                </w:p>
              </w:tc>
              <w:tc>
                <w:tcPr>
                  <w:tcW w:w="816" w:type="pct"/>
                  <w:vMerge w:val="continue"/>
                  <w:tcBorders>
                    <w:right w:val="single" w:color="auto" w:sz="4" w:space="0"/>
                    <w:tl2br w:val="nil"/>
                    <w:tr2bl w:val="nil"/>
                  </w:tcBorders>
                  <w:noWrap/>
                  <w:vAlign w:val="center"/>
                </w:tcPr>
                <w:p w14:paraId="713A2633">
                  <w:pPr>
                    <w:spacing w:before="72" w:beforeLines="30" w:after="72" w:afterLines="30" w:line="0" w:lineRule="atLeast"/>
                    <w:jc w:val="center"/>
                    <w:rPr>
                      <w:rFonts w:hint="default" w:ascii="Times New Roman" w:hAnsi="Times New Roman" w:eastAsia="宋体" w:cs="Times New Roman"/>
                      <w:color w:val="auto"/>
                      <w:highlight w:val="none"/>
                      <w:lang w:val="en-US" w:eastAsia="zh-CN"/>
                    </w:rPr>
                  </w:pPr>
                </w:p>
              </w:tc>
              <w:tc>
                <w:tcPr>
                  <w:tcW w:w="860" w:type="pct"/>
                  <w:vMerge w:val="continue"/>
                  <w:tcBorders>
                    <w:left w:val="single" w:color="auto" w:sz="4" w:space="0"/>
                    <w:tl2br w:val="nil"/>
                    <w:tr2bl w:val="nil"/>
                  </w:tcBorders>
                  <w:noWrap/>
                  <w:vAlign w:val="center"/>
                </w:tcPr>
                <w:p w14:paraId="72F2B369">
                  <w:pPr>
                    <w:spacing w:before="72" w:beforeLines="30" w:after="72" w:afterLines="30" w:line="0" w:lineRule="atLeast"/>
                    <w:jc w:val="center"/>
                    <w:rPr>
                      <w:rFonts w:hint="default" w:ascii="Times New Roman" w:hAnsi="Times New Roman" w:eastAsia="宋体" w:cs="Times New Roman"/>
                      <w:color w:val="auto"/>
                      <w:highlight w:val="none"/>
                      <w:lang w:val="en-US" w:eastAsia="zh-CN"/>
                    </w:rPr>
                  </w:pPr>
                </w:p>
              </w:tc>
            </w:tr>
          </w:tbl>
          <w:p w14:paraId="0C32066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olor w:val="auto"/>
                <w:sz w:val="24"/>
                <w:highlight w:val="none"/>
                <w:lang w:eastAsia="zh-CN"/>
              </w:rPr>
            </w:pPr>
            <w:r>
              <w:rPr>
                <w:rFonts w:hint="eastAsia" w:ascii="Times New Roman" w:hAnsi="Times New Roman" w:eastAsia="宋体"/>
                <w:color w:val="auto"/>
                <w:sz w:val="24"/>
                <w:highlight w:val="none"/>
                <w:lang w:eastAsia="zh-CN"/>
              </w:rPr>
              <w:t>厂界噪声预测结果分析：根据</w:t>
            </w:r>
            <w:r>
              <w:rPr>
                <w:rFonts w:hint="eastAsia" w:ascii="Times New Roman" w:hAnsi="Times New Roman" w:eastAsia="宋体"/>
                <w:color w:val="auto"/>
                <w:sz w:val="24"/>
                <w:highlight w:val="none"/>
                <w:lang w:val="en-US" w:eastAsia="zh-CN"/>
              </w:rPr>
              <w:t>上表</w:t>
            </w:r>
            <w:r>
              <w:rPr>
                <w:rFonts w:hint="eastAsia" w:ascii="Times New Roman" w:hAnsi="Times New Roman" w:eastAsia="宋体"/>
                <w:color w:val="auto"/>
                <w:sz w:val="24"/>
                <w:highlight w:val="none"/>
                <w:lang w:eastAsia="zh-CN"/>
              </w:rPr>
              <w:t>的预测结果表明，项目产生的机械设备噪声在经墙体隔声、基础减振和距离自然衰减的情况下，项目各厂界噪声</w:t>
            </w:r>
            <w:r>
              <w:rPr>
                <w:rFonts w:hint="eastAsia"/>
                <w:color w:val="auto"/>
                <w:sz w:val="24"/>
                <w:highlight w:val="none"/>
                <w:lang w:val="en-US" w:eastAsia="zh-CN"/>
              </w:rPr>
              <w:t>贡献值</w:t>
            </w:r>
            <w:r>
              <w:rPr>
                <w:rFonts w:hint="eastAsia" w:ascii="Times New Roman" w:hAnsi="Times New Roman" w:eastAsia="宋体"/>
                <w:color w:val="auto"/>
                <w:sz w:val="24"/>
                <w:highlight w:val="none"/>
                <w:lang w:eastAsia="zh-CN"/>
              </w:rPr>
              <w:t>均可满足《工业企业厂界环境噪声排放标准》（GB12348-2008）中</w:t>
            </w:r>
            <w:r>
              <w:rPr>
                <w:rFonts w:hint="eastAsia"/>
                <w:color w:val="auto"/>
                <w:sz w:val="24"/>
                <w:highlight w:val="none"/>
                <w:lang w:val="en-US" w:eastAsia="zh-CN"/>
              </w:rPr>
              <w:t>2</w:t>
            </w:r>
            <w:r>
              <w:rPr>
                <w:rFonts w:hint="eastAsia" w:ascii="Times New Roman" w:hAnsi="Times New Roman" w:eastAsia="宋体"/>
                <w:color w:val="auto"/>
                <w:sz w:val="24"/>
                <w:highlight w:val="none"/>
                <w:lang w:eastAsia="zh-CN"/>
              </w:rPr>
              <w:t>类标准。</w:t>
            </w:r>
          </w:p>
          <w:p w14:paraId="178698F3">
            <w:pPr>
              <w:pStyle w:val="137"/>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4.2.3.5 噪声治理措施及可行性分析</w:t>
            </w:r>
          </w:p>
          <w:p w14:paraId="26854FA1">
            <w:pPr>
              <w:widowControl w:val="0"/>
              <w:spacing w:line="360" w:lineRule="auto"/>
              <w:ind w:firstLine="480" w:firstLineChars="200"/>
              <w:jc w:val="both"/>
              <w:rPr>
                <w:rFonts w:hint="eastAsia"/>
                <w:color w:val="auto"/>
                <w:sz w:val="24"/>
              </w:rPr>
            </w:pPr>
            <w:r>
              <w:rPr>
                <w:rFonts w:hint="eastAsia"/>
                <w:color w:val="auto"/>
                <w:sz w:val="24"/>
              </w:rPr>
              <w:t>为了确保厂界噪声达到《工业企业厂界环境噪声排放标准》</w:t>
            </w:r>
            <w:r>
              <w:rPr>
                <w:rFonts w:hint="eastAsia"/>
                <w:color w:val="auto"/>
                <w:sz w:val="24"/>
                <w:lang w:eastAsia="zh-CN"/>
              </w:rPr>
              <w:t>（</w:t>
            </w:r>
            <w:r>
              <w:rPr>
                <w:rFonts w:hint="eastAsia"/>
                <w:color w:val="auto"/>
                <w:sz w:val="24"/>
              </w:rPr>
              <w:t>GB12348-2008</w:t>
            </w:r>
            <w:r>
              <w:rPr>
                <w:rFonts w:hint="eastAsia"/>
                <w:color w:val="auto"/>
                <w:sz w:val="24"/>
                <w:lang w:eastAsia="zh-CN"/>
              </w:rPr>
              <w:t>）</w:t>
            </w:r>
            <w:r>
              <w:rPr>
                <w:rFonts w:hint="eastAsia"/>
                <w:color w:val="auto"/>
                <w:sz w:val="24"/>
              </w:rPr>
              <w:t>中</w:t>
            </w:r>
            <w:r>
              <w:rPr>
                <w:rFonts w:hint="eastAsia"/>
                <w:color w:val="auto"/>
                <w:sz w:val="24"/>
                <w:lang w:val="en-US" w:eastAsia="zh-CN"/>
              </w:rPr>
              <w:t>2</w:t>
            </w:r>
            <w:r>
              <w:rPr>
                <w:rFonts w:hint="eastAsia"/>
                <w:color w:val="auto"/>
                <w:sz w:val="24"/>
              </w:rPr>
              <w:t>类标准，建设单位应采取如下环保治理措施：</w:t>
            </w:r>
          </w:p>
          <w:p w14:paraId="23F39110">
            <w:pPr>
              <w:widowControl w:val="0"/>
              <w:spacing w:line="360" w:lineRule="auto"/>
              <w:ind w:firstLine="480" w:firstLineChars="200"/>
              <w:jc w:val="both"/>
              <w:rPr>
                <w:rFonts w:hint="eastAsia"/>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合理安排运营时间；</w:t>
            </w:r>
          </w:p>
          <w:p w14:paraId="262AC313">
            <w:pPr>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color w:val="auto"/>
                <w:sz w:val="24"/>
              </w:rPr>
              <w:t>设备选型：在设计中，应尽量选用技术先进、性能质量良好、同类成品中声级较低的设备，从源头上控制噪声源。</w:t>
            </w:r>
          </w:p>
          <w:p w14:paraId="6501FC02">
            <w:pPr>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color w:val="auto"/>
                <w:sz w:val="24"/>
              </w:rPr>
              <w:t>减振措施：针对</w:t>
            </w:r>
            <w:r>
              <w:rPr>
                <w:rFonts w:hint="eastAsia"/>
                <w:color w:val="auto"/>
                <w:sz w:val="24"/>
              </w:rPr>
              <w:t>各类</w:t>
            </w:r>
            <w:r>
              <w:rPr>
                <w:rFonts w:hint="eastAsia"/>
                <w:color w:val="auto"/>
                <w:sz w:val="24"/>
                <w:lang w:val="en-US" w:eastAsia="zh-CN"/>
              </w:rPr>
              <w:t>机械</w:t>
            </w:r>
            <w:r>
              <w:rPr>
                <w:color w:val="auto"/>
                <w:sz w:val="24"/>
              </w:rPr>
              <w:t>设备，采取减振等措施，从噪声传播过程中对噪声源进行控制。</w:t>
            </w:r>
          </w:p>
          <w:p w14:paraId="1044A19B">
            <w:pPr>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w:t>
            </w:r>
            <w:r>
              <w:rPr>
                <w:color w:val="auto"/>
                <w:sz w:val="24"/>
              </w:rPr>
              <w:t>加强机械设备的定期检修与维护，以减少动力机械设备故障等原因造成的</w:t>
            </w:r>
            <w:r>
              <w:rPr>
                <w:rFonts w:hint="eastAsia"/>
                <w:color w:val="auto"/>
                <w:sz w:val="24"/>
                <w:lang w:val="en-US" w:eastAsia="zh-CN"/>
              </w:rPr>
              <w:t>震</w:t>
            </w:r>
            <w:r>
              <w:rPr>
                <w:color w:val="auto"/>
                <w:sz w:val="24"/>
              </w:rPr>
              <w:t>动及声辐射。</w:t>
            </w:r>
          </w:p>
          <w:p w14:paraId="7EDD908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olor w:val="auto"/>
                <w:sz w:val="24"/>
                <w:highlight w:val="none"/>
                <w:lang w:val="en-US" w:eastAsia="zh-CN"/>
              </w:rPr>
            </w:pP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5</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运输车辆规范驾驶，厂区内低速行驶，禁止鸣笛。</w:t>
            </w:r>
          </w:p>
          <w:p w14:paraId="565D4679">
            <w:pPr>
              <w:pStyle w:val="137"/>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4.2.3.6 监测计划</w:t>
            </w:r>
          </w:p>
          <w:p w14:paraId="485CB4D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eastAsia="zh-CN"/>
              </w:rPr>
              <w:t>根据《排污许可证申请与核发技术规范</w:t>
            </w:r>
            <w:r>
              <w:rPr>
                <w:rFonts w:hint="eastAsia" w:ascii="Times New Roman" w:hAnsi="Times New Roman"/>
                <w:color w:val="auto"/>
                <w:sz w:val="24"/>
                <w:highlight w:val="none"/>
                <w:lang w:val="en-US" w:eastAsia="zh-CN"/>
              </w:rPr>
              <w:t xml:space="preserve">  工业噪声</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HJ1301-2023</w:t>
            </w:r>
            <w:r>
              <w:rPr>
                <w:rFonts w:hint="eastAsia" w:ascii="Times New Roman" w:hAnsi="Times New Roman"/>
                <w:color w:val="auto"/>
                <w:sz w:val="24"/>
                <w:highlight w:val="none"/>
                <w:lang w:eastAsia="zh-CN"/>
              </w:rPr>
              <w:t>），本项目噪声自行监测计划见</w:t>
            </w:r>
            <w:r>
              <w:rPr>
                <w:rFonts w:hint="eastAsia" w:ascii="Times New Roman" w:hAnsi="Times New Roman"/>
                <w:color w:val="auto"/>
                <w:sz w:val="24"/>
                <w:highlight w:val="none"/>
                <w:lang w:val="en-US" w:eastAsia="zh-CN"/>
              </w:rPr>
              <w:t>下表。</w:t>
            </w:r>
          </w:p>
          <w:p w14:paraId="72237B1A">
            <w:pPr>
              <w:pStyle w:val="22"/>
              <w:numPr>
                <w:ilvl w:val="0"/>
                <w:numId w:val="8"/>
              </w:numPr>
              <w:spacing w:before="120" w:beforeLines="50" w:after="0" w:line="240" w:lineRule="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常规监测计划内容一览表（噪声）</w:t>
            </w:r>
          </w:p>
          <w:tbl>
            <w:tblPr>
              <w:tblStyle w:val="29"/>
              <w:tblW w:w="8082" w:type="dxa"/>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76"/>
              <w:gridCol w:w="2481"/>
              <w:gridCol w:w="1719"/>
              <w:gridCol w:w="1080"/>
              <w:gridCol w:w="1726"/>
            </w:tblGrid>
            <w:tr w14:paraId="4C91FC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5" w:type="pct"/>
                  <w:tcBorders>
                    <w:tl2br w:val="nil"/>
                    <w:tr2bl w:val="nil"/>
                  </w:tcBorders>
                  <w:noWrap w:val="0"/>
                  <w:vAlign w:val="center"/>
                </w:tcPr>
                <w:p w14:paraId="386130F8">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监测内容</w:t>
                  </w:r>
                </w:p>
              </w:tc>
              <w:tc>
                <w:tcPr>
                  <w:tcW w:w="1534" w:type="pct"/>
                  <w:tcBorders>
                    <w:tl2br w:val="nil"/>
                    <w:tr2bl w:val="nil"/>
                  </w:tcBorders>
                  <w:noWrap w:val="0"/>
                  <w:vAlign w:val="center"/>
                </w:tcPr>
                <w:p w14:paraId="62113CEF">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监测位置</w:t>
                  </w:r>
                </w:p>
              </w:tc>
              <w:tc>
                <w:tcPr>
                  <w:tcW w:w="1063" w:type="pct"/>
                  <w:tcBorders>
                    <w:tl2br w:val="nil"/>
                    <w:tr2bl w:val="nil"/>
                  </w:tcBorders>
                  <w:noWrap w:val="0"/>
                  <w:vAlign w:val="center"/>
                </w:tcPr>
                <w:p w14:paraId="3D06AAA6">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监测项目</w:t>
                  </w:r>
                </w:p>
              </w:tc>
              <w:tc>
                <w:tcPr>
                  <w:tcW w:w="668" w:type="pct"/>
                  <w:tcBorders>
                    <w:tl2br w:val="nil"/>
                    <w:tr2bl w:val="nil"/>
                  </w:tcBorders>
                  <w:noWrap w:val="0"/>
                  <w:vAlign w:val="center"/>
                </w:tcPr>
                <w:p w14:paraId="26572BE1">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监测频率</w:t>
                  </w:r>
                </w:p>
              </w:tc>
              <w:tc>
                <w:tcPr>
                  <w:tcW w:w="1067" w:type="pct"/>
                  <w:tcBorders>
                    <w:tl2br w:val="nil"/>
                    <w:tr2bl w:val="nil"/>
                  </w:tcBorders>
                  <w:noWrap w:val="0"/>
                  <w:vAlign w:val="center"/>
                </w:tcPr>
                <w:p w14:paraId="0AF3ED81">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监测单位</w:t>
                  </w:r>
                </w:p>
              </w:tc>
            </w:tr>
            <w:tr w14:paraId="5D9E02A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5" w:type="pct"/>
                  <w:tcBorders>
                    <w:tl2br w:val="nil"/>
                    <w:tr2bl w:val="nil"/>
                  </w:tcBorders>
                  <w:noWrap w:val="0"/>
                  <w:vAlign w:val="center"/>
                </w:tcPr>
                <w:p w14:paraId="29B6765C">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534" w:type="pct"/>
                  <w:tcBorders>
                    <w:tl2br w:val="nil"/>
                    <w:tr2bl w:val="nil"/>
                  </w:tcBorders>
                  <w:noWrap w:val="0"/>
                  <w:vAlign w:val="center"/>
                </w:tcPr>
                <w:p w14:paraId="049B8417">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东、西、南、北厂界外1m</w:t>
                  </w:r>
                </w:p>
              </w:tc>
              <w:tc>
                <w:tcPr>
                  <w:tcW w:w="1063" w:type="pct"/>
                  <w:tcBorders>
                    <w:tl2br w:val="nil"/>
                    <w:tr2bl w:val="nil"/>
                  </w:tcBorders>
                  <w:noWrap w:val="0"/>
                  <w:vAlign w:val="center"/>
                </w:tcPr>
                <w:p w14:paraId="0C7100B4">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等效连续A声级</w:t>
                  </w:r>
                </w:p>
              </w:tc>
              <w:tc>
                <w:tcPr>
                  <w:tcW w:w="668" w:type="pct"/>
                  <w:tcBorders>
                    <w:tl2br w:val="nil"/>
                    <w:tr2bl w:val="nil"/>
                  </w:tcBorders>
                  <w:noWrap w:val="0"/>
                  <w:vAlign w:val="center"/>
                </w:tcPr>
                <w:p w14:paraId="5A59A6FB">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1次/季度</w:t>
                  </w:r>
                </w:p>
              </w:tc>
              <w:tc>
                <w:tcPr>
                  <w:tcW w:w="1067" w:type="pct"/>
                  <w:tcBorders>
                    <w:tl2br w:val="nil"/>
                    <w:tr2bl w:val="nil"/>
                  </w:tcBorders>
                  <w:noWrap w:val="0"/>
                  <w:vAlign w:val="center"/>
                </w:tcPr>
                <w:p w14:paraId="61C55225">
                  <w:pPr>
                    <w:pStyle w:val="183"/>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委托有资质单位</w:t>
                  </w:r>
                </w:p>
              </w:tc>
            </w:tr>
          </w:tbl>
          <w:p w14:paraId="3DAE1E4B">
            <w:pPr>
              <w:adjustRightInd w:val="0"/>
              <w:snapToGrid w:val="0"/>
              <w:spacing w:line="360" w:lineRule="auto"/>
              <w:rPr>
                <w:rFonts w:ascii="Times New Roman" w:hAnsi="Times New Roman"/>
                <w:b/>
                <w:color w:val="auto"/>
                <w:sz w:val="24"/>
                <w:szCs w:val="24"/>
              </w:rPr>
            </w:pPr>
            <w:r>
              <w:rPr>
                <w:rFonts w:ascii="Times New Roman" w:hAnsi="Times New Roman"/>
                <w:b/>
                <w:color w:val="auto"/>
                <w:sz w:val="24"/>
                <w:szCs w:val="24"/>
              </w:rPr>
              <w:t>4.2.4固废</w:t>
            </w:r>
          </w:p>
          <w:p w14:paraId="26EE5CE9">
            <w:pPr>
              <w:pStyle w:val="137"/>
              <w:ind w:firstLine="0" w:firstLineChars="0"/>
              <w:jc w:val="both"/>
              <w:rPr>
                <w:rFonts w:ascii="Times New Roman" w:hAnsi="Times New Roman"/>
                <w:b/>
                <w:color w:val="auto"/>
                <w:sz w:val="24"/>
                <w:szCs w:val="24"/>
              </w:rPr>
            </w:pPr>
            <w:r>
              <w:rPr>
                <w:rFonts w:ascii="Times New Roman" w:hAnsi="Times New Roman"/>
                <w:b/>
                <w:color w:val="auto"/>
                <w:sz w:val="24"/>
                <w:szCs w:val="24"/>
              </w:rPr>
              <w:t>4.2.4.1污染源强</w:t>
            </w:r>
          </w:p>
          <w:p w14:paraId="6AF31F55">
            <w:pPr>
              <w:pStyle w:val="137"/>
              <w:ind w:firstLine="480"/>
              <w:rPr>
                <w:rFonts w:hint="default" w:ascii="Times New Roman" w:hAnsi="Times New Roman" w:eastAsia="宋体"/>
                <w:color w:val="auto"/>
                <w:sz w:val="24"/>
                <w:szCs w:val="24"/>
                <w:lang w:val="en-US" w:eastAsia="zh-CN"/>
              </w:rPr>
            </w:pPr>
            <w:r>
              <w:rPr>
                <w:rFonts w:ascii="Times New Roman" w:hAnsi="Times New Roman"/>
                <w:color w:val="auto"/>
                <w:sz w:val="24"/>
                <w:szCs w:val="24"/>
              </w:rPr>
              <w:t>项目生产过程中产生的固废主要有</w:t>
            </w:r>
            <w:r>
              <w:rPr>
                <w:rFonts w:hint="eastAsia"/>
                <w:color w:val="auto"/>
                <w:sz w:val="24"/>
                <w:szCs w:val="24"/>
                <w:lang w:val="en-US" w:eastAsia="zh-CN"/>
              </w:rPr>
              <w:t>废包装袋、废布袋、废铁块、废石子、</w:t>
            </w:r>
            <w:r>
              <w:rPr>
                <w:rFonts w:hint="eastAsia"/>
                <w:color w:val="auto"/>
                <w:sz w:val="24"/>
                <w:lang w:val="en-US" w:eastAsia="zh-CN"/>
              </w:rPr>
              <w:t>除尘</w:t>
            </w:r>
            <w:r>
              <w:rPr>
                <w:rFonts w:hint="eastAsia"/>
                <w:bCs/>
                <w:color w:val="auto"/>
                <w:sz w:val="24"/>
                <w:szCs w:val="24"/>
                <w:lang w:val="en-US" w:eastAsia="zh-CN"/>
              </w:rPr>
              <w:t>设施</w:t>
            </w:r>
            <w:r>
              <w:rPr>
                <w:rFonts w:hint="eastAsia"/>
                <w:color w:val="auto"/>
                <w:sz w:val="24"/>
                <w:lang w:val="en-US" w:eastAsia="zh-CN"/>
              </w:rPr>
              <w:t>收集粉尘、</w:t>
            </w:r>
            <w:r>
              <w:rPr>
                <w:rFonts w:ascii="Times New Roman" w:hAnsi="Times New Roman"/>
                <w:bCs/>
                <w:color w:val="auto"/>
                <w:sz w:val="24"/>
                <w:szCs w:val="24"/>
              </w:rPr>
              <w:t>生活垃圾</w:t>
            </w:r>
            <w:r>
              <w:rPr>
                <w:rFonts w:ascii="Times New Roman" w:hAnsi="Times New Roman"/>
                <w:color w:val="auto"/>
                <w:sz w:val="24"/>
                <w:szCs w:val="24"/>
              </w:rPr>
              <w:t>。</w:t>
            </w:r>
          </w:p>
          <w:p w14:paraId="3B57AC76">
            <w:pPr>
              <w:pStyle w:val="149"/>
              <w:ind w:firstLine="480"/>
              <w:rPr>
                <w:rFonts w:ascii="Times New Roman" w:hAnsi="Times New Roman"/>
                <w:bCs/>
                <w:color w:val="auto"/>
              </w:rPr>
            </w:pPr>
            <w:r>
              <w:rPr>
                <w:rFonts w:ascii="Times New Roman" w:hAnsi="Times New Roman"/>
                <w:bCs/>
                <w:color w:val="auto"/>
              </w:rPr>
              <w:t>（1）一般工业固废</w:t>
            </w:r>
          </w:p>
          <w:p w14:paraId="65FD3EA4">
            <w:pPr>
              <w:pStyle w:val="137"/>
              <w:ind w:firstLine="480"/>
              <w:rPr>
                <w:rFonts w:hint="eastAsia" w:ascii="Times New Roman" w:hAnsi="Times New Roman"/>
                <w:color w:val="auto"/>
                <w:sz w:val="24"/>
                <w:szCs w:val="24"/>
                <w:lang w:val="en-US" w:eastAsia="zh-CN"/>
              </w:rPr>
            </w:pPr>
            <w:r>
              <w:rPr>
                <w:rFonts w:hint="eastAsia" w:ascii="Times New Roman" w:hAnsi="Times New Roman" w:cs="宋体"/>
                <w:color w:val="auto"/>
                <w:sz w:val="24"/>
                <w:szCs w:val="24"/>
              </w:rPr>
              <w:t>①</w:t>
            </w:r>
            <w:r>
              <w:rPr>
                <w:rFonts w:hint="eastAsia" w:cs="Times New Roman"/>
                <w:color w:val="auto"/>
                <w:sz w:val="24"/>
                <w:szCs w:val="24"/>
                <w:highlight w:val="none"/>
                <w:lang w:val="en-US" w:eastAsia="zh-CN"/>
              </w:rPr>
              <w:t>废铁块</w:t>
            </w:r>
          </w:p>
          <w:p w14:paraId="35F9A08C">
            <w:pPr>
              <w:pStyle w:val="137"/>
              <w:ind w:firstLine="48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根据建设单位提供材料，磁选过程产生的废铁块约占原料的5%，本项目原料用量为35000t/d，故废铁块产生量约为1750t/a。收集后暂存于一般固废间</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外售综合利用</w:t>
            </w:r>
            <w:r>
              <w:rPr>
                <w:rFonts w:hint="eastAsia" w:cs="Times New Roman"/>
                <w:color w:val="auto"/>
                <w:sz w:val="24"/>
                <w:szCs w:val="24"/>
                <w:highlight w:val="none"/>
                <w:lang w:val="en-US" w:eastAsia="zh-CN"/>
              </w:rPr>
              <w:t>。</w:t>
            </w:r>
          </w:p>
          <w:p w14:paraId="716CBAEF">
            <w:pPr>
              <w:pStyle w:val="137"/>
              <w:ind w:firstLine="48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②废包装物</w:t>
            </w:r>
          </w:p>
          <w:p w14:paraId="574BF1B9">
            <w:pPr>
              <w:pStyle w:val="137"/>
              <w:ind w:firstLine="48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w:t>
            </w:r>
            <w:r>
              <w:rPr>
                <w:rFonts w:hint="eastAsia" w:cs="Times New Roman"/>
                <w:color w:val="auto"/>
                <w:sz w:val="24"/>
                <w:szCs w:val="24"/>
                <w:highlight w:val="none"/>
                <w:lang w:val="en-US" w:eastAsia="zh-CN"/>
              </w:rPr>
              <w:t>原料使用及包装工序</w:t>
            </w:r>
            <w:r>
              <w:rPr>
                <w:rFonts w:hint="default" w:ascii="Times New Roman" w:hAnsi="Times New Roman" w:cs="Times New Roman"/>
                <w:color w:val="auto"/>
                <w:sz w:val="24"/>
                <w:szCs w:val="24"/>
                <w:highlight w:val="none"/>
                <w:lang w:val="en-US" w:eastAsia="zh-CN"/>
              </w:rPr>
              <w:t>会产生废包装袋，均为聚乙烯包装袋，产生量约为 0.</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t/a，统一收集后外售综合利用</w:t>
            </w:r>
            <w:r>
              <w:rPr>
                <w:rFonts w:hint="eastAsia" w:ascii="Times New Roman" w:hAnsi="Times New Roman" w:cs="Times New Roman"/>
                <w:color w:val="auto"/>
                <w:sz w:val="24"/>
                <w:szCs w:val="24"/>
                <w:highlight w:val="none"/>
                <w:lang w:val="en-US" w:eastAsia="zh-CN"/>
              </w:rPr>
              <w:t>。</w:t>
            </w:r>
          </w:p>
          <w:p w14:paraId="2841DBDF">
            <w:pPr>
              <w:pStyle w:val="137"/>
              <w:ind w:firstLine="480"/>
              <w:rPr>
                <w:rFonts w:hint="eastAsia"/>
                <w:color w:val="auto"/>
                <w:sz w:val="24"/>
                <w:szCs w:val="24"/>
                <w:lang w:val="en-US" w:eastAsia="zh-CN"/>
              </w:rPr>
            </w:pPr>
            <w:r>
              <w:rPr>
                <w:rFonts w:hint="eastAsia" w:ascii="Times New Roman" w:hAnsi="Times New Roman" w:cs="Times New Roman"/>
                <w:color w:val="auto"/>
                <w:sz w:val="24"/>
                <w:szCs w:val="24"/>
                <w:highlight w:val="none"/>
                <w:lang w:val="en-US" w:eastAsia="zh-CN"/>
              </w:rPr>
              <w:t>③</w:t>
            </w:r>
            <w:r>
              <w:rPr>
                <w:rFonts w:hint="eastAsia"/>
                <w:color w:val="auto"/>
                <w:sz w:val="24"/>
                <w:szCs w:val="24"/>
                <w:lang w:val="en-US" w:eastAsia="zh-CN"/>
              </w:rPr>
              <w:t>废石子</w:t>
            </w:r>
          </w:p>
          <w:p w14:paraId="012E36D7">
            <w:pPr>
              <w:pStyle w:val="137"/>
              <w:ind w:firstLine="480"/>
              <w:rPr>
                <w:rFonts w:hint="default"/>
                <w:color w:val="auto"/>
                <w:sz w:val="24"/>
                <w:szCs w:val="24"/>
                <w:lang w:val="en-US" w:eastAsia="zh-CN"/>
              </w:rPr>
            </w:pPr>
            <w:r>
              <w:rPr>
                <w:rFonts w:hint="eastAsia"/>
                <w:color w:val="auto"/>
                <w:sz w:val="24"/>
                <w:szCs w:val="24"/>
                <w:lang w:val="en-US" w:eastAsia="zh-CN"/>
              </w:rPr>
              <w:t>项目重力分选过程中会产生一定量的废石子，根据建设单位提供材料，废石子的产生量</w:t>
            </w:r>
            <w:r>
              <w:rPr>
                <w:rFonts w:hint="eastAsia" w:cs="Times New Roman"/>
                <w:color w:val="auto"/>
                <w:sz w:val="24"/>
                <w:szCs w:val="24"/>
                <w:highlight w:val="none"/>
                <w:lang w:val="en-US" w:eastAsia="zh-CN"/>
              </w:rPr>
              <w:t>约占原来用量的5%，本项目原料用量为35000t/d，故</w:t>
            </w:r>
            <w:r>
              <w:rPr>
                <w:rFonts w:hint="eastAsia"/>
                <w:color w:val="auto"/>
                <w:sz w:val="24"/>
                <w:szCs w:val="24"/>
                <w:lang w:val="en-US" w:eastAsia="zh-CN"/>
              </w:rPr>
              <w:t>废石子</w:t>
            </w:r>
            <w:r>
              <w:rPr>
                <w:rFonts w:hint="eastAsia" w:cs="Times New Roman"/>
                <w:color w:val="auto"/>
                <w:sz w:val="24"/>
                <w:szCs w:val="24"/>
                <w:highlight w:val="none"/>
                <w:lang w:val="en-US" w:eastAsia="zh-CN"/>
              </w:rPr>
              <w:t>产生量约为1750t/a。</w:t>
            </w:r>
            <w:r>
              <w:rPr>
                <w:rFonts w:hint="eastAsia" w:ascii="Times New Roman" w:hAnsi="Times New Roman"/>
                <w:color w:val="auto"/>
                <w:sz w:val="24"/>
                <w:szCs w:val="24"/>
                <w:lang w:val="en-US" w:eastAsia="zh-CN"/>
              </w:rPr>
              <w:t>经收集后</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外售综合处置利用</w:t>
            </w:r>
            <w:r>
              <w:rPr>
                <w:rFonts w:hint="eastAsia" w:ascii="Times New Roman" w:hAnsi="Times New Roman"/>
                <w:color w:val="auto"/>
                <w:sz w:val="24"/>
                <w:szCs w:val="24"/>
                <w:lang w:val="en-US" w:eastAsia="zh-CN"/>
              </w:rPr>
              <w:t>。</w:t>
            </w:r>
          </w:p>
          <w:p w14:paraId="488EED4A">
            <w:pPr>
              <w:pStyle w:val="137"/>
              <w:ind w:firstLine="480"/>
              <w:rPr>
                <w:rFonts w:hint="default" w:ascii="Times New Roman" w:hAnsi="Times New Roman"/>
                <w:color w:val="auto"/>
                <w:sz w:val="24"/>
                <w:szCs w:val="24"/>
                <w:lang w:val="en-US" w:eastAsia="zh-CN"/>
              </w:rPr>
            </w:pPr>
            <w:r>
              <w:rPr>
                <w:rFonts w:hint="eastAsia"/>
                <w:bCs/>
                <w:color w:val="auto"/>
                <w:sz w:val="24"/>
                <w:szCs w:val="24"/>
                <w:lang w:val="en-US" w:eastAsia="zh-CN"/>
              </w:rPr>
              <w:t>④除尘设施收集粉尘</w:t>
            </w:r>
          </w:p>
          <w:p w14:paraId="0474D59E">
            <w:pPr>
              <w:pStyle w:val="137"/>
              <w:ind w:firstLine="480"/>
              <w:rPr>
                <w:rFonts w:hint="eastAsia" w:ascii="Times New Roman" w:hAnsi="Times New Roman"/>
                <w:bCs/>
                <w:color w:val="auto"/>
                <w:sz w:val="24"/>
                <w:szCs w:val="24"/>
              </w:rPr>
            </w:pPr>
            <w:r>
              <w:rPr>
                <w:rFonts w:hint="eastAsia" w:ascii="Times New Roman" w:hAnsi="Times New Roman"/>
                <w:color w:val="auto"/>
                <w:sz w:val="24"/>
                <w:szCs w:val="24"/>
                <w:lang w:val="en-US" w:eastAsia="zh-CN"/>
              </w:rPr>
              <w:t>根据项目废气源强分析，项目废气除尘装置收集的粉尘量约为</w:t>
            </w:r>
            <w:r>
              <w:rPr>
                <w:rFonts w:hint="eastAsia"/>
                <w:color w:val="auto"/>
                <w:sz w:val="24"/>
                <w:szCs w:val="24"/>
                <w:lang w:val="en-US" w:eastAsia="zh-CN"/>
              </w:rPr>
              <w:t>82.588</w:t>
            </w:r>
            <w:r>
              <w:rPr>
                <w:rFonts w:hint="eastAsia" w:ascii="Times New Roman" w:hAnsi="Times New Roman"/>
                <w:color w:val="auto"/>
                <w:sz w:val="24"/>
                <w:szCs w:val="24"/>
                <w:lang w:val="en-US" w:eastAsia="zh-CN"/>
              </w:rPr>
              <w:t>t/a，经收集后</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回用于生产</w:t>
            </w:r>
            <w:r>
              <w:rPr>
                <w:rFonts w:hint="eastAsia" w:ascii="Times New Roman" w:hAnsi="Times New Roman"/>
                <w:color w:val="auto"/>
                <w:sz w:val="24"/>
                <w:szCs w:val="24"/>
                <w:lang w:val="en-US" w:eastAsia="zh-CN"/>
              </w:rPr>
              <w:t>。</w:t>
            </w:r>
          </w:p>
          <w:p w14:paraId="4F8953FC">
            <w:pPr>
              <w:pStyle w:val="137"/>
              <w:ind w:firstLine="480"/>
              <w:rPr>
                <w:rFonts w:hint="eastAsia" w:ascii="Times New Roman" w:hAnsi="Times New Roman"/>
                <w:color w:val="auto"/>
                <w:sz w:val="24"/>
                <w:szCs w:val="24"/>
                <w:lang w:val="en-US" w:eastAsia="zh-CN"/>
              </w:rPr>
            </w:pPr>
            <w:r>
              <w:rPr>
                <w:rFonts w:hint="eastAsia"/>
                <w:bCs/>
                <w:color w:val="auto"/>
                <w:sz w:val="24"/>
                <w:szCs w:val="24"/>
                <w:lang w:val="en-US" w:eastAsia="zh-CN"/>
              </w:rPr>
              <w:t>⑤</w:t>
            </w:r>
            <w:r>
              <w:rPr>
                <w:rFonts w:hint="eastAsia" w:ascii="Times New Roman" w:hAnsi="Times New Roman"/>
                <w:color w:val="auto"/>
                <w:sz w:val="24"/>
                <w:szCs w:val="24"/>
                <w:lang w:val="en-US" w:eastAsia="zh-CN"/>
              </w:rPr>
              <w:t>废布袋</w:t>
            </w:r>
          </w:p>
          <w:p w14:paraId="3DACCE2C">
            <w:pPr>
              <w:pStyle w:val="137"/>
              <w:ind w:firstLine="48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布袋除尘器使用过程中需要不定期更换破损的布袋，废布袋产生量约为0.2</w:t>
            </w:r>
            <w:r>
              <w:rPr>
                <w:rFonts w:ascii="Times New Roman" w:hAnsi="Times New Roman"/>
                <w:color w:val="auto"/>
                <w:sz w:val="24"/>
                <w:szCs w:val="24"/>
                <w:highlight w:val="none"/>
              </w:rPr>
              <w:t>t/a</w:t>
            </w:r>
            <w:r>
              <w:rPr>
                <w:rFonts w:hint="eastAsia" w:ascii="Times New Roman" w:hAnsi="Times New Roman"/>
                <w:color w:val="auto"/>
                <w:sz w:val="24"/>
                <w:szCs w:val="24"/>
                <w:highlight w:val="none"/>
                <w:lang w:eastAsia="zh-CN"/>
              </w:rPr>
              <w:t>。废布袋</w:t>
            </w:r>
            <w:r>
              <w:rPr>
                <w:rFonts w:hint="eastAsia" w:ascii="Times New Roman" w:hAnsi="Times New Roman"/>
                <w:color w:val="auto"/>
                <w:sz w:val="24"/>
                <w:szCs w:val="24"/>
                <w:highlight w:val="none"/>
                <w:lang w:val="en-US" w:eastAsia="zh-CN"/>
              </w:rPr>
              <w:t>属于一般固体</w:t>
            </w:r>
            <w:r>
              <w:rPr>
                <w:rFonts w:hint="default" w:ascii="Times New Roman" w:hAnsi="Times New Roman" w:cs="Times New Roman"/>
                <w:color w:val="auto"/>
                <w:sz w:val="24"/>
                <w:szCs w:val="24"/>
                <w:highlight w:val="none"/>
                <w:lang w:val="en-US" w:eastAsia="zh-CN"/>
              </w:rPr>
              <w:t>废物</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外售综合处置利用</w:t>
            </w:r>
            <w:r>
              <w:rPr>
                <w:rFonts w:hint="eastAsia" w:cs="Times New Roman"/>
                <w:color w:val="auto"/>
                <w:sz w:val="24"/>
                <w:szCs w:val="24"/>
                <w:highlight w:val="none"/>
                <w:lang w:val="en-US" w:eastAsia="zh-CN"/>
              </w:rPr>
              <w:t>。</w:t>
            </w:r>
          </w:p>
          <w:p w14:paraId="78466D77">
            <w:pPr>
              <w:pStyle w:val="137"/>
              <w:ind w:firstLine="480"/>
              <w:rPr>
                <w:rFonts w:hint="eastAsia" w:ascii="Times New Roman" w:hAnsi="Times New Roman" w:cs="Times New Roman"/>
                <w:color w:val="auto"/>
                <w:sz w:val="24"/>
                <w:szCs w:val="24"/>
                <w:highlight w:val="none"/>
                <w:lang w:val="en-US" w:eastAsia="zh-CN"/>
              </w:rPr>
            </w:pPr>
            <w:r>
              <w:rPr>
                <w:rFonts w:ascii="Times New Roman" w:hAnsi="Times New Roman"/>
                <w:bCs/>
                <w:color w:val="auto"/>
                <w:sz w:val="24"/>
                <w:szCs w:val="24"/>
              </w:rPr>
              <w:t>（</w:t>
            </w:r>
            <w:r>
              <w:rPr>
                <w:rFonts w:hint="eastAsia" w:ascii="Times New Roman" w:hAnsi="Times New Roman"/>
                <w:bCs/>
                <w:color w:val="auto"/>
                <w:sz w:val="24"/>
                <w:szCs w:val="24"/>
                <w:lang w:val="en-US" w:eastAsia="zh-CN"/>
              </w:rPr>
              <w:t>2</w:t>
            </w:r>
            <w:r>
              <w:rPr>
                <w:rFonts w:ascii="Times New Roman" w:hAnsi="Times New Roman"/>
                <w:bCs/>
                <w:color w:val="auto"/>
                <w:sz w:val="24"/>
                <w:szCs w:val="24"/>
              </w:rPr>
              <w:t>）</w:t>
            </w:r>
            <w:r>
              <w:rPr>
                <w:rFonts w:hint="eastAsia" w:ascii="Times New Roman" w:hAnsi="Times New Roman" w:cs="Times New Roman"/>
                <w:color w:val="auto"/>
                <w:sz w:val="24"/>
                <w:szCs w:val="24"/>
                <w:highlight w:val="none"/>
                <w:lang w:val="en-US" w:eastAsia="zh-CN"/>
              </w:rPr>
              <w:t>生活垃圾</w:t>
            </w:r>
          </w:p>
          <w:p w14:paraId="6ECA3A5D">
            <w:pPr>
              <w:pStyle w:val="137"/>
              <w:ind w:firstLine="48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职工</w:t>
            </w:r>
            <w:r>
              <w:rPr>
                <w:rFonts w:hint="eastAsia" w:cs="Times New Roman"/>
                <w:color w:val="auto"/>
                <w:sz w:val="24"/>
                <w:szCs w:val="24"/>
                <w:highlight w:val="none"/>
                <w:lang w:val="en-US" w:eastAsia="zh-CN"/>
              </w:rPr>
              <w:t>30</w:t>
            </w:r>
            <w:r>
              <w:rPr>
                <w:rFonts w:hint="default" w:ascii="Times New Roman" w:hAnsi="Times New Roman" w:cs="Times New Roman"/>
                <w:color w:val="auto"/>
                <w:sz w:val="24"/>
                <w:szCs w:val="24"/>
                <w:highlight w:val="none"/>
                <w:lang w:val="en-US" w:eastAsia="zh-CN"/>
              </w:rPr>
              <w:t>人，员工生活垃圾产生系数按0.5kg/人·天计，年工作300天，生活垃圾产生量为</w:t>
            </w:r>
            <w:r>
              <w:rPr>
                <w:rFonts w:hint="eastAsia" w:cs="Times New Roman"/>
                <w:color w:val="auto"/>
                <w:sz w:val="24"/>
                <w:szCs w:val="24"/>
                <w:highlight w:val="none"/>
                <w:lang w:val="en-US" w:eastAsia="zh-CN"/>
              </w:rPr>
              <w:t>4.5</w:t>
            </w:r>
            <w:r>
              <w:rPr>
                <w:rFonts w:hint="default" w:ascii="Times New Roman" w:hAnsi="Times New Roman" w:cs="Times New Roman"/>
                <w:color w:val="auto"/>
                <w:sz w:val="24"/>
                <w:szCs w:val="24"/>
                <w:highlight w:val="none"/>
                <w:lang w:val="en-US" w:eastAsia="zh-CN"/>
              </w:rPr>
              <w:t>t/a。生活垃圾经集中收集后委托环卫部门统一清运处置。</w:t>
            </w:r>
          </w:p>
          <w:p w14:paraId="7850ABC5">
            <w:pPr>
              <w:pStyle w:val="137"/>
              <w:ind w:firstLine="480"/>
              <w:rPr>
                <w:rFonts w:ascii="Times New Roman" w:hAnsi="Times New Roman"/>
                <w:color w:val="auto"/>
                <w:sz w:val="24"/>
                <w:szCs w:val="24"/>
              </w:rPr>
            </w:pPr>
            <w:r>
              <w:rPr>
                <w:rFonts w:ascii="Times New Roman" w:hAnsi="Times New Roman"/>
                <w:color w:val="auto"/>
                <w:sz w:val="24"/>
                <w:szCs w:val="24"/>
              </w:rPr>
              <w:t>综上分析，项目运营期各类固体废物产生及处置情况详见</w:t>
            </w:r>
            <w:r>
              <w:rPr>
                <w:rFonts w:ascii="Times New Roman" w:hAnsi="Times New Roman"/>
                <w:color w:val="auto"/>
                <w:sz w:val="24"/>
                <w:szCs w:val="24"/>
              </w:rPr>
              <w:fldChar w:fldCharType="begin"/>
            </w:r>
            <w:r>
              <w:rPr>
                <w:rFonts w:ascii="Times New Roman" w:hAnsi="Times New Roman"/>
                <w:color w:val="auto"/>
                <w:sz w:val="24"/>
                <w:szCs w:val="24"/>
              </w:rPr>
              <w:instrText xml:space="preserve"> REF _Ref88837703 \r \h  \* MERGEFORMAT </w:instrText>
            </w:r>
            <w:r>
              <w:rPr>
                <w:rFonts w:ascii="Times New Roman" w:hAnsi="Times New Roman"/>
                <w:color w:val="auto"/>
                <w:sz w:val="24"/>
                <w:szCs w:val="24"/>
              </w:rPr>
              <w:fldChar w:fldCharType="separate"/>
            </w:r>
            <w:r>
              <w:rPr>
                <w:rFonts w:hint="eastAsia" w:ascii="Times New Roman" w:hAnsi="Times New Roman"/>
                <w:color w:val="auto"/>
                <w:sz w:val="24"/>
                <w:szCs w:val="24"/>
              </w:rPr>
              <w:t>表</w:t>
            </w:r>
            <w:r>
              <w:rPr>
                <w:rFonts w:ascii="Times New Roman" w:hAnsi="Times New Roman"/>
                <w:color w:val="auto"/>
                <w:sz w:val="24"/>
                <w:szCs w:val="24"/>
              </w:rPr>
              <w:fldChar w:fldCharType="end"/>
            </w:r>
            <w:r>
              <w:rPr>
                <w:rFonts w:hint="eastAsia"/>
                <w:color w:val="auto"/>
                <w:sz w:val="24"/>
                <w:szCs w:val="24"/>
                <w:lang w:val="en-US" w:eastAsia="zh-CN"/>
              </w:rPr>
              <w:t>36</w:t>
            </w:r>
            <w:r>
              <w:rPr>
                <w:rFonts w:ascii="Times New Roman" w:hAnsi="Times New Roman"/>
                <w:color w:val="auto"/>
                <w:sz w:val="24"/>
                <w:szCs w:val="24"/>
              </w:rPr>
              <w:t>。</w:t>
            </w:r>
          </w:p>
        </w:tc>
      </w:tr>
    </w:tbl>
    <w:p w14:paraId="5574EF68">
      <w:pPr>
        <w:rPr>
          <w:rFonts w:ascii="Times New Roman" w:hAnsi="Times New Roman"/>
          <w:snapToGrid w:val="0"/>
          <w:color w:val="auto"/>
        </w:rPr>
      </w:pPr>
    </w:p>
    <w:p w14:paraId="6C17F599">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snapToGrid w:val="0"/>
          <w:color w:val="auto"/>
        </w:rPr>
        <w:sectPr>
          <w:pgSz w:w="11907" w:h="16840"/>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C1FB2B8">
      <w:pPr>
        <w:pStyle w:val="22"/>
        <w:numPr>
          <w:ilvl w:val="0"/>
          <w:numId w:val="8"/>
        </w:numPr>
        <w:spacing w:before="120" w:beforeLines="50" w:after="0" w:line="240" w:lineRule="auto"/>
        <w:ind w:left="0" w:leftChars="0" w:firstLine="0" w:firstLineChars="0"/>
        <w:rPr>
          <w:rFonts w:ascii="Times New Roman" w:hAnsi="Times New Roman" w:eastAsia="宋体" w:cs="Times New Roman"/>
          <w:b/>
          <w:bCs/>
          <w:snapToGrid w:val="0"/>
          <w:color w:val="auto"/>
          <w:sz w:val="24"/>
          <w:szCs w:val="24"/>
        </w:rPr>
      </w:pPr>
      <w:r>
        <w:rPr>
          <w:rFonts w:ascii="Times New Roman" w:hAnsi="Times New Roman" w:eastAsia="宋体" w:cs="Times New Roman"/>
          <w:b/>
          <w:bCs/>
          <w:snapToGrid w:val="0"/>
          <w:color w:val="auto"/>
          <w:sz w:val="24"/>
          <w:szCs w:val="24"/>
        </w:rPr>
        <w:t xml:space="preserve">项目固体废物排放信息一览表  </w:t>
      </w:r>
    </w:p>
    <w:p w14:paraId="06093BED">
      <w:pPr>
        <w:rPr>
          <w:rFonts w:ascii="Times New Roman" w:hAnsi="Times New Roman"/>
          <w:snapToGrid w:val="0"/>
          <w:color w:val="auto"/>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847"/>
        <w:gridCol w:w="894"/>
        <w:gridCol w:w="749"/>
        <w:gridCol w:w="1610"/>
        <w:gridCol w:w="1233"/>
        <w:gridCol w:w="667"/>
        <w:gridCol w:w="809"/>
        <w:gridCol w:w="899"/>
        <w:gridCol w:w="1066"/>
        <w:gridCol w:w="1263"/>
        <w:gridCol w:w="1025"/>
        <w:gridCol w:w="1982"/>
      </w:tblGrid>
      <w:tr w14:paraId="4E21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Merge w:val="restart"/>
            <w:noWrap w:val="0"/>
            <w:vAlign w:val="center"/>
          </w:tcPr>
          <w:p w14:paraId="64B1C10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运营</w:t>
            </w:r>
          </w:p>
          <w:p w14:paraId="3F2CB50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期环</w:t>
            </w:r>
          </w:p>
          <w:p w14:paraId="12DABBE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境影</w:t>
            </w:r>
          </w:p>
          <w:p w14:paraId="1A3F24A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响和</w:t>
            </w:r>
          </w:p>
          <w:p w14:paraId="1845C32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w:t>
            </w:r>
          </w:p>
          <w:p w14:paraId="406E1D8A">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color w:val="auto"/>
                <w:sz w:val="21"/>
                <w:szCs w:val="21"/>
              </w:rPr>
              <w:t>措施</w:t>
            </w:r>
          </w:p>
        </w:tc>
        <w:tc>
          <w:tcPr>
            <w:tcW w:w="310" w:type="pct"/>
            <w:noWrap w:val="0"/>
            <w:vAlign w:val="center"/>
          </w:tcPr>
          <w:p w14:paraId="1C30403D">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产生</w:t>
            </w:r>
          </w:p>
          <w:p w14:paraId="1D48801A">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环节</w:t>
            </w:r>
          </w:p>
        </w:tc>
        <w:tc>
          <w:tcPr>
            <w:tcW w:w="327" w:type="pct"/>
            <w:noWrap w:val="0"/>
            <w:vAlign w:val="center"/>
          </w:tcPr>
          <w:p w14:paraId="4DF95ED6">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名称</w:t>
            </w:r>
          </w:p>
        </w:tc>
        <w:tc>
          <w:tcPr>
            <w:tcW w:w="274" w:type="pct"/>
            <w:noWrap w:val="0"/>
            <w:vAlign w:val="center"/>
          </w:tcPr>
          <w:p w14:paraId="3B55B046">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属性</w:t>
            </w:r>
          </w:p>
        </w:tc>
        <w:tc>
          <w:tcPr>
            <w:tcW w:w="589" w:type="pct"/>
            <w:noWrap w:val="0"/>
            <w:vAlign w:val="center"/>
          </w:tcPr>
          <w:p w14:paraId="1CFF728B">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编码</w:t>
            </w:r>
          </w:p>
        </w:tc>
        <w:tc>
          <w:tcPr>
            <w:tcW w:w="451" w:type="pct"/>
            <w:noWrap w:val="0"/>
            <w:vAlign w:val="center"/>
          </w:tcPr>
          <w:p w14:paraId="500FCDE9">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主要有毒有害物质名称</w:t>
            </w:r>
          </w:p>
        </w:tc>
        <w:tc>
          <w:tcPr>
            <w:tcW w:w="244" w:type="pct"/>
            <w:noWrap w:val="0"/>
            <w:vAlign w:val="center"/>
          </w:tcPr>
          <w:p w14:paraId="20F40546">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物理性状</w:t>
            </w:r>
          </w:p>
        </w:tc>
        <w:tc>
          <w:tcPr>
            <w:tcW w:w="296" w:type="pct"/>
            <w:noWrap w:val="0"/>
            <w:vAlign w:val="center"/>
          </w:tcPr>
          <w:p w14:paraId="36D9205F">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环境危险特性</w:t>
            </w:r>
          </w:p>
        </w:tc>
        <w:tc>
          <w:tcPr>
            <w:tcW w:w="329" w:type="pct"/>
            <w:noWrap w:val="0"/>
            <w:vAlign w:val="center"/>
          </w:tcPr>
          <w:p w14:paraId="6C6260F3">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产生量t/a</w:t>
            </w:r>
          </w:p>
        </w:tc>
        <w:tc>
          <w:tcPr>
            <w:tcW w:w="390" w:type="pct"/>
            <w:noWrap w:val="0"/>
            <w:vAlign w:val="center"/>
          </w:tcPr>
          <w:p w14:paraId="3BDDF441">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贮存方式</w:t>
            </w:r>
          </w:p>
        </w:tc>
        <w:tc>
          <w:tcPr>
            <w:tcW w:w="462" w:type="pct"/>
            <w:noWrap w:val="0"/>
            <w:vAlign w:val="center"/>
          </w:tcPr>
          <w:p w14:paraId="79A618E2">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利用方式和去向</w:t>
            </w:r>
          </w:p>
        </w:tc>
        <w:tc>
          <w:tcPr>
            <w:tcW w:w="375" w:type="pct"/>
            <w:noWrap w:val="0"/>
            <w:vAlign w:val="center"/>
          </w:tcPr>
          <w:p w14:paraId="757FD33F">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利用或处置量</w:t>
            </w:r>
          </w:p>
        </w:tc>
        <w:tc>
          <w:tcPr>
            <w:tcW w:w="725" w:type="pct"/>
            <w:noWrap w:val="0"/>
            <w:vAlign w:val="center"/>
          </w:tcPr>
          <w:p w14:paraId="775B55D9">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环境管理要求</w:t>
            </w:r>
          </w:p>
        </w:tc>
      </w:tr>
      <w:tr w14:paraId="15E6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3" w:type="pct"/>
            <w:vMerge w:val="continue"/>
            <w:noWrap w:val="0"/>
            <w:vAlign w:val="center"/>
          </w:tcPr>
          <w:p w14:paraId="7A7593FD">
            <w:pPr>
              <w:jc w:val="center"/>
              <w:rPr>
                <w:rFonts w:hint="default" w:ascii="Times New Roman" w:hAnsi="Times New Roman" w:eastAsia="宋体" w:cs="Times New Roman"/>
                <w:snapToGrid w:val="0"/>
                <w:color w:val="auto"/>
                <w:sz w:val="21"/>
                <w:szCs w:val="21"/>
              </w:rPr>
            </w:pPr>
          </w:p>
        </w:tc>
        <w:tc>
          <w:tcPr>
            <w:tcW w:w="310" w:type="pct"/>
            <w:vMerge w:val="restart"/>
            <w:shd w:val="clear" w:color="auto" w:fill="auto"/>
            <w:noWrap w:val="0"/>
            <w:vAlign w:val="center"/>
          </w:tcPr>
          <w:p w14:paraId="18F46D70">
            <w:pPr>
              <w:jc w:val="center"/>
              <w:rPr>
                <w:rFonts w:hint="default" w:ascii="Times New Roman" w:hAnsi="Times New Roman" w:eastAsia="宋体" w:cs="Times New Roman"/>
                <w:snapToGrid w:val="0"/>
                <w:color w:val="auto"/>
                <w:kern w:val="2"/>
                <w:sz w:val="21"/>
                <w:szCs w:val="21"/>
                <w:lang w:val="en-US" w:eastAsia="zh-CN" w:bidi="ar-SA"/>
              </w:rPr>
            </w:pPr>
            <w:r>
              <w:rPr>
                <w:rFonts w:hint="eastAsia" w:cs="Times New Roman"/>
                <w:snapToGrid w:val="0"/>
                <w:color w:val="auto"/>
                <w:kern w:val="2"/>
                <w:sz w:val="21"/>
                <w:szCs w:val="21"/>
                <w:lang w:val="en-US" w:eastAsia="zh-CN" w:bidi="ar-SA"/>
              </w:rPr>
              <w:t>生产过程</w:t>
            </w:r>
          </w:p>
        </w:tc>
        <w:tc>
          <w:tcPr>
            <w:tcW w:w="327" w:type="pct"/>
            <w:shd w:val="clear" w:color="auto" w:fill="auto"/>
            <w:noWrap w:val="0"/>
            <w:vAlign w:val="center"/>
          </w:tcPr>
          <w:p w14:paraId="50FFC169">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废包装物</w:t>
            </w:r>
          </w:p>
        </w:tc>
        <w:tc>
          <w:tcPr>
            <w:tcW w:w="274" w:type="pct"/>
            <w:vMerge w:val="restart"/>
            <w:noWrap w:val="0"/>
            <w:vAlign w:val="center"/>
          </w:tcPr>
          <w:p w14:paraId="17E7C62B">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一般工业固废</w:t>
            </w:r>
          </w:p>
        </w:tc>
        <w:tc>
          <w:tcPr>
            <w:tcW w:w="589" w:type="pct"/>
            <w:noWrap w:val="0"/>
            <w:vAlign w:val="center"/>
          </w:tcPr>
          <w:p w14:paraId="30A6EF22">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900-099-S59</w:t>
            </w:r>
          </w:p>
        </w:tc>
        <w:tc>
          <w:tcPr>
            <w:tcW w:w="451" w:type="pct"/>
            <w:noWrap w:val="0"/>
            <w:vAlign w:val="center"/>
          </w:tcPr>
          <w:p w14:paraId="50C73B6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sz w:val="21"/>
                <w:szCs w:val="21"/>
              </w:rPr>
              <w:t>——</w:t>
            </w:r>
          </w:p>
        </w:tc>
        <w:tc>
          <w:tcPr>
            <w:tcW w:w="244" w:type="pct"/>
            <w:noWrap w:val="0"/>
            <w:vAlign w:val="center"/>
          </w:tcPr>
          <w:p w14:paraId="0FD2070A">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sz w:val="21"/>
                <w:szCs w:val="21"/>
              </w:rPr>
              <w:t>固态</w:t>
            </w:r>
          </w:p>
        </w:tc>
        <w:tc>
          <w:tcPr>
            <w:tcW w:w="296" w:type="pct"/>
            <w:noWrap w:val="0"/>
            <w:vAlign w:val="center"/>
          </w:tcPr>
          <w:p w14:paraId="205A4AD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sz w:val="21"/>
                <w:szCs w:val="21"/>
              </w:rPr>
              <w:t>——</w:t>
            </w:r>
          </w:p>
        </w:tc>
        <w:tc>
          <w:tcPr>
            <w:tcW w:w="329" w:type="pct"/>
            <w:noWrap w:val="0"/>
            <w:vAlign w:val="center"/>
          </w:tcPr>
          <w:p w14:paraId="4F14C0BD">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0.5</w:t>
            </w:r>
          </w:p>
        </w:tc>
        <w:tc>
          <w:tcPr>
            <w:tcW w:w="390" w:type="pct"/>
            <w:vMerge w:val="restart"/>
            <w:noWrap w:val="0"/>
            <w:vAlign w:val="center"/>
          </w:tcPr>
          <w:p w14:paraId="13EA9399">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暂存于一般固废暂存间</w:t>
            </w:r>
          </w:p>
        </w:tc>
        <w:tc>
          <w:tcPr>
            <w:tcW w:w="462" w:type="pct"/>
            <w:vMerge w:val="restart"/>
            <w:noWrap w:val="0"/>
            <w:vAlign w:val="center"/>
          </w:tcPr>
          <w:p w14:paraId="610F645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委外综合处置</w:t>
            </w:r>
          </w:p>
        </w:tc>
        <w:tc>
          <w:tcPr>
            <w:tcW w:w="375" w:type="pct"/>
            <w:shd w:val="clear" w:color="auto" w:fill="auto"/>
            <w:noWrap w:val="0"/>
            <w:vAlign w:val="center"/>
          </w:tcPr>
          <w:p w14:paraId="0CCE9FEE">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0.5</w:t>
            </w:r>
          </w:p>
        </w:tc>
        <w:tc>
          <w:tcPr>
            <w:tcW w:w="725" w:type="pct"/>
            <w:vMerge w:val="restart"/>
            <w:noWrap w:val="0"/>
            <w:vAlign w:val="center"/>
          </w:tcPr>
          <w:p w14:paraId="34423777">
            <w:pPr>
              <w:jc w:val="left"/>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一般工业固废收集后综合利用，实现固废的减量化、无害化、资源化；</w:t>
            </w:r>
          </w:p>
        </w:tc>
      </w:tr>
      <w:tr w14:paraId="6ACF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3" w:type="pct"/>
            <w:vMerge w:val="continue"/>
            <w:noWrap w:val="0"/>
            <w:vAlign w:val="center"/>
          </w:tcPr>
          <w:p w14:paraId="0141F35D">
            <w:pPr>
              <w:jc w:val="center"/>
              <w:rPr>
                <w:rFonts w:hint="default" w:ascii="Times New Roman" w:hAnsi="Times New Roman" w:eastAsia="宋体" w:cs="Times New Roman"/>
                <w:snapToGrid w:val="0"/>
                <w:color w:val="auto"/>
                <w:sz w:val="21"/>
                <w:szCs w:val="21"/>
              </w:rPr>
            </w:pPr>
          </w:p>
        </w:tc>
        <w:tc>
          <w:tcPr>
            <w:tcW w:w="310" w:type="pct"/>
            <w:vMerge w:val="continue"/>
            <w:shd w:val="clear" w:color="auto" w:fill="auto"/>
            <w:noWrap w:val="0"/>
            <w:vAlign w:val="center"/>
          </w:tcPr>
          <w:p w14:paraId="62BBC60C">
            <w:pPr>
              <w:jc w:val="center"/>
              <w:rPr>
                <w:rFonts w:hint="default" w:ascii="Times New Roman" w:hAnsi="Times New Roman" w:eastAsia="宋体" w:cs="Times New Roman"/>
                <w:snapToGrid w:val="0"/>
                <w:color w:val="auto"/>
                <w:kern w:val="2"/>
                <w:sz w:val="21"/>
                <w:szCs w:val="21"/>
                <w:lang w:val="en-US" w:eastAsia="zh-CN" w:bidi="ar-SA"/>
              </w:rPr>
            </w:pPr>
          </w:p>
        </w:tc>
        <w:tc>
          <w:tcPr>
            <w:tcW w:w="327" w:type="pct"/>
            <w:shd w:val="clear" w:color="auto" w:fill="auto"/>
            <w:noWrap w:val="0"/>
            <w:vAlign w:val="center"/>
          </w:tcPr>
          <w:p w14:paraId="10296E33">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废铁块</w:t>
            </w:r>
          </w:p>
        </w:tc>
        <w:tc>
          <w:tcPr>
            <w:tcW w:w="274" w:type="pct"/>
            <w:vMerge w:val="continue"/>
            <w:noWrap w:val="0"/>
            <w:vAlign w:val="center"/>
          </w:tcPr>
          <w:p w14:paraId="27C40474">
            <w:pPr>
              <w:adjustRightInd w:val="0"/>
              <w:snapToGrid w:val="0"/>
              <w:jc w:val="center"/>
              <w:rPr>
                <w:rFonts w:hint="default" w:ascii="Times New Roman" w:hAnsi="Times New Roman" w:eastAsia="宋体" w:cs="Times New Roman"/>
                <w:color w:val="auto"/>
                <w:sz w:val="21"/>
                <w:szCs w:val="21"/>
              </w:rPr>
            </w:pPr>
          </w:p>
        </w:tc>
        <w:tc>
          <w:tcPr>
            <w:tcW w:w="589" w:type="pct"/>
            <w:noWrap w:val="0"/>
            <w:vAlign w:val="center"/>
          </w:tcPr>
          <w:p w14:paraId="5AC42731">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kern w:val="2"/>
                <w:sz w:val="21"/>
                <w:szCs w:val="21"/>
                <w:lang w:val="en-US" w:eastAsia="zh-CN" w:bidi="ar-SA"/>
              </w:rPr>
              <w:t>900-099-S59</w:t>
            </w:r>
          </w:p>
        </w:tc>
        <w:tc>
          <w:tcPr>
            <w:tcW w:w="451" w:type="pct"/>
            <w:noWrap w:val="0"/>
            <w:vAlign w:val="center"/>
          </w:tcPr>
          <w:p w14:paraId="482DC9E9">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w:t>
            </w:r>
          </w:p>
        </w:tc>
        <w:tc>
          <w:tcPr>
            <w:tcW w:w="244" w:type="pct"/>
            <w:noWrap w:val="0"/>
            <w:vAlign w:val="center"/>
          </w:tcPr>
          <w:p w14:paraId="4F88D6C3">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固</w:t>
            </w:r>
            <w:r>
              <w:rPr>
                <w:rFonts w:hint="default" w:ascii="Times New Roman" w:hAnsi="Times New Roman" w:eastAsia="宋体" w:cs="Times New Roman"/>
                <w:snapToGrid w:val="0"/>
                <w:color w:val="auto"/>
                <w:sz w:val="21"/>
                <w:szCs w:val="21"/>
              </w:rPr>
              <w:t>态</w:t>
            </w:r>
          </w:p>
        </w:tc>
        <w:tc>
          <w:tcPr>
            <w:tcW w:w="296" w:type="pct"/>
            <w:noWrap w:val="0"/>
            <w:vAlign w:val="center"/>
          </w:tcPr>
          <w:p w14:paraId="0C5DFC23">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w:t>
            </w:r>
          </w:p>
        </w:tc>
        <w:tc>
          <w:tcPr>
            <w:tcW w:w="329" w:type="pct"/>
            <w:noWrap w:val="0"/>
            <w:vAlign w:val="center"/>
          </w:tcPr>
          <w:p w14:paraId="0DEE1BDD">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1750</w:t>
            </w:r>
          </w:p>
        </w:tc>
        <w:tc>
          <w:tcPr>
            <w:tcW w:w="390" w:type="pct"/>
            <w:vMerge w:val="continue"/>
            <w:noWrap w:val="0"/>
            <w:vAlign w:val="center"/>
          </w:tcPr>
          <w:p w14:paraId="05B9B1BA">
            <w:pPr>
              <w:jc w:val="center"/>
              <w:rPr>
                <w:rFonts w:hint="default" w:ascii="Times New Roman" w:hAnsi="Times New Roman" w:eastAsia="宋体" w:cs="Times New Roman"/>
                <w:snapToGrid w:val="0"/>
                <w:color w:val="auto"/>
                <w:sz w:val="21"/>
                <w:szCs w:val="21"/>
                <w:lang w:val="en-US" w:eastAsia="zh-CN"/>
              </w:rPr>
            </w:pPr>
          </w:p>
        </w:tc>
        <w:tc>
          <w:tcPr>
            <w:tcW w:w="462" w:type="pct"/>
            <w:vMerge w:val="continue"/>
            <w:noWrap w:val="0"/>
            <w:vAlign w:val="center"/>
          </w:tcPr>
          <w:p w14:paraId="26E93A3D">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025" w:type="dxa"/>
            <w:shd w:val="clear" w:color="auto" w:fill="auto"/>
            <w:noWrap w:val="0"/>
            <w:vAlign w:val="center"/>
          </w:tcPr>
          <w:p w14:paraId="0D177E58">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1750</w:t>
            </w:r>
          </w:p>
        </w:tc>
        <w:tc>
          <w:tcPr>
            <w:tcW w:w="725" w:type="pct"/>
            <w:vMerge w:val="continue"/>
            <w:noWrap w:val="0"/>
            <w:vAlign w:val="center"/>
          </w:tcPr>
          <w:p w14:paraId="46B9686A">
            <w:pPr>
              <w:jc w:val="left"/>
              <w:rPr>
                <w:rFonts w:hint="default" w:ascii="Times New Roman" w:hAnsi="Times New Roman" w:eastAsia="宋体" w:cs="Times New Roman"/>
                <w:snapToGrid w:val="0"/>
                <w:color w:val="auto"/>
                <w:sz w:val="21"/>
                <w:szCs w:val="21"/>
              </w:rPr>
            </w:pPr>
          </w:p>
        </w:tc>
      </w:tr>
      <w:tr w14:paraId="501D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3" w:type="pct"/>
            <w:vMerge w:val="continue"/>
            <w:noWrap w:val="0"/>
            <w:vAlign w:val="center"/>
          </w:tcPr>
          <w:p w14:paraId="1F53F10A">
            <w:pPr>
              <w:jc w:val="center"/>
              <w:rPr>
                <w:rFonts w:hint="default" w:ascii="Times New Roman" w:hAnsi="Times New Roman" w:eastAsia="宋体" w:cs="Times New Roman"/>
                <w:snapToGrid w:val="0"/>
                <w:color w:val="auto"/>
                <w:sz w:val="21"/>
                <w:szCs w:val="21"/>
              </w:rPr>
            </w:pPr>
          </w:p>
        </w:tc>
        <w:tc>
          <w:tcPr>
            <w:tcW w:w="310" w:type="pct"/>
            <w:vMerge w:val="continue"/>
            <w:noWrap w:val="0"/>
            <w:vAlign w:val="center"/>
          </w:tcPr>
          <w:p w14:paraId="77403A9F">
            <w:pPr>
              <w:jc w:val="center"/>
              <w:rPr>
                <w:rFonts w:hint="default" w:ascii="Times New Roman" w:hAnsi="Times New Roman" w:eastAsia="宋体" w:cs="Times New Roman"/>
                <w:snapToGrid w:val="0"/>
                <w:color w:val="auto"/>
                <w:sz w:val="21"/>
                <w:szCs w:val="21"/>
                <w:lang w:val="en-US" w:eastAsia="zh-CN"/>
              </w:rPr>
            </w:pPr>
          </w:p>
        </w:tc>
        <w:tc>
          <w:tcPr>
            <w:tcW w:w="327" w:type="pct"/>
            <w:noWrap w:val="0"/>
            <w:vAlign w:val="center"/>
          </w:tcPr>
          <w:p w14:paraId="600C1614">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废石子</w:t>
            </w:r>
          </w:p>
        </w:tc>
        <w:tc>
          <w:tcPr>
            <w:tcW w:w="274" w:type="pct"/>
            <w:vMerge w:val="continue"/>
            <w:noWrap w:val="0"/>
            <w:vAlign w:val="center"/>
          </w:tcPr>
          <w:p w14:paraId="43EC53EF">
            <w:pPr>
              <w:adjustRightInd w:val="0"/>
              <w:snapToGrid w:val="0"/>
              <w:jc w:val="center"/>
              <w:rPr>
                <w:rFonts w:hint="default" w:ascii="Times New Roman" w:hAnsi="Times New Roman" w:eastAsia="宋体" w:cs="Times New Roman"/>
                <w:color w:val="auto"/>
                <w:sz w:val="21"/>
                <w:szCs w:val="21"/>
              </w:rPr>
            </w:pPr>
          </w:p>
        </w:tc>
        <w:tc>
          <w:tcPr>
            <w:tcW w:w="589" w:type="pct"/>
            <w:noWrap w:val="0"/>
            <w:vAlign w:val="center"/>
          </w:tcPr>
          <w:p w14:paraId="5061B117">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900-099-S59</w:t>
            </w:r>
          </w:p>
        </w:tc>
        <w:tc>
          <w:tcPr>
            <w:tcW w:w="451" w:type="pct"/>
            <w:noWrap w:val="0"/>
            <w:vAlign w:val="center"/>
          </w:tcPr>
          <w:p w14:paraId="661EAA53">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w:t>
            </w:r>
          </w:p>
        </w:tc>
        <w:tc>
          <w:tcPr>
            <w:tcW w:w="244" w:type="pct"/>
            <w:noWrap w:val="0"/>
            <w:vAlign w:val="center"/>
          </w:tcPr>
          <w:p w14:paraId="6DF3AC4E">
            <w:pPr>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固</w:t>
            </w:r>
            <w:r>
              <w:rPr>
                <w:rFonts w:hint="default" w:ascii="Times New Roman" w:hAnsi="Times New Roman" w:eastAsia="宋体" w:cs="Times New Roman"/>
                <w:snapToGrid w:val="0"/>
                <w:color w:val="auto"/>
                <w:sz w:val="21"/>
                <w:szCs w:val="21"/>
              </w:rPr>
              <w:t>态</w:t>
            </w:r>
          </w:p>
        </w:tc>
        <w:tc>
          <w:tcPr>
            <w:tcW w:w="296" w:type="pct"/>
            <w:noWrap w:val="0"/>
            <w:vAlign w:val="center"/>
          </w:tcPr>
          <w:p w14:paraId="06181E3B">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w:t>
            </w:r>
          </w:p>
        </w:tc>
        <w:tc>
          <w:tcPr>
            <w:tcW w:w="329" w:type="pct"/>
            <w:noWrap w:val="0"/>
            <w:vAlign w:val="center"/>
          </w:tcPr>
          <w:p w14:paraId="7C062126">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1750</w:t>
            </w:r>
          </w:p>
        </w:tc>
        <w:tc>
          <w:tcPr>
            <w:tcW w:w="390" w:type="pct"/>
            <w:vMerge w:val="continue"/>
            <w:noWrap w:val="0"/>
            <w:vAlign w:val="center"/>
          </w:tcPr>
          <w:p w14:paraId="20C0FA61">
            <w:pPr>
              <w:jc w:val="center"/>
              <w:rPr>
                <w:rFonts w:hint="default" w:ascii="Times New Roman" w:hAnsi="Times New Roman" w:eastAsia="宋体" w:cs="Times New Roman"/>
                <w:snapToGrid w:val="0"/>
                <w:color w:val="auto"/>
                <w:sz w:val="21"/>
                <w:szCs w:val="21"/>
                <w:lang w:val="en-US" w:eastAsia="zh-CN"/>
              </w:rPr>
            </w:pPr>
          </w:p>
        </w:tc>
        <w:tc>
          <w:tcPr>
            <w:tcW w:w="462" w:type="pct"/>
            <w:vMerge w:val="continue"/>
            <w:noWrap w:val="0"/>
            <w:vAlign w:val="center"/>
          </w:tcPr>
          <w:p w14:paraId="4642E7AD">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025" w:type="dxa"/>
            <w:shd w:val="clear" w:color="auto" w:fill="auto"/>
            <w:noWrap w:val="0"/>
            <w:vAlign w:val="center"/>
          </w:tcPr>
          <w:p w14:paraId="5C56436C">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1750</w:t>
            </w:r>
          </w:p>
        </w:tc>
        <w:tc>
          <w:tcPr>
            <w:tcW w:w="725" w:type="pct"/>
            <w:vMerge w:val="continue"/>
            <w:noWrap w:val="0"/>
            <w:vAlign w:val="center"/>
          </w:tcPr>
          <w:p w14:paraId="11A9EDF5">
            <w:pPr>
              <w:jc w:val="left"/>
              <w:rPr>
                <w:rFonts w:hint="default" w:ascii="Times New Roman" w:hAnsi="Times New Roman" w:eastAsia="宋体" w:cs="Times New Roman"/>
                <w:snapToGrid w:val="0"/>
                <w:color w:val="auto"/>
                <w:sz w:val="21"/>
                <w:szCs w:val="21"/>
              </w:rPr>
            </w:pPr>
          </w:p>
        </w:tc>
      </w:tr>
      <w:tr w14:paraId="1A72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3" w:type="pct"/>
            <w:vMerge w:val="continue"/>
            <w:noWrap w:val="0"/>
            <w:vAlign w:val="center"/>
          </w:tcPr>
          <w:p w14:paraId="4AC65E31">
            <w:pPr>
              <w:jc w:val="center"/>
              <w:rPr>
                <w:rFonts w:hint="default" w:ascii="Times New Roman" w:hAnsi="Times New Roman" w:eastAsia="宋体" w:cs="Times New Roman"/>
                <w:snapToGrid w:val="0"/>
                <w:color w:val="auto"/>
                <w:sz w:val="21"/>
                <w:szCs w:val="21"/>
              </w:rPr>
            </w:pPr>
          </w:p>
        </w:tc>
        <w:tc>
          <w:tcPr>
            <w:tcW w:w="310" w:type="pct"/>
            <w:vMerge w:val="restart"/>
            <w:noWrap w:val="0"/>
            <w:vAlign w:val="center"/>
          </w:tcPr>
          <w:p w14:paraId="67411E7E">
            <w:pPr>
              <w:jc w:val="center"/>
              <w:rPr>
                <w:rFonts w:hint="default" w:cs="Times New Roman"/>
                <w:snapToGrid w:val="0"/>
                <w:color w:val="auto"/>
                <w:sz w:val="21"/>
                <w:szCs w:val="21"/>
                <w:lang w:val="en-US" w:eastAsia="zh-CN"/>
              </w:rPr>
            </w:pPr>
            <w:r>
              <w:rPr>
                <w:rFonts w:hint="eastAsia" w:cs="Times New Roman"/>
                <w:snapToGrid w:val="0"/>
                <w:color w:val="auto"/>
                <w:sz w:val="21"/>
                <w:szCs w:val="21"/>
                <w:lang w:val="en-US" w:eastAsia="zh-CN"/>
              </w:rPr>
              <w:t>废气处置过程</w:t>
            </w:r>
          </w:p>
        </w:tc>
        <w:tc>
          <w:tcPr>
            <w:tcW w:w="327" w:type="pct"/>
            <w:noWrap w:val="0"/>
            <w:vAlign w:val="center"/>
          </w:tcPr>
          <w:p w14:paraId="6A009F2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废布袋</w:t>
            </w:r>
          </w:p>
        </w:tc>
        <w:tc>
          <w:tcPr>
            <w:tcW w:w="274" w:type="pct"/>
            <w:vMerge w:val="continue"/>
            <w:noWrap w:val="0"/>
            <w:vAlign w:val="center"/>
          </w:tcPr>
          <w:p w14:paraId="5105E38A">
            <w:pPr>
              <w:adjustRightInd w:val="0"/>
              <w:snapToGrid w:val="0"/>
              <w:jc w:val="center"/>
              <w:rPr>
                <w:rFonts w:hint="default" w:ascii="Times New Roman" w:hAnsi="Times New Roman" w:eastAsia="宋体" w:cs="Times New Roman"/>
                <w:color w:val="auto"/>
                <w:sz w:val="21"/>
                <w:szCs w:val="21"/>
              </w:rPr>
            </w:pPr>
          </w:p>
        </w:tc>
        <w:tc>
          <w:tcPr>
            <w:tcW w:w="589" w:type="pct"/>
            <w:noWrap w:val="0"/>
            <w:vAlign w:val="center"/>
          </w:tcPr>
          <w:p w14:paraId="4600309D">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900-099-S59</w:t>
            </w:r>
          </w:p>
        </w:tc>
        <w:tc>
          <w:tcPr>
            <w:tcW w:w="451" w:type="pct"/>
            <w:shd w:val="clear" w:color="auto" w:fill="auto"/>
            <w:noWrap w:val="0"/>
            <w:vAlign w:val="center"/>
          </w:tcPr>
          <w:p w14:paraId="40E290DA">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sz w:val="21"/>
                <w:szCs w:val="21"/>
              </w:rPr>
              <w:t>——</w:t>
            </w:r>
          </w:p>
        </w:tc>
        <w:tc>
          <w:tcPr>
            <w:tcW w:w="244" w:type="pct"/>
            <w:shd w:val="clear" w:color="auto" w:fill="auto"/>
            <w:noWrap w:val="0"/>
            <w:vAlign w:val="center"/>
          </w:tcPr>
          <w:p w14:paraId="214F682E">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sz w:val="21"/>
                <w:szCs w:val="21"/>
                <w:lang w:val="en-US" w:eastAsia="zh-CN"/>
              </w:rPr>
              <w:t>固</w:t>
            </w:r>
            <w:r>
              <w:rPr>
                <w:rFonts w:hint="default" w:ascii="Times New Roman" w:hAnsi="Times New Roman" w:eastAsia="宋体" w:cs="Times New Roman"/>
                <w:snapToGrid w:val="0"/>
                <w:color w:val="auto"/>
                <w:sz w:val="21"/>
                <w:szCs w:val="21"/>
              </w:rPr>
              <w:t>态</w:t>
            </w:r>
          </w:p>
        </w:tc>
        <w:tc>
          <w:tcPr>
            <w:tcW w:w="296" w:type="pct"/>
            <w:shd w:val="clear" w:color="auto" w:fill="auto"/>
            <w:noWrap w:val="0"/>
            <w:vAlign w:val="center"/>
          </w:tcPr>
          <w:p w14:paraId="26797C22">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sz w:val="21"/>
                <w:szCs w:val="21"/>
              </w:rPr>
              <w:t>——</w:t>
            </w:r>
          </w:p>
        </w:tc>
        <w:tc>
          <w:tcPr>
            <w:tcW w:w="329" w:type="pct"/>
            <w:noWrap w:val="0"/>
            <w:vAlign w:val="center"/>
          </w:tcPr>
          <w:p w14:paraId="60FC44F1">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390" w:type="pct"/>
            <w:vMerge w:val="continue"/>
            <w:noWrap w:val="0"/>
            <w:vAlign w:val="center"/>
          </w:tcPr>
          <w:p w14:paraId="0AE313AA">
            <w:pPr>
              <w:jc w:val="center"/>
              <w:rPr>
                <w:rFonts w:hint="default" w:ascii="Times New Roman" w:hAnsi="Times New Roman" w:eastAsia="宋体" w:cs="Times New Roman"/>
                <w:snapToGrid w:val="0"/>
                <w:color w:val="auto"/>
                <w:sz w:val="21"/>
                <w:szCs w:val="21"/>
                <w:lang w:val="en-US" w:eastAsia="zh-CN"/>
              </w:rPr>
            </w:pPr>
          </w:p>
        </w:tc>
        <w:tc>
          <w:tcPr>
            <w:tcW w:w="462" w:type="pct"/>
            <w:vMerge w:val="continue"/>
            <w:noWrap w:val="0"/>
            <w:vAlign w:val="center"/>
          </w:tcPr>
          <w:p w14:paraId="203BDF17">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375" w:type="pct"/>
            <w:noWrap w:val="0"/>
            <w:vAlign w:val="center"/>
          </w:tcPr>
          <w:p w14:paraId="009661B0">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725" w:type="pct"/>
            <w:vMerge w:val="continue"/>
            <w:noWrap w:val="0"/>
            <w:vAlign w:val="center"/>
          </w:tcPr>
          <w:p w14:paraId="6BD17FC0">
            <w:pPr>
              <w:jc w:val="left"/>
              <w:rPr>
                <w:rFonts w:hint="default" w:ascii="Times New Roman" w:hAnsi="Times New Roman" w:eastAsia="宋体" w:cs="Times New Roman"/>
                <w:snapToGrid w:val="0"/>
                <w:color w:val="auto"/>
                <w:sz w:val="21"/>
                <w:szCs w:val="21"/>
              </w:rPr>
            </w:pPr>
          </w:p>
        </w:tc>
      </w:tr>
      <w:tr w14:paraId="4B2F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3" w:type="pct"/>
            <w:vMerge w:val="continue"/>
            <w:noWrap w:val="0"/>
            <w:vAlign w:val="center"/>
          </w:tcPr>
          <w:p w14:paraId="33AEEC14">
            <w:pPr>
              <w:jc w:val="center"/>
              <w:rPr>
                <w:rFonts w:hint="default" w:ascii="Times New Roman" w:hAnsi="Times New Roman" w:eastAsia="宋体" w:cs="Times New Roman"/>
                <w:snapToGrid w:val="0"/>
                <w:color w:val="auto"/>
                <w:sz w:val="21"/>
                <w:szCs w:val="21"/>
              </w:rPr>
            </w:pPr>
          </w:p>
        </w:tc>
        <w:tc>
          <w:tcPr>
            <w:tcW w:w="310" w:type="pct"/>
            <w:vMerge w:val="continue"/>
            <w:noWrap w:val="0"/>
            <w:vAlign w:val="center"/>
          </w:tcPr>
          <w:p w14:paraId="5C649834">
            <w:pPr>
              <w:jc w:val="center"/>
              <w:rPr>
                <w:rFonts w:hint="eastAsia" w:cs="Times New Roman"/>
                <w:snapToGrid w:val="0"/>
                <w:color w:val="auto"/>
                <w:sz w:val="21"/>
                <w:szCs w:val="21"/>
                <w:lang w:val="en-US" w:eastAsia="zh-CN"/>
              </w:rPr>
            </w:pPr>
          </w:p>
        </w:tc>
        <w:tc>
          <w:tcPr>
            <w:tcW w:w="327" w:type="pct"/>
            <w:noWrap w:val="0"/>
            <w:vAlign w:val="center"/>
          </w:tcPr>
          <w:p w14:paraId="37BE04F1">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除尘设施收集粉尘</w:t>
            </w:r>
          </w:p>
        </w:tc>
        <w:tc>
          <w:tcPr>
            <w:tcW w:w="274" w:type="pct"/>
            <w:vMerge w:val="continue"/>
            <w:noWrap w:val="0"/>
            <w:vAlign w:val="center"/>
          </w:tcPr>
          <w:p w14:paraId="61D04DCF">
            <w:pPr>
              <w:adjustRightInd w:val="0"/>
              <w:snapToGrid w:val="0"/>
              <w:jc w:val="center"/>
              <w:rPr>
                <w:rFonts w:hint="default" w:ascii="Times New Roman" w:hAnsi="Times New Roman" w:eastAsia="宋体" w:cs="Times New Roman"/>
                <w:color w:val="auto"/>
                <w:sz w:val="21"/>
                <w:szCs w:val="21"/>
              </w:rPr>
            </w:pPr>
          </w:p>
        </w:tc>
        <w:tc>
          <w:tcPr>
            <w:tcW w:w="589" w:type="pct"/>
            <w:shd w:val="clear" w:color="auto" w:fill="auto"/>
            <w:noWrap w:val="0"/>
            <w:vAlign w:val="center"/>
          </w:tcPr>
          <w:p w14:paraId="12A5BF9C">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900-099-S59</w:t>
            </w:r>
          </w:p>
        </w:tc>
        <w:tc>
          <w:tcPr>
            <w:tcW w:w="451" w:type="pct"/>
            <w:shd w:val="clear" w:color="auto" w:fill="auto"/>
            <w:noWrap w:val="0"/>
            <w:vAlign w:val="center"/>
          </w:tcPr>
          <w:p w14:paraId="168EEDA5">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sz w:val="21"/>
                <w:szCs w:val="21"/>
              </w:rPr>
              <w:t>——</w:t>
            </w:r>
          </w:p>
        </w:tc>
        <w:tc>
          <w:tcPr>
            <w:tcW w:w="244" w:type="pct"/>
            <w:shd w:val="clear" w:color="auto" w:fill="auto"/>
            <w:noWrap w:val="0"/>
            <w:vAlign w:val="center"/>
          </w:tcPr>
          <w:p w14:paraId="684E7754">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sz w:val="21"/>
                <w:szCs w:val="21"/>
                <w:lang w:val="en-US" w:eastAsia="zh-CN"/>
              </w:rPr>
              <w:t>固</w:t>
            </w:r>
            <w:r>
              <w:rPr>
                <w:rFonts w:hint="default" w:ascii="Times New Roman" w:hAnsi="Times New Roman" w:eastAsia="宋体" w:cs="Times New Roman"/>
                <w:snapToGrid w:val="0"/>
                <w:color w:val="auto"/>
                <w:sz w:val="21"/>
                <w:szCs w:val="21"/>
              </w:rPr>
              <w:t>态</w:t>
            </w:r>
          </w:p>
        </w:tc>
        <w:tc>
          <w:tcPr>
            <w:tcW w:w="296" w:type="pct"/>
            <w:shd w:val="clear" w:color="auto" w:fill="auto"/>
            <w:noWrap w:val="0"/>
            <w:vAlign w:val="center"/>
          </w:tcPr>
          <w:p w14:paraId="6AA1F334">
            <w:pPr>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sz w:val="21"/>
                <w:szCs w:val="21"/>
              </w:rPr>
              <w:t>——</w:t>
            </w:r>
          </w:p>
        </w:tc>
        <w:tc>
          <w:tcPr>
            <w:tcW w:w="329" w:type="pct"/>
            <w:shd w:val="clear" w:color="auto" w:fill="auto"/>
            <w:noWrap w:val="0"/>
            <w:vAlign w:val="center"/>
          </w:tcPr>
          <w:p w14:paraId="2FB8F6BB">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82.588</w:t>
            </w:r>
          </w:p>
        </w:tc>
        <w:tc>
          <w:tcPr>
            <w:tcW w:w="390" w:type="pct"/>
            <w:vMerge w:val="continue"/>
            <w:shd w:val="clear" w:color="auto" w:fill="auto"/>
            <w:noWrap w:val="0"/>
            <w:vAlign w:val="center"/>
          </w:tcPr>
          <w:p w14:paraId="174B6010">
            <w:pPr>
              <w:jc w:val="center"/>
              <w:rPr>
                <w:rFonts w:hint="default" w:ascii="Times New Roman" w:hAnsi="Times New Roman" w:eastAsia="宋体" w:cs="Times New Roman"/>
                <w:snapToGrid w:val="0"/>
                <w:color w:val="auto"/>
                <w:kern w:val="2"/>
                <w:sz w:val="21"/>
                <w:szCs w:val="21"/>
                <w:lang w:val="en-US" w:eastAsia="zh-CN" w:bidi="ar-SA"/>
              </w:rPr>
            </w:pPr>
          </w:p>
        </w:tc>
        <w:tc>
          <w:tcPr>
            <w:tcW w:w="462" w:type="pct"/>
            <w:shd w:val="clear" w:color="auto" w:fill="auto"/>
            <w:noWrap w:val="0"/>
            <w:vAlign w:val="center"/>
          </w:tcPr>
          <w:p w14:paraId="2B956329">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回用于生产</w:t>
            </w:r>
          </w:p>
        </w:tc>
        <w:tc>
          <w:tcPr>
            <w:tcW w:w="375" w:type="pct"/>
            <w:shd w:val="clear" w:color="auto" w:fill="auto"/>
            <w:noWrap w:val="0"/>
            <w:vAlign w:val="center"/>
          </w:tcPr>
          <w:p w14:paraId="5A4A68E2">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82.588</w:t>
            </w:r>
          </w:p>
        </w:tc>
        <w:tc>
          <w:tcPr>
            <w:tcW w:w="725" w:type="pct"/>
            <w:vMerge w:val="continue"/>
            <w:noWrap w:val="0"/>
            <w:vAlign w:val="center"/>
          </w:tcPr>
          <w:p w14:paraId="0A3F025B">
            <w:pPr>
              <w:jc w:val="left"/>
              <w:rPr>
                <w:rFonts w:hint="default" w:ascii="Times New Roman" w:hAnsi="Times New Roman" w:eastAsia="宋体" w:cs="Times New Roman"/>
                <w:snapToGrid w:val="0"/>
                <w:color w:val="auto"/>
                <w:sz w:val="21"/>
                <w:szCs w:val="21"/>
              </w:rPr>
            </w:pPr>
          </w:p>
        </w:tc>
      </w:tr>
      <w:tr w14:paraId="773D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3" w:type="pct"/>
            <w:vMerge w:val="continue"/>
            <w:noWrap w:val="0"/>
            <w:vAlign w:val="center"/>
          </w:tcPr>
          <w:p w14:paraId="2342935C">
            <w:pPr>
              <w:jc w:val="center"/>
              <w:rPr>
                <w:rFonts w:hint="default" w:ascii="Times New Roman" w:hAnsi="Times New Roman" w:eastAsia="宋体" w:cs="Times New Roman"/>
                <w:snapToGrid w:val="0"/>
                <w:color w:val="auto"/>
                <w:sz w:val="21"/>
                <w:szCs w:val="21"/>
              </w:rPr>
            </w:pPr>
          </w:p>
        </w:tc>
        <w:tc>
          <w:tcPr>
            <w:tcW w:w="911" w:type="pct"/>
            <w:gridSpan w:val="3"/>
            <w:noWrap w:val="0"/>
            <w:vAlign w:val="center"/>
          </w:tcPr>
          <w:p w14:paraId="16734438">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生活垃圾</w:t>
            </w:r>
          </w:p>
        </w:tc>
        <w:tc>
          <w:tcPr>
            <w:tcW w:w="589" w:type="pct"/>
            <w:noWrap w:val="0"/>
            <w:vAlign w:val="center"/>
          </w:tcPr>
          <w:p w14:paraId="36DE3F72">
            <w:pPr>
              <w:jc w:val="center"/>
              <w:rPr>
                <w:rFonts w:hint="default" w:cs="Times New Roman"/>
                <w:color w:val="auto"/>
                <w:sz w:val="24"/>
                <w:szCs w:val="24"/>
                <w:highlight w:val="none"/>
                <w:lang w:val="en-US" w:eastAsia="zh-CN"/>
              </w:rPr>
            </w:pPr>
            <w:r>
              <w:rPr>
                <w:rFonts w:hint="default" w:ascii="Times New Roman" w:hAnsi="Times New Roman" w:eastAsia="宋体" w:cs="Times New Roman"/>
                <w:snapToGrid w:val="0"/>
                <w:color w:val="auto"/>
                <w:sz w:val="21"/>
                <w:szCs w:val="21"/>
              </w:rPr>
              <w:t>——</w:t>
            </w:r>
          </w:p>
        </w:tc>
        <w:tc>
          <w:tcPr>
            <w:tcW w:w="451" w:type="pct"/>
            <w:noWrap w:val="0"/>
            <w:vAlign w:val="center"/>
          </w:tcPr>
          <w:p w14:paraId="454B6E81">
            <w:pPr>
              <w:jc w:val="center"/>
              <w:rPr>
                <w:rFonts w:hint="eastAsia"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rPr>
              <w:t>——</w:t>
            </w:r>
          </w:p>
        </w:tc>
        <w:tc>
          <w:tcPr>
            <w:tcW w:w="244" w:type="pct"/>
            <w:noWrap w:val="0"/>
            <w:vAlign w:val="center"/>
          </w:tcPr>
          <w:p w14:paraId="714FAF78">
            <w:pPr>
              <w:jc w:val="center"/>
              <w:rPr>
                <w:rFonts w:hint="eastAsia"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固</w:t>
            </w:r>
            <w:r>
              <w:rPr>
                <w:rFonts w:hint="default" w:ascii="Times New Roman" w:hAnsi="Times New Roman" w:eastAsia="宋体" w:cs="Times New Roman"/>
                <w:snapToGrid w:val="0"/>
                <w:color w:val="auto"/>
                <w:sz w:val="21"/>
                <w:szCs w:val="21"/>
              </w:rPr>
              <w:t>态</w:t>
            </w:r>
          </w:p>
        </w:tc>
        <w:tc>
          <w:tcPr>
            <w:tcW w:w="296" w:type="pct"/>
            <w:noWrap w:val="0"/>
            <w:vAlign w:val="center"/>
          </w:tcPr>
          <w:p w14:paraId="0CCCD5E4">
            <w:pPr>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w:t>
            </w:r>
          </w:p>
        </w:tc>
        <w:tc>
          <w:tcPr>
            <w:tcW w:w="329" w:type="pct"/>
            <w:noWrap w:val="0"/>
            <w:vAlign w:val="center"/>
          </w:tcPr>
          <w:p w14:paraId="3186612B">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390" w:type="pct"/>
            <w:noWrap w:val="0"/>
            <w:vAlign w:val="center"/>
          </w:tcPr>
          <w:p w14:paraId="58F2A95D">
            <w:pPr>
              <w:jc w:val="center"/>
              <w:rPr>
                <w:rFonts w:hint="default" w:ascii="Times New Roman" w:hAnsi="Times New Roman" w:eastAsia="宋体" w:cs="Times New Roman"/>
                <w:snapToGrid w:val="0"/>
                <w:color w:val="auto"/>
                <w:sz w:val="21"/>
                <w:szCs w:val="21"/>
                <w:lang w:val="en-US" w:eastAsia="zh-CN"/>
              </w:rPr>
            </w:pPr>
            <w:r>
              <w:rPr>
                <w:rFonts w:hint="eastAsia" w:cs="Times New Roman"/>
                <w:snapToGrid w:val="0"/>
                <w:color w:val="auto"/>
                <w:sz w:val="21"/>
                <w:szCs w:val="21"/>
                <w:lang w:val="en-US" w:eastAsia="zh-CN"/>
              </w:rPr>
              <w:t>厂区内设置垃圾桶收集</w:t>
            </w:r>
          </w:p>
        </w:tc>
        <w:tc>
          <w:tcPr>
            <w:tcW w:w="462" w:type="pct"/>
            <w:noWrap w:val="0"/>
            <w:vAlign w:val="center"/>
          </w:tcPr>
          <w:p w14:paraId="21F18ACD">
            <w:pPr>
              <w:adjustRightInd w:val="0"/>
              <w:snapToGrid w:val="0"/>
              <w:jc w:val="center"/>
              <w:rPr>
                <w:rFonts w:hint="eastAsia" w:ascii="Times New Roman" w:hAnsi="Times New Roman" w:eastAsia="宋体" w:cs="Times New Roman"/>
                <w:snapToGrid w:val="0"/>
                <w:color w:val="auto"/>
                <w:sz w:val="21"/>
                <w:szCs w:val="21"/>
                <w:lang w:val="en-US" w:eastAsia="zh-CN"/>
              </w:rPr>
            </w:pPr>
            <w:r>
              <w:rPr>
                <w:rFonts w:hint="eastAsia" w:ascii="Times New Roman" w:hAnsi="Times New Roman" w:eastAsia="宋体" w:cs="Times New Roman"/>
                <w:snapToGrid w:val="0"/>
                <w:color w:val="auto"/>
                <w:sz w:val="21"/>
                <w:szCs w:val="21"/>
                <w:lang w:val="en-US" w:eastAsia="zh-CN"/>
              </w:rPr>
              <w:t>环卫部门统一清运处置</w:t>
            </w:r>
          </w:p>
        </w:tc>
        <w:tc>
          <w:tcPr>
            <w:tcW w:w="375" w:type="pct"/>
            <w:noWrap w:val="0"/>
            <w:vAlign w:val="center"/>
          </w:tcPr>
          <w:p w14:paraId="4BD776F2">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725" w:type="pct"/>
            <w:noWrap w:val="0"/>
            <w:vAlign w:val="center"/>
          </w:tcPr>
          <w:p w14:paraId="3E7EBEC5">
            <w:pPr>
              <w:jc w:val="left"/>
              <w:rPr>
                <w:rFonts w:hint="eastAsia" w:ascii="Times New Roman" w:hAnsi="Times New Roman" w:eastAsia="宋体" w:cs="Times New Roman"/>
                <w:snapToGrid w:val="0"/>
                <w:color w:val="auto"/>
                <w:sz w:val="21"/>
                <w:szCs w:val="21"/>
                <w:lang w:val="en-US" w:eastAsia="zh-CN"/>
              </w:rPr>
            </w:pPr>
            <w:r>
              <w:rPr>
                <w:rFonts w:hint="eastAsia" w:ascii="Times New Roman" w:hAnsi="Times New Roman" w:eastAsia="宋体" w:cs="Times New Roman"/>
                <w:snapToGrid w:val="0"/>
                <w:color w:val="auto"/>
                <w:sz w:val="21"/>
                <w:szCs w:val="21"/>
                <w:lang w:val="en-US" w:eastAsia="zh-CN"/>
              </w:rPr>
              <w:t>集中收集后委托环卫部门统一清运处置</w:t>
            </w:r>
          </w:p>
        </w:tc>
      </w:tr>
    </w:tbl>
    <w:p w14:paraId="7735CE74">
      <w:pPr>
        <w:rPr>
          <w:rFonts w:ascii="Times New Roman" w:hAnsi="Times New Roman"/>
          <w:snapToGrid w:val="0"/>
          <w:color w:val="auto"/>
        </w:rPr>
        <w:sectPr>
          <w:pgSz w:w="16840" w:h="11907"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8361"/>
      </w:tblGrid>
      <w:tr w14:paraId="574E5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46" w:hRule="atLeast"/>
          <w:jc w:val="center"/>
        </w:trPr>
        <w:tc>
          <w:tcPr>
            <w:tcW w:w="777" w:type="dxa"/>
            <w:noWrap w:val="0"/>
            <w:tcMar>
              <w:left w:w="28" w:type="dxa"/>
              <w:right w:w="28" w:type="dxa"/>
            </w:tcMar>
            <w:vAlign w:val="center"/>
          </w:tcPr>
          <w:p w14:paraId="2883A037">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运营</w:t>
            </w:r>
          </w:p>
          <w:p w14:paraId="7046100B">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期环</w:t>
            </w:r>
          </w:p>
          <w:p w14:paraId="3BBD2BFA">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境影</w:t>
            </w:r>
          </w:p>
          <w:p w14:paraId="64162B39">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响和</w:t>
            </w:r>
          </w:p>
          <w:p w14:paraId="424E64DB">
            <w:pPr>
              <w:adjustRightInd w:val="0"/>
              <w:snapToGrid w:val="0"/>
              <w:jc w:val="center"/>
              <w:rPr>
                <w:rFonts w:ascii="Times New Roman" w:hAnsi="Times New Roman"/>
                <w:bCs/>
                <w:color w:val="auto"/>
                <w:sz w:val="24"/>
                <w:szCs w:val="24"/>
              </w:rPr>
            </w:pPr>
            <w:r>
              <w:rPr>
                <w:rFonts w:ascii="Times New Roman" w:hAnsi="Times New Roman"/>
                <w:bCs/>
                <w:color w:val="auto"/>
                <w:sz w:val="24"/>
                <w:szCs w:val="24"/>
              </w:rPr>
              <w:t>保护</w:t>
            </w:r>
          </w:p>
          <w:p w14:paraId="7A8856DD">
            <w:pPr>
              <w:adjustRightInd w:val="0"/>
              <w:snapToGrid w:val="0"/>
              <w:jc w:val="center"/>
              <w:rPr>
                <w:rFonts w:ascii="Times New Roman" w:hAnsi="Times New Roman"/>
                <w:bCs/>
                <w:color w:val="auto"/>
                <w:szCs w:val="21"/>
              </w:rPr>
            </w:pPr>
            <w:r>
              <w:rPr>
                <w:rFonts w:ascii="Times New Roman" w:hAnsi="Times New Roman"/>
                <w:bCs/>
                <w:color w:val="auto"/>
                <w:sz w:val="24"/>
                <w:szCs w:val="24"/>
              </w:rPr>
              <w:t>措施</w:t>
            </w:r>
          </w:p>
        </w:tc>
        <w:tc>
          <w:tcPr>
            <w:tcW w:w="8203" w:type="dxa"/>
            <w:noWrap w:val="0"/>
            <w:vAlign w:val="center"/>
          </w:tcPr>
          <w:p w14:paraId="15604E74">
            <w:pPr>
              <w:pStyle w:val="137"/>
              <w:ind w:firstLine="0" w:firstLineChars="0"/>
              <w:jc w:val="both"/>
              <w:rPr>
                <w:rFonts w:ascii="Times New Roman" w:hAnsi="Times New Roman"/>
                <w:b/>
                <w:color w:val="auto"/>
                <w:sz w:val="24"/>
                <w:szCs w:val="24"/>
              </w:rPr>
            </w:pPr>
            <w:r>
              <w:rPr>
                <w:rFonts w:ascii="Times New Roman" w:hAnsi="Times New Roman"/>
                <w:b/>
                <w:color w:val="auto"/>
                <w:sz w:val="24"/>
                <w:szCs w:val="24"/>
              </w:rPr>
              <w:t>4.2.4.</w:t>
            </w:r>
            <w:r>
              <w:rPr>
                <w:rFonts w:hint="eastAsia" w:ascii="Times New Roman" w:hAnsi="Times New Roman"/>
                <w:b/>
                <w:color w:val="auto"/>
                <w:sz w:val="24"/>
                <w:szCs w:val="24"/>
                <w:lang w:val="en-US" w:eastAsia="zh-CN"/>
              </w:rPr>
              <w:t>2</w:t>
            </w:r>
            <w:r>
              <w:rPr>
                <w:rFonts w:ascii="Times New Roman" w:hAnsi="Times New Roman"/>
                <w:b/>
                <w:color w:val="auto"/>
                <w:sz w:val="24"/>
                <w:szCs w:val="24"/>
              </w:rPr>
              <w:t>固体废物管理要求</w:t>
            </w:r>
          </w:p>
          <w:p w14:paraId="7A366B87">
            <w:pPr>
              <w:pStyle w:val="117"/>
              <w:rPr>
                <w:rFonts w:hint="eastAsia" w:ascii="Times New Roman" w:hAnsi="Times New Roman" w:eastAsia="宋体" w:cs="宋体"/>
                <w:color w:val="auto"/>
              </w:rPr>
            </w:pPr>
            <w:r>
              <w:rPr>
                <w:rFonts w:hint="eastAsia" w:ascii="Times New Roman" w:hAnsi="Times New Roman" w:eastAsia="宋体" w:cs="宋体"/>
                <w:color w:val="auto"/>
              </w:rPr>
              <w:t>项目对工业固体废物的排放控制应符合《中华人民共和国固体废物污染环境防治法》（2020）要求，其主要有：</w:t>
            </w:r>
          </w:p>
          <w:p w14:paraId="7D7A607E">
            <w:pPr>
              <w:pStyle w:val="117"/>
              <w:rPr>
                <w:rFonts w:hint="eastAsia" w:ascii="Times New Roman" w:hAnsi="Times New Roman" w:eastAsia="宋体" w:cs="宋体"/>
                <w:color w:val="auto"/>
              </w:rPr>
            </w:pPr>
            <w:r>
              <w:rPr>
                <w:rFonts w:hint="eastAsia" w:ascii="Times New Roman" w:hAnsi="Times New Roman" w:eastAsia="宋体" w:cs="宋体"/>
                <w:color w:val="auto"/>
              </w:rPr>
              <w:t>①推行绿色发展方式，促进清洁生产和循环经济发展。</w:t>
            </w:r>
          </w:p>
          <w:p w14:paraId="43E6F3D9">
            <w:pPr>
              <w:pStyle w:val="117"/>
              <w:rPr>
                <w:rFonts w:hint="eastAsia" w:ascii="Times New Roman" w:hAnsi="Times New Roman" w:eastAsia="宋体" w:cs="宋体"/>
                <w:color w:val="auto"/>
              </w:rPr>
            </w:pPr>
            <w:r>
              <w:rPr>
                <w:rFonts w:hint="eastAsia" w:ascii="Times New Roman" w:hAnsi="Times New Roman" w:eastAsia="宋体" w:cs="宋体"/>
                <w:color w:val="auto"/>
              </w:rPr>
              <w:t>②固体废物污染环境防治坚持减量化、资源化和无害化的原则。都应当采取措施，减少固体废物的产生量，促进固体废物的综合利用，降低固体废物的危害性。</w:t>
            </w:r>
          </w:p>
          <w:p w14:paraId="20566D63">
            <w:pPr>
              <w:pStyle w:val="117"/>
              <w:rPr>
                <w:rFonts w:hint="eastAsia" w:ascii="Times New Roman" w:hAnsi="Times New Roman" w:eastAsia="宋体" w:cs="宋体"/>
                <w:color w:val="auto"/>
              </w:rPr>
            </w:pPr>
            <w:r>
              <w:rPr>
                <w:rFonts w:hint="eastAsia" w:ascii="Times New Roman" w:hAnsi="Times New Roman" w:eastAsia="宋体" w:cs="宋体"/>
                <w:color w:val="auto"/>
              </w:rPr>
              <w:t>③产生、收集、贮存、运输、利用、处置固体废物的单位和个人，应当采取措施，防止或者减少固体废物对环境的污染，对所造成的环境污染依法承担责任。</w:t>
            </w:r>
          </w:p>
          <w:p w14:paraId="60982BA4">
            <w:pPr>
              <w:pStyle w:val="117"/>
              <w:rPr>
                <w:rFonts w:hint="eastAsia" w:ascii="Times New Roman" w:hAnsi="Times New Roman" w:eastAsia="宋体" w:cs="宋体"/>
                <w:color w:val="auto"/>
              </w:rPr>
            </w:pPr>
            <w:r>
              <w:rPr>
                <w:rFonts w:hint="eastAsia" w:ascii="Times New Roman" w:hAnsi="Times New Roman" w:eastAsia="宋体" w:cs="宋体"/>
                <w:color w:val="auto"/>
              </w:rPr>
              <w:t>④生活垃圾分类坚持政府推动、全民参与、城乡统筹、因地制宜、简便易行的原则。</w:t>
            </w:r>
          </w:p>
          <w:p w14:paraId="6E5F6931">
            <w:pPr>
              <w:pStyle w:val="117"/>
              <w:rPr>
                <w:rFonts w:hint="eastAsia" w:ascii="Times New Roman" w:hAnsi="Times New Roman" w:eastAsia="宋体" w:cs="宋体"/>
                <w:color w:val="auto"/>
              </w:rPr>
            </w:pPr>
            <w:r>
              <w:rPr>
                <w:rFonts w:hint="eastAsia" w:ascii="Times New Roman" w:hAnsi="Times New Roman" w:eastAsia="宋体" w:cs="宋体"/>
                <w:color w:val="auto"/>
              </w:rPr>
              <w:t>⑤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14:paraId="2E495FD8">
            <w:pPr>
              <w:pStyle w:val="117"/>
              <w:rPr>
                <w:rFonts w:hint="eastAsia" w:ascii="Times New Roman" w:hAnsi="Times New Roman" w:eastAsia="宋体" w:cs="宋体"/>
                <w:color w:val="auto"/>
              </w:rPr>
            </w:pPr>
            <w:r>
              <w:rPr>
                <w:rFonts w:hint="eastAsia" w:ascii="Times New Roman" w:hAnsi="Times New Roman" w:eastAsia="宋体" w:cs="宋体"/>
                <w:color w:val="auto"/>
              </w:rPr>
              <w:t>⑥产生工业固体废物的单位应当根据经济、技术条件对工业固体废物加以利用；对暂时不利用或者不能利用的，应当按照生态环境等主管部门的规定建设贮存设施、场所，安全分类存放，或者采取无害化处置措施。贮存工业固体废物应当采取符合国家环境保护标准的防护措施。</w:t>
            </w:r>
          </w:p>
          <w:p w14:paraId="294C5717">
            <w:pPr>
              <w:pStyle w:val="155"/>
              <w:rPr>
                <w:rFonts w:eastAsia="宋体" w:cs="Times New Roman"/>
                <w:b/>
                <w:color w:val="auto"/>
                <w:sz w:val="24"/>
                <w:szCs w:val="24"/>
              </w:rPr>
            </w:pPr>
            <w:r>
              <w:rPr>
                <w:rFonts w:eastAsia="宋体" w:cs="Times New Roman"/>
                <w:b/>
                <w:color w:val="auto"/>
                <w:sz w:val="24"/>
                <w:szCs w:val="24"/>
              </w:rPr>
              <w:t>4.2.5地下水、土壤环境影响分析</w:t>
            </w:r>
          </w:p>
          <w:p w14:paraId="4B4F9B46">
            <w:pPr>
              <w:pStyle w:val="157"/>
              <w:keepNext w:val="0"/>
              <w:keepLines w:val="0"/>
              <w:pageBreakBefore w:val="0"/>
              <w:widowControl w:val="0"/>
              <w:kinsoku/>
              <w:wordWrap/>
              <w:overflowPunct/>
              <w:topLinePunct w:val="0"/>
              <w:autoSpaceDE/>
              <w:autoSpaceDN/>
              <w:bidi w:val="0"/>
              <w:spacing w:after="0"/>
              <w:ind w:left="0" w:leftChars="0" w:firstLine="480"/>
              <w:textAlignment w:val="auto"/>
              <w:rPr>
                <w:rFonts w:hint="eastAsia"/>
                <w:color w:val="auto"/>
                <w:szCs w:val="24"/>
              </w:rPr>
            </w:pPr>
            <w:r>
              <w:rPr>
                <w:rFonts w:hint="eastAsia"/>
                <w:color w:val="auto"/>
                <w:szCs w:val="24"/>
                <w:lang w:eastAsia="zh-CN"/>
              </w:rPr>
              <w:t>（</w:t>
            </w:r>
            <w:r>
              <w:rPr>
                <w:rFonts w:hint="eastAsia"/>
                <w:color w:val="auto"/>
                <w:szCs w:val="24"/>
                <w:lang w:val="en-US" w:eastAsia="zh-CN"/>
              </w:rPr>
              <w:t>1</w:t>
            </w:r>
            <w:r>
              <w:rPr>
                <w:rFonts w:hint="eastAsia"/>
                <w:color w:val="auto"/>
                <w:szCs w:val="24"/>
                <w:lang w:eastAsia="zh-CN"/>
              </w:rPr>
              <w:t>）</w:t>
            </w:r>
            <w:r>
              <w:rPr>
                <w:rFonts w:hint="eastAsia"/>
                <w:color w:val="auto"/>
                <w:szCs w:val="24"/>
              </w:rPr>
              <w:t>可能影响地下水</w:t>
            </w:r>
            <w:r>
              <w:rPr>
                <w:rFonts w:hint="eastAsia"/>
                <w:color w:val="auto"/>
                <w:szCs w:val="24"/>
                <w:lang w:val="en-US" w:eastAsia="zh-CN"/>
              </w:rPr>
              <w:t>及土壤</w:t>
            </w:r>
            <w:r>
              <w:rPr>
                <w:rFonts w:hint="eastAsia"/>
                <w:color w:val="auto"/>
                <w:szCs w:val="24"/>
              </w:rPr>
              <w:t>的途径</w:t>
            </w:r>
          </w:p>
          <w:p w14:paraId="3AB324C3">
            <w:pPr>
              <w:pStyle w:val="157"/>
              <w:keepNext w:val="0"/>
              <w:keepLines w:val="0"/>
              <w:pageBreakBefore w:val="0"/>
              <w:widowControl w:val="0"/>
              <w:kinsoku/>
              <w:wordWrap/>
              <w:overflowPunct/>
              <w:topLinePunct w:val="0"/>
              <w:autoSpaceDE/>
              <w:autoSpaceDN/>
              <w:bidi w:val="0"/>
              <w:spacing w:after="0"/>
              <w:ind w:left="0" w:leftChars="0" w:firstLine="480"/>
              <w:textAlignment w:val="auto"/>
              <w:rPr>
                <w:rFonts w:hint="eastAsia"/>
                <w:color w:val="auto"/>
                <w:szCs w:val="24"/>
              </w:rPr>
            </w:pPr>
            <w:r>
              <w:rPr>
                <w:rFonts w:hint="eastAsia"/>
                <w:color w:val="auto"/>
                <w:szCs w:val="24"/>
              </w:rPr>
              <w:t>项目运营后，厂区供水均来自</w:t>
            </w:r>
            <w:r>
              <w:rPr>
                <w:rFonts w:hint="eastAsia"/>
                <w:color w:val="auto"/>
                <w:szCs w:val="24"/>
                <w:lang w:val="en-US" w:eastAsia="zh-CN"/>
              </w:rPr>
              <w:t>市政供水</w:t>
            </w:r>
            <w:r>
              <w:rPr>
                <w:rFonts w:hint="eastAsia"/>
                <w:color w:val="auto"/>
                <w:szCs w:val="24"/>
              </w:rPr>
              <w:t>，不进行地下水的开采，故不会造成取用地下水而引起的环境水文地质问题。项目生产车间按规范做好防渗、防漏，其他区域地面均做好硬化处理，项目无土壤、地下水环境污染途径。</w:t>
            </w:r>
          </w:p>
          <w:p w14:paraId="1A831F91">
            <w:pPr>
              <w:pStyle w:val="157"/>
              <w:keepNext w:val="0"/>
              <w:keepLines w:val="0"/>
              <w:pageBreakBefore w:val="0"/>
              <w:widowControl w:val="0"/>
              <w:kinsoku/>
              <w:wordWrap/>
              <w:overflowPunct/>
              <w:topLinePunct w:val="0"/>
              <w:autoSpaceDE/>
              <w:autoSpaceDN/>
              <w:bidi w:val="0"/>
              <w:spacing w:after="0"/>
              <w:ind w:left="0" w:leftChars="0" w:firstLine="480"/>
              <w:textAlignment w:val="auto"/>
              <w:rPr>
                <w:rFonts w:hint="eastAsia"/>
                <w:color w:val="auto"/>
                <w:szCs w:val="24"/>
              </w:rPr>
            </w:pPr>
            <w:r>
              <w:rPr>
                <w:rFonts w:hint="eastAsia"/>
                <w:color w:val="auto"/>
                <w:szCs w:val="24"/>
                <w:lang w:eastAsia="zh-CN"/>
              </w:rPr>
              <w:t>（</w:t>
            </w:r>
            <w:r>
              <w:rPr>
                <w:rFonts w:hint="eastAsia"/>
                <w:color w:val="auto"/>
                <w:szCs w:val="24"/>
                <w:lang w:val="en-US" w:eastAsia="zh-CN"/>
              </w:rPr>
              <w:t>2</w:t>
            </w:r>
            <w:r>
              <w:rPr>
                <w:rFonts w:hint="eastAsia"/>
                <w:color w:val="auto"/>
                <w:szCs w:val="24"/>
                <w:lang w:eastAsia="zh-CN"/>
              </w:rPr>
              <w:t>）</w:t>
            </w:r>
            <w:r>
              <w:rPr>
                <w:rFonts w:hint="eastAsia"/>
                <w:color w:val="auto"/>
                <w:szCs w:val="24"/>
              </w:rPr>
              <w:t>项目地下水</w:t>
            </w:r>
            <w:r>
              <w:rPr>
                <w:rFonts w:hint="eastAsia"/>
                <w:color w:val="auto"/>
                <w:szCs w:val="24"/>
                <w:lang w:val="en-US" w:eastAsia="zh-CN"/>
              </w:rPr>
              <w:t>及土壤</w:t>
            </w:r>
            <w:r>
              <w:rPr>
                <w:rFonts w:hint="eastAsia"/>
                <w:color w:val="auto"/>
                <w:szCs w:val="24"/>
              </w:rPr>
              <w:t>防治措施</w:t>
            </w:r>
          </w:p>
          <w:p w14:paraId="63AE85AB">
            <w:pPr>
              <w:pStyle w:val="157"/>
              <w:keepNext w:val="0"/>
              <w:keepLines w:val="0"/>
              <w:pageBreakBefore w:val="0"/>
              <w:widowControl w:val="0"/>
              <w:kinsoku/>
              <w:wordWrap/>
              <w:overflowPunct/>
              <w:topLinePunct w:val="0"/>
              <w:autoSpaceDE/>
              <w:autoSpaceDN/>
              <w:bidi w:val="0"/>
              <w:spacing w:after="0"/>
              <w:ind w:left="0" w:leftChars="0" w:firstLine="480"/>
              <w:textAlignment w:val="auto"/>
              <w:rPr>
                <w:rFonts w:hint="eastAsia"/>
                <w:color w:val="auto"/>
                <w:szCs w:val="24"/>
              </w:rPr>
            </w:pPr>
            <w:r>
              <w:rPr>
                <w:rFonts w:hint="eastAsia"/>
                <w:color w:val="auto"/>
                <w:szCs w:val="24"/>
              </w:rPr>
              <w:t>项目地下水</w:t>
            </w:r>
            <w:r>
              <w:rPr>
                <w:rFonts w:hint="eastAsia"/>
                <w:color w:val="auto"/>
                <w:szCs w:val="24"/>
                <w:lang w:val="en-US" w:eastAsia="zh-CN"/>
              </w:rPr>
              <w:t>及土壤</w:t>
            </w:r>
            <w:r>
              <w:rPr>
                <w:rFonts w:hint="eastAsia"/>
                <w:color w:val="auto"/>
                <w:szCs w:val="24"/>
              </w:rPr>
              <w:t>污染防治分区及措施如下</w:t>
            </w:r>
            <w:r>
              <w:rPr>
                <w:rFonts w:hint="eastAsia"/>
                <w:color w:val="auto"/>
                <w:szCs w:val="24"/>
                <w:lang w:eastAsia="zh-CN"/>
              </w:rPr>
              <w:t>：</w:t>
            </w:r>
          </w:p>
          <w:p w14:paraId="5EC49DA1">
            <w:pPr>
              <w:pStyle w:val="157"/>
              <w:keepNext w:val="0"/>
              <w:keepLines w:val="0"/>
              <w:pageBreakBefore w:val="0"/>
              <w:widowControl w:val="0"/>
              <w:kinsoku/>
              <w:wordWrap/>
              <w:overflowPunct/>
              <w:topLinePunct w:val="0"/>
              <w:autoSpaceDE/>
              <w:autoSpaceDN/>
              <w:bidi w:val="0"/>
              <w:spacing w:after="0"/>
              <w:ind w:left="0" w:leftChars="0" w:firstLine="480"/>
              <w:textAlignment w:val="auto"/>
              <w:rPr>
                <w:rFonts w:hint="eastAsia"/>
                <w:color w:val="auto"/>
                <w:szCs w:val="24"/>
              </w:rPr>
            </w:pPr>
            <w:r>
              <w:rPr>
                <w:rFonts w:hint="eastAsia"/>
                <w:color w:val="auto"/>
                <w:szCs w:val="24"/>
              </w:rPr>
              <w:t>①一般防渗区</w:t>
            </w:r>
            <w:r>
              <w:rPr>
                <w:rFonts w:hint="eastAsia"/>
                <w:color w:val="auto"/>
                <w:szCs w:val="24"/>
                <w:lang w:eastAsia="zh-CN"/>
              </w:rPr>
              <w:t>：</w:t>
            </w:r>
            <w:r>
              <w:rPr>
                <w:rFonts w:hint="eastAsia"/>
                <w:color w:val="auto"/>
                <w:szCs w:val="24"/>
              </w:rPr>
              <w:t>是指裸露于地面的生产功能单元，污染地下水环境的物料泄漏后，容易被及时发现和处理的区域。一般污染防治区防渗层的防渗性能不应低于等效黏土防渗层Mb&gt;1.5m，K≤10</w:t>
            </w:r>
            <w:r>
              <w:rPr>
                <w:rFonts w:hint="eastAsia"/>
                <w:color w:val="auto"/>
                <w:szCs w:val="24"/>
                <w:vertAlign w:val="superscript"/>
              </w:rPr>
              <w:t>-7</w:t>
            </w:r>
            <w:r>
              <w:rPr>
                <w:rFonts w:hint="eastAsia"/>
                <w:color w:val="auto"/>
                <w:szCs w:val="24"/>
              </w:rPr>
              <w:t>cm/s的防渗性能。</w:t>
            </w:r>
          </w:p>
          <w:p w14:paraId="7D6FC9BE">
            <w:pPr>
              <w:pStyle w:val="157"/>
              <w:keepNext w:val="0"/>
              <w:keepLines w:val="0"/>
              <w:pageBreakBefore w:val="0"/>
              <w:widowControl w:val="0"/>
              <w:kinsoku/>
              <w:wordWrap/>
              <w:overflowPunct/>
              <w:topLinePunct w:val="0"/>
              <w:autoSpaceDE/>
              <w:autoSpaceDN/>
              <w:bidi w:val="0"/>
              <w:spacing w:after="0"/>
              <w:ind w:left="0" w:leftChars="0" w:firstLine="480"/>
              <w:textAlignment w:val="auto"/>
              <w:rPr>
                <w:rFonts w:hint="eastAsia"/>
                <w:color w:val="auto"/>
                <w:szCs w:val="24"/>
              </w:rPr>
            </w:pPr>
            <w:r>
              <w:rPr>
                <w:rFonts w:hint="eastAsia"/>
                <w:color w:val="auto"/>
                <w:szCs w:val="24"/>
              </w:rPr>
              <w:t>结合项目工程特征，项目地下水一般防渗区主要包括</w:t>
            </w:r>
            <w:r>
              <w:rPr>
                <w:rFonts w:hint="eastAsia"/>
                <w:color w:val="auto"/>
                <w:szCs w:val="24"/>
                <w:lang w:val="en-US" w:eastAsia="zh-CN"/>
              </w:rPr>
              <w:t>生产</w:t>
            </w:r>
            <w:r>
              <w:rPr>
                <w:rFonts w:hint="eastAsia"/>
                <w:color w:val="auto"/>
                <w:szCs w:val="24"/>
              </w:rPr>
              <w:t>区域，</w:t>
            </w:r>
            <w:r>
              <w:rPr>
                <w:rFonts w:hint="eastAsia"/>
                <w:color w:val="auto"/>
                <w:szCs w:val="24"/>
                <w:lang w:val="en-US" w:eastAsia="zh-CN"/>
              </w:rPr>
              <w:t>破碎烘干车间、制粉车间、</w:t>
            </w:r>
            <w:r>
              <w:rPr>
                <w:rFonts w:hint="eastAsia"/>
                <w:color w:val="auto"/>
                <w:szCs w:val="24"/>
              </w:rPr>
              <w:t>原料堆场等生产车间，其地面按一般污染防治区要求做基础防腐及防渗处理，可防止可能下渗的污染物。此外，在加强管理，及时发现泄漏并采取有力措施的条件下，基本不会造成</w:t>
            </w:r>
            <w:r>
              <w:rPr>
                <w:rFonts w:hint="eastAsia"/>
                <w:color w:val="auto"/>
                <w:szCs w:val="24"/>
                <w:lang w:val="en-US" w:eastAsia="zh-CN"/>
              </w:rPr>
              <w:t>土壤、</w:t>
            </w:r>
            <w:r>
              <w:rPr>
                <w:rFonts w:hint="eastAsia"/>
                <w:color w:val="auto"/>
                <w:szCs w:val="24"/>
              </w:rPr>
              <w:t>地下水影响。</w:t>
            </w:r>
          </w:p>
          <w:p w14:paraId="43BC14FA">
            <w:pPr>
              <w:pStyle w:val="157"/>
              <w:keepNext w:val="0"/>
              <w:keepLines w:val="0"/>
              <w:pageBreakBefore w:val="0"/>
              <w:widowControl w:val="0"/>
              <w:kinsoku/>
              <w:wordWrap/>
              <w:overflowPunct/>
              <w:topLinePunct w:val="0"/>
              <w:autoSpaceDE/>
              <w:autoSpaceDN/>
              <w:bidi w:val="0"/>
              <w:spacing w:after="0"/>
              <w:ind w:left="0" w:leftChars="0" w:firstLine="480"/>
              <w:textAlignment w:val="auto"/>
              <w:rPr>
                <w:color w:val="auto"/>
                <w:szCs w:val="24"/>
              </w:rPr>
            </w:pPr>
            <w:r>
              <w:rPr>
                <w:rFonts w:hint="eastAsia"/>
                <w:color w:val="auto"/>
                <w:szCs w:val="24"/>
                <w:lang w:val="en-US" w:eastAsia="zh-CN"/>
              </w:rPr>
              <w:t>②</w:t>
            </w:r>
            <w:r>
              <w:rPr>
                <w:rFonts w:hint="eastAsia"/>
                <w:color w:val="auto"/>
                <w:szCs w:val="24"/>
              </w:rPr>
              <w:t>简单防渗区</w:t>
            </w:r>
            <w:r>
              <w:rPr>
                <w:rFonts w:hint="eastAsia"/>
                <w:color w:val="auto"/>
                <w:szCs w:val="24"/>
                <w:lang w:eastAsia="zh-CN"/>
              </w:rPr>
              <w:t>：</w:t>
            </w:r>
            <w:r>
              <w:rPr>
                <w:rFonts w:hint="eastAsia"/>
                <w:color w:val="auto"/>
                <w:szCs w:val="24"/>
              </w:rPr>
              <w:t>指不会对地下水环境造成污染的区域。项目地下水非污染防治区除了重点及一般防护区外的区域，主要包括办公、厂区道路等。对于基本上不产生污染的非污染防治区，不采取专门针对</w:t>
            </w:r>
            <w:r>
              <w:rPr>
                <w:rFonts w:hint="eastAsia"/>
                <w:color w:val="auto"/>
                <w:szCs w:val="24"/>
                <w:lang w:val="en-US" w:eastAsia="zh-CN"/>
              </w:rPr>
              <w:t>土壤、</w:t>
            </w:r>
            <w:r>
              <w:rPr>
                <w:rFonts w:hint="eastAsia"/>
                <w:color w:val="auto"/>
                <w:szCs w:val="24"/>
              </w:rPr>
              <w:t>地下水污染的防治措施。</w:t>
            </w:r>
          </w:p>
          <w:p w14:paraId="6D87B50E">
            <w:pPr>
              <w:pStyle w:val="22"/>
              <w:numPr>
                <w:ilvl w:val="0"/>
                <w:numId w:val="8"/>
              </w:numPr>
              <w:spacing w:before="120" w:beforeLines="50" w:after="0" w:line="240" w:lineRule="auto"/>
              <w:ind w:left="0" w:leftChars="0" w:firstLine="0" w:firstLineChars="0"/>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rPr>
              <w:t xml:space="preserve"> </w:t>
            </w:r>
            <w:r>
              <w:rPr>
                <w:rFonts w:hint="eastAsia" w:ascii="Times New Roman" w:hAnsi="Times New Roman" w:eastAsia="宋体" w:cs="Times New Roman"/>
                <w:b/>
                <w:bCs/>
                <w:snapToGrid w:val="0"/>
                <w:color w:val="auto"/>
                <w:sz w:val="24"/>
                <w:szCs w:val="24"/>
                <w:lang w:val="en-US" w:eastAsia="zh-CN"/>
              </w:rPr>
              <w:t>项目</w:t>
            </w:r>
            <w:r>
              <w:rPr>
                <w:rFonts w:hint="eastAsia" w:ascii="Times New Roman" w:hAnsi="Times New Roman" w:eastAsia="宋体" w:cs="Times New Roman"/>
                <w:b/>
                <w:bCs/>
                <w:snapToGrid w:val="0"/>
                <w:color w:val="auto"/>
                <w:sz w:val="24"/>
                <w:szCs w:val="24"/>
              </w:rPr>
              <w:t>防渗分区</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1484"/>
              <w:gridCol w:w="4939"/>
            </w:tblGrid>
            <w:tr w14:paraId="4B7F8A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6" w:type="dxa"/>
                  <w:tcBorders>
                    <w:right w:val="single" w:color="000000" w:sz="4" w:space="0"/>
                    <w:tl2br w:val="nil"/>
                    <w:tr2bl w:val="nil"/>
                  </w:tcBorders>
                  <w:noWrap w:val="0"/>
                  <w:vAlign w:val="center"/>
                </w:tcPr>
                <w:p w14:paraId="6E7E322C">
                  <w:pPr>
                    <w:autoSpaceDE w:val="0"/>
                    <w:autoSpaceDN w:val="0"/>
                    <w:adjustRightIn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防渗区域</w:t>
                  </w:r>
                </w:p>
              </w:tc>
              <w:tc>
                <w:tcPr>
                  <w:tcW w:w="1455" w:type="dxa"/>
                  <w:tcBorders>
                    <w:left w:val="single" w:color="000000" w:sz="4" w:space="0"/>
                    <w:tl2br w:val="nil"/>
                    <w:tr2bl w:val="nil"/>
                  </w:tcBorders>
                  <w:noWrap w:val="0"/>
                  <w:vAlign w:val="center"/>
                </w:tcPr>
                <w:p w14:paraId="41945B4B">
                  <w:pPr>
                    <w:autoSpaceDE w:val="0"/>
                    <w:autoSpaceDN w:val="0"/>
                    <w:adjustRightIn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防渗等级</w:t>
                  </w:r>
                </w:p>
              </w:tc>
              <w:tc>
                <w:tcPr>
                  <w:tcW w:w="4843" w:type="dxa"/>
                  <w:tcBorders>
                    <w:tl2br w:val="nil"/>
                    <w:tr2bl w:val="nil"/>
                  </w:tcBorders>
                  <w:noWrap w:val="0"/>
                  <w:vAlign w:val="center"/>
                </w:tcPr>
                <w:p w14:paraId="5380BFF4">
                  <w:pPr>
                    <w:autoSpaceDE w:val="0"/>
                    <w:autoSpaceDN w:val="0"/>
                    <w:adjustRightIn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防渗要求</w:t>
                  </w:r>
                </w:p>
              </w:tc>
            </w:tr>
            <w:tr w14:paraId="2E461B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6" w:type="dxa"/>
                  <w:tcBorders>
                    <w:right w:val="single" w:color="000000" w:sz="4" w:space="0"/>
                    <w:tl2br w:val="nil"/>
                    <w:tr2bl w:val="nil"/>
                  </w:tcBorders>
                  <w:noWrap w:val="0"/>
                  <w:vAlign w:val="center"/>
                </w:tcPr>
                <w:p w14:paraId="5072E0D8">
                  <w:pPr>
                    <w:pStyle w:val="201"/>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生产车间</w:t>
                  </w:r>
                </w:p>
              </w:tc>
              <w:tc>
                <w:tcPr>
                  <w:tcW w:w="1455" w:type="dxa"/>
                  <w:tcBorders>
                    <w:left w:val="single" w:color="000000" w:sz="4" w:space="0"/>
                    <w:tl2br w:val="nil"/>
                    <w:tr2bl w:val="nil"/>
                  </w:tcBorders>
                  <w:noWrap w:val="0"/>
                  <w:vAlign w:val="center"/>
                </w:tcPr>
                <w:p w14:paraId="17CBE311">
                  <w:pPr>
                    <w:pStyle w:val="201"/>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一般防渗区</w:t>
                  </w:r>
                </w:p>
              </w:tc>
              <w:tc>
                <w:tcPr>
                  <w:tcW w:w="4843" w:type="dxa"/>
                  <w:tcBorders>
                    <w:tl2br w:val="nil"/>
                    <w:tr2bl w:val="nil"/>
                  </w:tcBorders>
                  <w:noWrap w:val="0"/>
                  <w:vAlign w:val="center"/>
                </w:tcPr>
                <w:p w14:paraId="697A0CFF">
                  <w:pPr>
                    <w:pStyle w:val="201"/>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原土夯实，水泥基渗透结晶型抗渗混凝土</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厚度不宜小于150mm</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+水泥基渗透结晶型防渗涂层</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厚度不小于0.8mm</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；或原土夯实，土工膜</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厚度不小于1.5mm</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+抗渗混凝土</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厚度不宜小于100mm</w:t>
                  </w:r>
                  <w:r>
                    <w:rPr>
                      <w:rFonts w:hint="eastAsia" w:eastAsia="宋体" w:cs="Times New Roman"/>
                      <w:color w:val="auto"/>
                      <w:highlight w:val="none"/>
                      <w:lang w:val="en-US" w:eastAsia="zh-CN"/>
                    </w:rPr>
                    <w:t>）</w:t>
                  </w:r>
                </w:p>
              </w:tc>
            </w:tr>
            <w:tr w14:paraId="4179AB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6" w:type="dxa"/>
                  <w:tcBorders>
                    <w:right w:val="single" w:color="000000" w:sz="4" w:space="0"/>
                    <w:tl2br w:val="nil"/>
                    <w:tr2bl w:val="nil"/>
                  </w:tcBorders>
                  <w:noWrap w:val="0"/>
                  <w:vAlign w:val="center"/>
                </w:tcPr>
                <w:p w14:paraId="0FA1B556">
                  <w:pPr>
                    <w:pStyle w:val="201"/>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办公及厂区道路</w:t>
                  </w:r>
                </w:p>
              </w:tc>
              <w:tc>
                <w:tcPr>
                  <w:tcW w:w="1455" w:type="dxa"/>
                  <w:tcBorders>
                    <w:left w:val="single" w:color="000000" w:sz="4" w:space="0"/>
                    <w:tl2br w:val="nil"/>
                    <w:tr2bl w:val="nil"/>
                  </w:tcBorders>
                  <w:noWrap w:val="0"/>
                  <w:vAlign w:val="center"/>
                </w:tcPr>
                <w:p w14:paraId="24632366">
                  <w:pPr>
                    <w:pStyle w:val="201"/>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简单防渗区</w:t>
                  </w:r>
                </w:p>
              </w:tc>
              <w:tc>
                <w:tcPr>
                  <w:tcW w:w="4843" w:type="dxa"/>
                  <w:tcBorders>
                    <w:tl2br w:val="nil"/>
                    <w:tr2bl w:val="nil"/>
                  </w:tcBorders>
                  <w:noWrap w:val="0"/>
                  <w:vAlign w:val="center"/>
                </w:tcPr>
                <w:p w14:paraId="5B15C72D">
                  <w:pPr>
                    <w:pStyle w:val="201"/>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水泥硬化地面</w:t>
                  </w:r>
                </w:p>
              </w:tc>
            </w:tr>
          </w:tbl>
          <w:p w14:paraId="329F8AC6">
            <w:pPr>
              <w:pStyle w:val="157"/>
              <w:keepNext w:val="0"/>
              <w:keepLines w:val="0"/>
              <w:pageBreakBefore w:val="0"/>
              <w:widowControl w:val="0"/>
              <w:kinsoku/>
              <w:wordWrap/>
              <w:overflowPunct/>
              <w:topLinePunct w:val="0"/>
              <w:autoSpaceDE/>
              <w:autoSpaceDN/>
              <w:bidi w:val="0"/>
              <w:spacing w:after="0"/>
              <w:ind w:left="0" w:leftChars="0" w:firstLine="480"/>
              <w:textAlignment w:val="auto"/>
              <w:rPr>
                <w:color w:val="auto"/>
                <w:szCs w:val="24"/>
              </w:rPr>
            </w:pPr>
          </w:p>
          <w:p w14:paraId="03C1025B">
            <w:pPr>
              <w:pStyle w:val="155"/>
              <w:rPr>
                <w:rFonts w:eastAsia="宋体" w:cs="Times New Roman"/>
                <w:b/>
                <w:color w:val="auto"/>
                <w:sz w:val="24"/>
                <w:szCs w:val="24"/>
              </w:rPr>
            </w:pPr>
            <w:r>
              <w:rPr>
                <w:rFonts w:eastAsia="宋体" w:cs="Times New Roman"/>
                <w:b/>
                <w:color w:val="auto"/>
                <w:sz w:val="24"/>
                <w:szCs w:val="24"/>
              </w:rPr>
              <w:t>4.2.6生态影响</w:t>
            </w:r>
          </w:p>
          <w:p w14:paraId="04EA72B4">
            <w:pPr>
              <w:autoSpaceDE w:val="0"/>
              <w:autoSpaceDN w:val="0"/>
              <w:adjustRightInd w:val="0"/>
              <w:snapToGrid w:val="0"/>
              <w:spacing w:line="360" w:lineRule="auto"/>
              <w:ind w:firstLine="480" w:firstLineChars="200"/>
              <w:textAlignment w:val="baseline"/>
              <w:rPr>
                <w:bCs/>
                <w:color w:val="auto"/>
                <w:sz w:val="24"/>
              </w:rPr>
            </w:pPr>
            <w:r>
              <w:rPr>
                <w:color w:val="auto"/>
                <w:kern w:val="0"/>
                <w:sz w:val="24"/>
              </w:rPr>
              <w:t>项目位于</w:t>
            </w:r>
            <w:r>
              <w:rPr>
                <w:rFonts w:hint="eastAsia"/>
                <w:color w:val="auto"/>
                <w:sz w:val="24"/>
                <w:lang w:eastAsia="zh-CN"/>
              </w:rPr>
              <w:t>福建省福鼎市前岐镇照澜村罗六36号</w:t>
            </w:r>
            <w:r>
              <w:rPr>
                <w:color w:val="auto"/>
                <w:kern w:val="0"/>
                <w:sz w:val="24"/>
              </w:rPr>
              <w:t>，</w:t>
            </w:r>
            <w:r>
              <w:rPr>
                <w:rFonts w:hint="eastAsia"/>
                <w:color w:val="auto"/>
                <w:sz w:val="24"/>
                <w:szCs w:val="24"/>
                <w:lang w:val="en-US" w:eastAsia="zh-CN"/>
              </w:rPr>
              <w:t>租赁福鼎市福阳溶剂有限公司现有厂房</w:t>
            </w:r>
            <w:r>
              <w:rPr>
                <w:rFonts w:hint="eastAsia"/>
                <w:color w:val="auto"/>
                <w:kern w:val="0"/>
                <w:sz w:val="24"/>
                <w:szCs w:val="24"/>
                <w:lang w:val="en-US" w:eastAsia="zh-CN"/>
              </w:rPr>
              <w:t>进行建设</w:t>
            </w:r>
            <w:r>
              <w:rPr>
                <w:rFonts w:hint="eastAsia"/>
                <w:color w:val="auto"/>
                <w:kern w:val="0"/>
                <w:sz w:val="24"/>
                <w:lang w:val="en-US" w:eastAsia="zh-CN"/>
              </w:rPr>
              <w:t>，</w:t>
            </w:r>
            <w:r>
              <w:rPr>
                <w:color w:val="auto"/>
                <w:kern w:val="0"/>
                <w:sz w:val="24"/>
              </w:rPr>
              <w:t>项目周边没有生态保护目标</w:t>
            </w:r>
            <w:r>
              <w:rPr>
                <w:bCs/>
                <w:color w:val="auto"/>
                <w:sz w:val="24"/>
              </w:rPr>
              <w:t>，因此</w:t>
            </w:r>
            <w:r>
              <w:rPr>
                <w:rFonts w:hint="eastAsia"/>
                <w:bCs/>
                <w:color w:val="auto"/>
                <w:sz w:val="24"/>
                <w:lang w:val="en-US" w:eastAsia="zh-CN"/>
              </w:rPr>
              <w:t>对</w:t>
            </w:r>
            <w:r>
              <w:rPr>
                <w:bCs/>
                <w:color w:val="auto"/>
                <w:sz w:val="24"/>
              </w:rPr>
              <w:t>生态环境影响</w:t>
            </w:r>
            <w:r>
              <w:rPr>
                <w:rFonts w:hint="eastAsia"/>
                <w:bCs/>
                <w:color w:val="auto"/>
                <w:sz w:val="24"/>
                <w:lang w:val="en-US" w:eastAsia="zh-CN"/>
              </w:rPr>
              <w:t>较小</w:t>
            </w:r>
            <w:r>
              <w:rPr>
                <w:bCs/>
                <w:color w:val="auto"/>
                <w:sz w:val="24"/>
              </w:rPr>
              <w:t>。</w:t>
            </w:r>
          </w:p>
          <w:p w14:paraId="2AE470E9">
            <w:pPr>
              <w:pStyle w:val="2"/>
              <w:spacing w:beforeLines="50" w:after="120"/>
              <w:rPr>
                <w:rFonts w:ascii="Times New Roman" w:hAnsi="Times New Roman" w:eastAsia="宋体"/>
                <w:color w:val="auto"/>
                <w:sz w:val="24"/>
                <w:szCs w:val="24"/>
              </w:rPr>
            </w:pPr>
            <w:r>
              <w:rPr>
                <w:rFonts w:ascii="Times New Roman" w:hAnsi="Times New Roman" w:eastAsia="宋体"/>
                <w:color w:val="auto"/>
                <w:sz w:val="24"/>
                <w:szCs w:val="24"/>
              </w:rPr>
              <w:t>4.2.7环境风险</w:t>
            </w:r>
          </w:p>
          <w:p w14:paraId="7E76F2CB">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（1）风险调查</w:t>
            </w:r>
          </w:p>
          <w:p w14:paraId="21748E82">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根据《建设项目环境风险评价技术导则》（HJ169-2018），本项目风险物质主要为</w:t>
            </w:r>
            <w:r>
              <w:rPr>
                <w:rFonts w:hint="eastAsia" w:cs="Times New Roman"/>
                <w:color w:val="auto"/>
                <w:kern w:val="0"/>
                <w:sz w:val="24"/>
                <w:lang w:val="en-US" w:eastAsia="zh-CN"/>
              </w:rPr>
              <w:t>天然气</w:t>
            </w:r>
            <w:r>
              <w:rPr>
                <w:rFonts w:ascii="Times New Roman" w:hAnsi="Times New Roman" w:eastAsia="宋体" w:cs="Times New Roman"/>
                <w:color w:val="auto"/>
                <w:kern w:val="0"/>
                <w:sz w:val="24"/>
              </w:rPr>
              <w:t>。对照《建设项目环境风险评价技术导则》（HJ169-2018）附录B，本项目涉及风险物质最大存在总量与其临界量的比值Q，详见下表。</w:t>
            </w:r>
          </w:p>
          <w:p w14:paraId="6EC619A0">
            <w:pPr>
              <w:pStyle w:val="22"/>
              <w:numPr>
                <w:ilvl w:val="0"/>
                <w:numId w:val="8"/>
              </w:numPr>
              <w:spacing w:before="120" w:beforeLines="50" w:after="0" w:line="240" w:lineRule="auto"/>
              <w:rPr>
                <w:rFonts w:ascii="Times New Roman" w:hAnsi="Times New Roman"/>
                <w:color w:val="auto"/>
                <w:sz w:val="24"/>
                <w:szCs w:val="24"/>
              </w:rPr>
            </w:pPr>
            <w:r>
              <w:rPr>
                <w:rFonts w:ascii="Times New Roman" w:hAnsi="Times New Roman"/>
                <w:color w:val="auto"/>
                <w:sz w:val="24"/>
                <w:szCs w:val="24"/>
              </w:rPr>
              <w:t>项目</w:t>
            </w:r>
            <w:r>
              <w:rPr>
                <w:rFonts w:hint="eastAsia" w:ascii="Times New Roman" w:hAnsi="Times New Roman"/>
                <w:color w:val="auto"/>
                <w:sz w:val="24"/>
                <w:szCs w:val="24"/>
                <w:lang w:val="en-US" w:eastAsia="zh-CN"/>
              </w:rPr>
              <w:t>风险物质Q值</w:t>
            </w:r>
            <w:r>
              <w:rPr>
                <w:rFonts w:ascii="Times New Roman" w:hAnsi="Times New Roman"/>
                <w:color w:val="auto"/>
                <w:sz w:val="24"/>
                <w:szCs w:val="24"/>
              </w:rPr>
              <w:t>一览表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346"/>
              <w:gridCol w:w="1164"/>
              <w:gridCol w:w="1255"/>
              <w:gridCol w:w="1744"/>
              <w:gridCol w:w="1148"/>
              <w:gridCol w:w="778"/>
            </w:tblGrid>
            <w:tr w14:paraId="0F38E6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4" w:type="pct"/>
                  <w:tcBorders>
                    <w:tl2br w:val="nil"/>
                    <w:tr2bl w:val="nil"/>
                  </w:tcBorders>
                  <w:noWrap w:val="0"/>
                  <w:vAlign w:val="center"/>
                </w:tcPr>
                <w:p w14:paraId="4B89DADD">
                  <w:pPr>
                    <w:autoSpaceDE w:val="0"/>
                    <w:autoSpaceDN w:val="0"/>
                    <w:adjustRightInd w:val="0"/>
                    <w:jc w:val="center"/>
                    <w:rPr>
                      <w:rFonts w:ascii="Times New Roman" w:hAnsi="Times New Roman"/>
                      <w:color w:val="auto"/>
                      <w:szCs w:val="21"/>
                    </w:rPr>
                  </w:pPr>
                  <w:r>
                    <w:rPr>
                      <w:rFonts w:ascii="Times New Roman" w:hAnsi="Times New Roman"/>
                      <w:color w:val="auto"/>
                      <w:szCs w:val="21"/>
                    </w:rPr>
                    <w:t>序号</w:t>
                  </w:r>
                </w:p>
              </w:tc>
              <w:tc>
                <w:tcPr>
                  <w:tcW w:w="826" w:type="pct"/>
                  <w:tcBorders>
                    <w:tl2br w:val="nil"/>
                    <w:tr2bl w:val="nil"/>
                  </w:tcBorders>
                  <w:noWrap w:val="0"/>
                  <w:vAlign w:val="center"/>
                </w:tcPr>
                <w:p w14:paraId="3EAB4190">
                  <w:pPr>
                    <w:autoSpaceDE w:val="0"/>
                    <w:autoSpaceDN w:val="0"/>
                    <w:adjustRightInd w:val="0"/>
                    <w:jc w:val="center"/>
                    <w:rPr>
                      <w:rFonts w:ascii="Times New Roman" w:hAnsi="Times New Roman"/>
                      <w:color w:val="auto"/>
                      <w:szCs w:val="21"/>
                    </w:rPr>
                  </w:pPr>
                  <w:r>
                    <w:rPr>
                      <w:rFonts w:ascii="Times New Roman" w:hAnsi="Times New Roman"/>
                      <w:color w:val="auto"/>
                      <w:szCs w:val="21"/>
                    </w:rPr>
                    <w:t>危险源名称</w:t>
                  </w:r>
                </w:p>
              </w:tc>
              <w:tc>
                <w:tcPr>
                  <w:tcW w:w="714" w:type="pct"/>
                  <w:tcBorders>
                    <w:right w:val="single" w:color="000000" w:sz="4" w:space="0"/>
                    <w:tl2br w:val="nil"/>
                    <w:tr2bl w:val="nil"/>
                  </w:tcBorders>
                  <w:noWrap w:val="0"/>
                  <w:vAlign w:val="center"/>
                </w:tcPr>
                <w:p w14:paraId="55903471">
                  <w:pPr>
                    <w:autoSpaceDE w:val="0"/>
                    <w:autoSpaceDN w:val="0"/>
                    <w:adjustRightInd w:val="0"/>
                    <w:jc w:val="center"/>
                    <w:rPr>
                      <w:rFonts w:ascii="Times New Roman" w:hAnsi="Times New Roman"/>
                      <w:color w:val="auto"/>
                      <w:szCs w:val="21"/>
                    </w:rPr>
                  </w:pPr>
                  <w:r>
                    <w:rPr>
                      <w:rFonts w:ascii="Times New Roman" w:hAnsi="Times New Roman"/>
                      <w:color w:val="auto"/>
                      <w:szCs w:val="21"/>
                    </w:rPr>
                    <w:t>CAS号</w:t>
                  </w:r>
                </w:p>
              </w:tc>
              <w:tc>
                <w:tcPr>
                  <w:tcW w:w="770" w:type="pct"/>
                  <w:tcBorders>
                    <w:left w:val="single" w:color="000000" w:sz="4" w:space="0"/>
                    <w:tl2br w:val="nil"/>
                    <w:tr2bl w:val="nil"/>
                  </w:tcBorders>
                  <w:noWrap w:val="0"/>
                  <w:vAlign w:val="center"/>
                </w:tcPr>
                <w:p w14:paraId="7644255D">
                  <w:pPr>
                    <w:autoSpaceDE w:val="0"/>
                    <w:autoSpaceDN w:val="0"/>
                    <w:adjustRightInd w:val="0"/>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贮存方式</w:t>
                  </w:r>
                </w:p>
              </w:tc>
              <w:tc>
                <w:tcPr>
                  <w:tcW w:w="1070" w:type="pct"/>
                  <w:tcBorders>
                    <w:tl2br w:val="nil"/>
                    <w:tr2bl w:val="nil"/>
                  </w:tcBorders>
                  <w:noWrap w:val="0"/>
                  <w:vAlign w:val="center"/>
                </w:tcPr>
                <w:p w14:paraId="6CDE5E22">
                  <w:pPr>
                    <w:autoSpaceDE w:val="0"/>
                    <w:autoSpaceDN w:val="0"/>
                    <w:adjustRightInd w:val="0"/>
                    <w:jc w:val="center"/>
                    <w:rPr>
                      <w:rFonts w:ascii="Times New Roman" w:hAnsi="Times New Roman"/>
                      <w:color w:val="auto"/>
                      <w:szCs w:val="21"/>
                    </w:rPr>
                  </w:pPr>
                  <w:r>
                    <w:rPr>
                      <w:rFonts w:ascii="Times New Roman" w:hAnsi="Times New Roman"/>
                      <w:color w:val="auto"/>
                      <w:szCs w:val="21"/>
                    </w:rPr>
                    <w:t>最大储存总量（t/a）</w:t>
                  </w:r>
                </w:p>
              </w:tc>
              <w:tc>
                <w:tcPr>
                  <w:tcW w:w="704" w:type="pct"/>
                  <w:tcBorders>
                    <w:tl2br w:val="nil"/>
                    <w:tr2bl w:val="nil"/>
                  </w:tcBorders>
                  <w:noWrap w:val="0"/>
                  <w:vAlign w:val="center"/>
                </w:tcPr>
                <w:p w14:paraId="327A552B">
                  <w:pPr>
                    <w:autoSpaceDE w:val="0"/>
                    <w:autoSpaceDN w:val="0"/>
                    <w:adjustRightInd w:val="0"/>
                    <w:jc w:val="center"/>
                    <w:rPr>
                      <w:rFonts w:ascii="Times New Roman" w:hAnsi="Times New Roman"/>
                      <w:color w:val="auto"/>
                      <w:szCs w:val="21"/>
                    </w:rPr>
                  </w:pPr>
                  <w:r>
                    <w:rPr>
                      <w:rFonts w:ascii="Times New Roman" w:hAnsi="Times New Roman"/>
                      <w:color w:val="auto"/>
                      <w:szCs w:val="21"/>
                    </w:rPr>
                    <w:t>临界量（t）</w:t>
                  </w:r>
                </w:p>
              </w:tc>
              <w:tc>
                <w:tcPr>
                  <w:tcW w:w="477" w:type="pct"/>
                  <w:tcBorders>
                    <w:tl2br w:val="nil"/>
                    <w:tr2bl w:val="nil"/>
                  </w:tcBorders>
                  <w:noWrap w:val="0"/>
                  <w:vAlign w:val="center"/>
                </w:tcPr>
                <w:p w14:paraId="38E2E0F9">
                  <w:pPr>
                    <w:autoSpaceDE w:val="0"/>
                    <w:autoSpaceDN w:val="0"/>
                    <w:adjustRightInd w:val="0"/>
                    <w:jc w:val="center"/>
                    <w:rPr>
                      <w:rFonts w:ascii="Times New Roman" w:hAnsi="Times New Roman"/>
                      <w:color w:val="auto"/>
                      <w:szCs w:val="21"/>
                    </w:rPr>
                  </w:pPr>
                  <w:r>
                    <w:rPr>
                      <w:rFonts w:ascii="Times New Roman" w:hAnsi="Times New Roman"/>
                      <w:color w:val="auto"/>
                      <w:szCs w:val="21"/>
                    </w:rPr>
                    <w:t>Q值</w:t>
                  </w:r>
                </w:p>
              </w:tc>
            </w:tr>
            <w:tr w14:paraId="09CEE4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4" w:type="pct"/>
                  <w:tcBorders>
                    <w:tl2br w:val="nil"/>
                    <w:tr2bl w:val="nil"/>
                  </w:tcBorders>
                  <w:noWrap w:val="0"/>
                  <w:vAlign w:val="center"/>
                </w:tcPr>
                <w:p w14:paraId="740D4194">
                  <w:pPr>
                    <w:pStyle w:val="201"/>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1</w:t>
                  </w:r>
                </w:p>
              </w:tc>
              <w:tc>
                <w:tcPr>
                  <w:tcW w:w="826" w:type="pct"/>
                  <w:tcBorders>
                    <w:tl2br w:val="nil"/>
                    <w:tr2bl w:val="nil"/>
                  </w:tcBorders>
                  <w:shd w:val="clear" w:color="auto" w:fill="auto"/>
                  <w:noWrap w:val="0"/>
                  <w:vAlign w:val="center"/>
                </w:tcPr>
                <w:p w14:paraId="79ED7722">
                  <w:pPr>
                    <w:pStyle w:val="201"/>
                    <w:rPr>
                      <w:rFonts w:hint="eastAsia" w:ascii="Times New Roman" w:hAnsi="Times New Roman" w:eastAsia="宋体" w:cs="Times New Roman"/>
                      <w:color w:val="auto"/>
                      <w:sz w:val="21"/>
                      <w:szCs w:val="21"/>
                      <w:highlight w:val="none"/>
                      <w:lang w:val="en-US" w:eastAsia="en-US" w:bidi="ar-SA"/>
                    </w:rPr>
                  </w:pPr>
                  <w:r>
                    <w:rPr>
                      <w:rFonts w:hint="eastAsia" w:ascii="Times New Roman" w:hAnsi="Times New Roman" w:eastAsia="宋体" w:cs="Times New Roman"/>
                      <w:color w:val="auto"/>
                      <w:highlight w:val="none"/>
                      <w:lang w:val="en-US" w:eastAsia="zh-CN"/>
                    </w:rPr>
                    <w:t>天然气（甲烷）</w:t>
                  </w:r>
                </w:p>
              </w:tc>
              <w:tc>
                <w:tcPr>
                  <w:tcW w:w="714" w:type="pct"/>
                  <w:tcBorders>
                    <w:right w:val="single" w:color="000000" w:sz="4" w:space="0"/>
                    <w:tl2br w:val="nil"/>
                    <w:tr2bl w:val="nil"/>
                  </w:tcBorders>
                  <w:shd w:val="clear" w:color="auto" w:fill="auto"/>
                  <w:noWrap w:val="0"/>
                  <w:vAlign w:val="center"/>
                </w:tcPr>
                <w:p w14:paraId="1F6B29FA">
                  <w:pPr>
                    <w:pStyle w:val="201"/>
                    <w:rPr>
                      <w:rFonts w:hint="eastAsia"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74-82-8</w:t>
                  </w:r>
                </w:p>
              </w:tc>
              <w:tc>
                <w:tcPr>
                  <w:tcW w:w="770" w:type="pct"/>
                  <w:tcBorders>
                    <w:left w:val="single" w:color="000000" w:sz="4" w:space="0"/>
                    <w:tl2br w:val="nil"/>
                    <w:tr2bl w:val="nil"/>
                  </w:tcBorders>
                  <w:shd w:val="clear" w:color="auto" w:fill="auto"/>
                  <w:noWrap w:val="0"/>
                  <w:vAlign w:val="center"/>
                </w:tcPr>
                <w:p w14:paraId="158546BB">
                  <w:pPr>
                    <w:pStyle w:val="201"/>
                    <w:jc w:val="center"/>
                    <w:rPr>
                      <w:rFonts w:hint="default" w:ascii="Times New Roman" w:hAnsi="Times New Roman" w:eastAsia="宋体" w:cs="Times New Roman"/>
                      <w:color w:val="auto"/>
                      <w:sz w:val="21"/>
                      <w:szCs w:val="21"/>
                      <w:highlight w:val="none"/>
                      <w:lang w:val="en-US" w:eastAsia="zh-CN" w:bidi="ar-SA"/>
                    </w:rPr>
                  </w:pPr>
                  <w:r>
                    <w:rPr>
                      <w:rFonts w:hint="eastAsia" w:eastAsia="宋体" w:cs="Times New Roman"/>
                      <w:color w:val="auto"/>
                      <w:sz w:val="21"/>
                      <w:szCs w:val="21"/>
                      <w:highlight w:val="none"/>
                      <w:lang w:val="en-US" w:eastAsia="zh-CN" w:bidi="ar-SA"/>
                    </w:rPr>
                    <w:t>罐装</w:t>
                  </w:r>
                </w:p>
              </w:tc>
              <w:tc>
                <w:tcPr>
                  <w:tcW w:w="1070" w:type="pct"/>
                  <w:tcBorders>
                    <w:tl2br w:val="nil"/>
                    <w:tr2bl w:val="nil"/>
                  </w:tcBorders>
                  <w:shd w:val="clear" w:color="auto" w:fill="auto"/>
                  <w:noWrap w:val="0"/>
                  <w:vAlign w:val="center"/>
                </w:tcPr>
                <w:p w14:paraId="4FA7A9BE">
                  <w:pPr>
                    <w:pStyle w:val="201"/>
                    <w:jc w:val="center"/>
                    <w:rPr>
                      <w:rFonts w:hint="default" w:ascii="Times New Roman" w:hAnsi="Times New Roman" w:eastAsia="宋体" w:cs="Times New Roman"/>
                      <w:color w:val="auto"/>
                      <w:sz w:val="21"/>
                      <w:szCs w:val="21"/>
                      <w:highlight w:val="none"/>
                      <w:lang w:val="en-US" w:eastAsia="zh-CN" w:bidi="ar-SA"/>
                    </w:rPr>
                  </w:pPr>
                  <w:r>
                    <w:rPr>
                      <w:rFonts w:hint="eastAsia" w:eastAsia="宋体" w:cs="Times New Roman"/>
                      <w:color w:val="auto"/>
                      <w:sz w:val="21"/>
                      <w:szCs w:val="21"/>
                      <w:highlight w:val="none"/>
                      <w:lang w:val="en-US" w:eastAsia="zh-CN" w:bidi="ar-SA"/>
                    </w:rPr>
                    <w:t>6</w:t>
                  </w:r>
                </w:p>
              </w:tc>
              <w:tc>
                <w:tcPr>
                  <w:tcW w:w="704" w:type="pct"/>
                  <w:tcBorders>
                    <w:tl2br w:val="nil"/>
                    <w:tr2bl w:val="nil"/>
                  </w:tcBorders>
                  <w:shd w:val="clear" w:color="auto" w:fill="auto"/>
                  <w:noWrap w:val="0"/>
                  <w:vAlign w:val="center"/>
                </w:tcPr>
                <w:p w14:paraId="43FF5EB7">
                  <w:pPr>
                    <w:pStyle w:val="201"/>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highlight w:val="none"/>
                      <w:lang w:val="en-US" w:eastAsia="zh-CN"/>
                    </w:rPr>
                    <w:t>10</w:t>
                  </w:r>
                </w:p>
              </w:tc>
              <w:tc>
                <w:tcPr>
                  <w:tcW w:w="477" w:type="pct"/>
                  <w:tcBorders>
                    <w:tl2br w:val="nil"/>
                    <w:tr2bl w:val="nil"/>
                  </w:tcBorders>
                  <w:shd w:val="clear" w:color="auto" w:fill="auto"/>
                  <w:noWrap w:val="0"/>
                  <w:vAlign w:val="center"/>
                </w:tcPr>
                <w:p w14:paraId="4D9DA633">
                  <w:pPr>
                    <w:pStyle w:val="201"/>
                    <w:jc w:val="center"/>
                    <w:rPr>
                      <w:rFonts w:hint="default" w:ascii="Times New Roman" w:hAnsi="Times New Roman" w:eastAsia="宋体" w:cs="Times New Roman"/>
                      <w:color w:val="auto"/>
                      <w:sz w:val="21"/>
                      <w:szCs w:val="21"/>
                      <w:highlight w:val="none"/>
                      <w:lang w:val="en-US" w:eastAsia="zh-CN" w:bidi="ar-SA"/>
                    </w:rPr>
                  </w:pPr>
                  <w:r>
                    <w:rPr>
                      <w:rFonts w:hint="eastAsia" w:eastAsia="宋体" w:cs="Times New Roman"/>
                      <w:color w:val="auto"/>
                      <w:sz w:val="21"/>
                      <w:szCs w:val="21"/>
                      <w:highlight w:val="none"/>
                      <w:lang w:val="en-US" w:eastAsia="zh-CN" w:bidi="ar-SA"/>
                    </w:rPr>
                    <w:t>0.6</w:t>
                  </w:r>
                </w:p>
              </w:tc>
            </w:tr>
          </w:tbl>
          <w:p w14:paraId="7EACEC85">
            <w:pPr>
              <w:autoSpaceDE w:val="0"/>
              <w:autoSpaceDN w:val="0"/>
              <w:adjustRightIn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注*2：临界量参考《建设项目环境风险评价技术导则》（HJ169-2018）附录B 中表B.2。</w:t>
            </w:r>
          </w:p>
          <w:p w14:paraId="3256E328">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ascii="Times New Roman" w:hAnsi="Times New Roman" w:eastAsia="宋体" w:cs="Times New Roman"/>
                <w:color w:val="auto"/>
                <w:kern w:val="0"/>
                <w:sz w:val="24"/>
                <w:szCs w:val="21"/>
                <w:lang w:val="en-US" w:eastAsia="zh-CN" w:bidi="ar-SA"/>
              </w:rPr>
            </w:pPr>
            <w:r>
              <w:rPr>
                <w:rFonts w:ascii="Times New Roman" w:hAnsi="Times New Roman" w:eastAsia="宋体" w:cs="Times New Roman"/>
                <w:color w:val="auto"/>
                <w:kern w:val="0"/>
                <w:sz w:val="24"/>
                <w:szCs w:val="21"/>
                <w:lang w:val="en-US" w:eastAsia="zh-CN" w:bidi="ar-SA"/>
              </w:rPr>
              <w:t>经计算，Q=</w:t>
            </w:r>
            <w:r>
              <w:rPr>
                <w:rFonts w:hint="eastAsia"/>
                <w:color w:val="auto"/>
                <w:szCs w:val="21"/>
                <w:highlight w:val="none"/>
                <w:lang w:val="en-US" w:eastAsia="zh-CN"/>
              </w:rPr>
              <w:t>0.6</w:t>
            </w:r>
            <w:r>
              <w:rPr>
                <w:rFonts w:ascii="Times New Roman" w:hAnsi="Times New Roman" w:eastAsia="宋体" w:cs="Times New Roman"/>
                <w:color w:val="auto"/>
                <w:kern w:val="0"/>
                <w:sz w:val="24"/>
                <w:szCs w:val="21"/>
                <w:lang w:val="en-US" w:eastAsia="zh-CN" w:bidi="ar-SA"/>
              </w:rPr>
              <w:t>＜1，以Q</w:t>
            </w:r>
            <w:r>
              <w:rPr>
                <w:rFonts w:hint="eastAsia" w:ascii="Times New Roman" w:hAnsi="Times New Roman" w:eastAsia="宋体" w:cs="Times New Roman"/>
                <w:color w:val="auto"/>
                <w:kern w:val="0"/>
                <w:sz w:val="24"/>
                <w:szCs w:val="21"/>
                <w:vertAlign w:val="subscript"/>
                <w:lang w:val="en-US" w:eastAsia="zh-CN" w:bidi="ar-SA"/>
              </w:rPr>
              <w:t>0</w:t>
            </w:r>
            <w:r>
              <w:rPr>
                <w:rFonts w:ascii="Times New Roman" w:hAnsi="Times New Roman" w:eastAsia="宋体" w:cs="Times New Roman"/>
                <w:color w:val="auto"/>
                <w:kern w:val="0"/>
                <w:sz w:val="24"/>
                <w:szCs w:val="21"/>
                <w:lang w:val="en-US" w:eastAsia="zh-CN" w:bidi="ar-SA"/>
              </w:rPr>
              <w:t xml:space="preserve"> 表示；则本项目风险潜势为Ⅰ。</w:t>
            </w:r>
          </w:p>
          <w:p w14:paraId="547EF814">
            <w:pPr>
              <w:autoSpaceDE w:val="0"/>
              <w:autoSpaceDN w:val="0"/>
              <w:adjustRightInd w:val="0"/>
              <w:snapToGrid w:val="0"/>
              <w:spacing w:line="360" w:lineRule="auto"/>
              <w:ind w:firstLine="480" w:firstLineChars="200"/>
              <w:textAlignment w:val="baseline"/>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val="en-US" w:eastAsia="zh-CN"/>
              </w:rPr>
              <w:t>2</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评价等级</w:t>
            </w:r>
          </w:p>
          <w:p w14:paraId="023DA45E">
            <w:pPr>
              <w:adjustRightInd w:val="0"/>
              <w:snapToGrid w:val="0"/>
              <w:spacing w:line="360" w:lineRule="auto"/>
              <w:ind w:firstLine="480"/>
              <w:jc w:val="both"/>
              <w:rPr>
                <w:rStyle w:val="177"/>
                <w:rFonts w:hint="default" w:ascii="Times New Roman" w:hAnsi="Times New Roman" w:eastAsia="宋体" w:cs="Times New Roman"/>
                <w:color w:val="auto"/>
                <w:sz w:val="24"/>
                <w:szCs w:val="24"/>
              </w:rPr>
            </w:pPr>
            <w:r>
              <w:rPr>
                <w:rStyle w:val="177"/>
                <w:rFonts w:hint="default" w:ascii="Times New Roman" w:hAnsi="Times New Roman" w:eastAsia="宋体" w:cs="Times New Roman"/>
                <w:color w:val="auto"/>
                <w:sz w:val="24"/>
                <w:szCs w:val="24"/>
              </w:rPr>
              <w:t>根据建设</w:t>
            </w:r>
            <w:r>
              <w:rPr>
                <w:rStyle w:val="177"/>
                <w:rFonts w:hint="default" w:ascii="Times New Roman" w:hAnsi="Times New Roman" w:eastAsia="宋体" w:cs="Times New Roman"/>
                <w:color w:val="auto"/>
                <w:sz w:val="24"/>
                <w:szCs w:val="24"/>
                <w:highlight w:val="none"/>
              </w:rPr>
              <w:t>项目涉及的物质工艺系统危险性和所在地的环境敏感性确定</w:t>
            </w:r>
            <w:r>
              <w:rPr>
                <w:rStyle w:val="177"/>
                <w:rFonts w:hint="default" w:ascii="Times New Roman" w:hAnsi="Times New Roman" w:eastAsia="宋体" w:cs="Times New Roman"/>
                <w:color w:val="auto"/>
                <w:sz w:val="24"/>
                <w:szCs w:val="24"/>
                <w:highlight w:val="none"/>
                <w:lang w:val="en-US" w:eastAsia="zh-CN"/>
              </w:rPr>
              <w:t>环</w:t>
            </w:r>
            <w:r>
              <w:rPr>
                <w:rStyle w:val="177"/>
                <w:rFonts w:hint="default" w:ascii="Times New Roman" w:hAnsi="Times New Roman" w:eastAsia="宋体" w:cs="Times New Roman"/>
                <w:color w:val="auto"/>
                <w:sz w:val="24"/>
                <w:szCs w:val="24"/>
                <w:highlight w:val="none"/>
              </w:rPr>
              <w:t>境风险潜势，按照表</w:t>
            </w:r>
            <w:r>
              <w:rPr>
                <w:rStyle w:val="177"/>
                <w:rFonts w:hint="default" w:ascii="Times New Roman" w:hAnsi="Times New Roman" w:cs="Times New Roman"/>
                <w:color w:val="auto"/>
                <w:sz w:val="24"/>
                <w:szCs w:val="24"/>
                <w:highlight w:val="none"/>
                <w:lang w:val="en-US" w:eastAsia="zh-CN"/>
              </w:rPr>
              <w:t>39</w:t>
            </w:r>
            <w:r>
              <w:rPr>
                <w:rStyle w:val="177"/>
                <w:rFonts w:hint="default" w:ascii="Times New Roman" w:hAnsi="Times New Roman" w:eastAsia="宋体" w:cs="Times New Roman"/>
                <w:color w:val="auto"/>
                <w:sz w:val="24"/>
                <w:szCs w:val="24"/>
                <w:highlight w:val="none"/>
              </w:rPr>
              <w:t>确定评价工作</w:t>
            </w:r>
            <w:r>
              <w:rPr>
                <w:rStyle w:val="177"/>
                <w:rFonts w:hint="default" w:ascii="Times New Roman" w:hAnsi="Times New Roman" w:eastAsia="宋体" w:cs="Times New Roman"/>
                <w:color w:val="auto"/>
                <w:sz w:val="24"/>
                <w:szCs w:val="24"/>
              </w:rPr>
              <w:t>等级。风险潜势为Ⅳ及以上，进行一级评价；风险潜势为Ⅲ，进行二级评价；风险潜势为Ⅱ，进行三级评价；风险潜势为Ⅰ，可开展简单分析。</w:t>
            </w:r>
          </w:p>
          <w:p w14:paraId="10BA25A3">
            <w:pPr>
              <w:pStyle w:val="22"/>
              <w:numPr>
                <w:ilvl w:val="0"/>
                <w:numId w:val="8"/>
              </w:numPr>
              <w:spacing w:before="120" w:beforeLines="50" w:after="0" w:line="240" w:lineRule="auto"/>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风险评价等级判定表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541"/>
              <w:gridCol w:w="1761"/>
              <w:gridCol w:w="1761"/>
              <w:gridCol w:w="1323"/>
              <w:gridCol w:w="1759"/>
            </w:tblGrid>
            <w:tr w14:paraId="3CAAD9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6" w:type="pct"/>
                  <w:tcBorders>
                    <w:tl2br w:val="nil"/>
                    <w:tr2bl w:val="nil"/>
                  </w:tcBorders>
                  <w:noWrap w:val="0"/>
                  <w:vAlign w:val="center"/>
                </w:tcPr>
                <w:p w14:paraId="1AEED005">
                  <w:pPr>
                    <w:pStyle w:val="202"/>
                    <w:rPr>
                      <w:color w:val="auto"/>
                    </w:rPr>
                  </w:pPr>
                  <w:r>
                    <w:rPr>
                      <w:color w:val="auto"/>
                    </w:rPr>
                    <w:t>环境风险潜势</w:t>
                  </w:r>
                </w:p>
              </w:tc>
              <w:tc>
                <w:tcPr>
                  <w:tcW w:w="1081" w:type="pct"/>
                  <w:tcBorders>
                    <w:tl2br w:val="nil"/>
                    <w:tr2bl w:val="nil"/>
                  </w:tcBorders>
                  <w:noWrap w:val="0"/>
                  <w:vAlign w:val="center"/>
                </w:tcPr>
                <w:p w14:paraId="7F4D3B01">
                  <w:pPr>
                    <w:pStyle w:val="202"/>
                    <w:rPr>
                      <w:rFonts w:hint="default" w:ascii="Times New Roman" w:hAnsi="Times New Roman" w:cs="Times New Roman"/>
                      <w:color w:val="auto"/>
                    </w:rPr>
                  </w:pPr>
                  <w:r>
                    <w:rPr>
                      <w:rFonts w:hint="default" w:ascii="Times New Roman" w:hAnsi="Times New Roman" w:cs="Times New Roman"/>
                      <w:color w:val="auto"/>
                    </w:rPr>
                    <w:t>IV、IV+</w:t>
                  </w:r>
                </w:p>
              </w:tc>
              <w:tc>
                <w:tcPr>
                  <w:tcW w:w="1081" w:type="pct"/>
                  <w:tcBorders>
                    <w:tl2br w:val="nil"/>
                    <w:tr2bl w:val="nil"/>
                  </w:tcBorders>
                  <w:noWrap w:val="0"/>
                  <w:vAlign w:val="center"/>
                </w:tcPr>
                <w:p w14:paraId="37781443">
                  <w:pPr>
                    <w:pStyle w:val="202"/>
                    <w:rPr>
                      <w:rFonts w:hint="default" w:ascii="Times New Roman" w:hAnsi="Times New Roman" w:cs="Times New Roman"/>
                      <w:color w:val="auto"/>
                    </w:rPr>
                  </w:pPr>
                  <w:r>
                    <w:rPr>
                      <w:rFonts w:hint="default" w:ascii="Times New Roman" w:hAnsi="Times New Roman" w:cs="Times New Roman"/>
                      <w:color w:val="auto"/>
                    </w:rPr>
                    <w:t>III</w:t>
                  </w:r>
                </w:p>
              </w:tc>
              <w:tc>
                <w:tcPr>
                  <w:tcW w:w="812" w:type="pct"/>
                  <w:tcBorders>
                    <w:tl2br w:val="nil"/>
                    <w:tr2bl w:val="nil"/>
                  </w:tcBorders>
                  <w:noWrap w:val="0"/>
                  <w:vAlign w:val="center"/>
                </w:tcPr>
                <w:p w14:paraId="0DCBE443">
                  <w:pPr>
                    <w:pStyle w:val="202"/>
                    <w:rPr>
                      <w:rFonts w:hint="default" w:ascii="Times New Roman" w:hAnsi="Times New Roman" w:cs="Times New Roman"/>
                      <w:color w:val="auto"/>
                    </w:rPr>
                  </w:pPr>
                  <w:r>
                    <w:rPr>
                      <w:rFonts w:hint="default" w:ascii="Times New Roman" w:hAnsi="Times New Roman" w:cs="Times New Roman"/>
                      <w:color w:val="auto"/>
                    </w:rPr>
                    <w:t>II</w:t>
                  </w:r>
                </w:p>
              </w:tc>
              <w:tc>
                <w:tcPr>
                  <w:tcW w:w="1080" w:type="pct"/>
                  <w:tcBorders>
                    <w:tl2br w:val="nil"/>
                    <w:tr2bl w:val="nil"/>
                  </w:tcBorders>
                  <w:noWrap w:val="0"/>
                  <w:vAlign w:val="center"/>
                </w:tcPr>
                <w:p w14:paraId="30B4BDF0">
                  <w:pPr>
                    <w:pStyle w:val="202"/>
                    <w:rPr>
                      <w:rFonts w:hint="default" w:ascii="Times New Roman" w:hAnsi="Times New Roman" w:cs="Times New Roman"/>
                      <w:color w:val="auto"/>
                    </w:rPr>
                  </w:pPr>
                  <w:r>
                    <w:rPr>
                      <w:rFonts w:hint="default" w:ascii="Times New Roman" w:hAnsi="Times New Roman" w:cs="Times New Roman"/>
                      <w:color w:val="auto"/>
                    </w:rPr>
                    <w:t>I</w:t>
                  </w:r>
                </w:p>
              </w:tc>
            </w:tr>
            <w:tr w14:paraId="340C78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6" w:type="pct"/>
                  <w:tcBorders>
                    <w:tl2br w:val="nil"/>
                    <w:tr2bl w:val="nil"/>
                  </w:tcBorders>
                  <w:shd w:val="clear" w:color="auto" w:fill="auto"/>
                  <w:noWrap w:val="0"/>
                  <w:vAlign w:val="center"/>
                </w:tcPr>
                <w:p w14:paraId="4B1ABE80">
                  <w:pPr>
                    <w:pStyle w:val="202"/>
                    <w:rPr>
                      <w:color w:val="auto"/>
                    </w:rPr>
                  </w:pPr>
                  <w:r>
                    <w:rPr>
                      <w:color w:val="auto"/>
                    </w:rPr>
                    <w:t>评价工作等级</w:t>
                  </w:r>
                </w:p>
              </w:tc>
              <w:tc>
                <w:tcPr>
                  <w:tcW w:w="1081" w:type="pct"/>
                  <w:tcBorders>
                    <w:tl2br w:val="nil"/>
                    <w:tr2bl w:val="nil"/>
                  </w:tcBorders>
                  <w:shd w:val="clear" w:color="auto" w:fill="auto"/>
                  <w:noWrap w:val="0"/>
                  <w:vAlign w:val="center"/>
                </w:tcPr>
                <w:p w14:paraId="05E1C8D0">
                  <w:pPr>
                    <w:pStyle w:val="202"/>
                    <w:rPr>
                      <w:color w:val="auto"/>
                    </w:rPr>
                  </w:pPr>
                  <w:r>
                    <w:rPr>
                      <w:color w:val="auto"/>
                    </w:rPr>
                    <w:t>一</w:t>
                  </w:r>
                </w:p>
              </w:tc>
              <w:tc>
                <w:tcPr>
                  <w:tcW w:w="1081" w:type="pct"/>
                  <w:tcBorders>
                    <w:tl2br w:val="nil"/>
                    <w:tr2bl w:val="nil"/>
                  </w:tcBorders>
                  <w:shd w:val="clear" w:color="auto" w:fill="auto"/>
                  <w:noWrap w:val="0"/>
                  <w:vAlign w:val="center"/>
                </w:tcPr>
                <w:p w14:paraId="60C92512">
                  <w:pPr>
                    <w:pStyle w:val="202"/>
                    <w:rPr>
                      <w:color w:val="auto"/>
                    </w:rPr>
                  </w:pPr>
                  <w:r>
                    <w:rPr>
                      <w:color w:val="auto"/>
                    </w:rPr>
                    <w:t>二</w:t>
                  </w:r>
                </w:p>
              </w:tc>
              <w:tc>
                <w:tcPr>
                  <w:tcW w:w="812" w:type="pct"/>
                  <w:tcBorders>
                    <w:tl2br w:val="nil"/>
                    <w:tr2bl w:val="nil"/>
                  </w:tcBorders>
                  <w:shd w:val="clear" w:color="auto" w:fill="FFFFFF"/>
                  <w:noWrap w:val="0"/>
                  <w:vAlign w:val="center"/>
                </w:tcPr>
                <w:p w14:paraId="0660FA52">
                  <w:pPr>
                    <w:pStyle w:val="202"/>
                    <w:rPr>
                      <w:color w:val="auto"/>
                    </w:rPr>
                  </w:pPr>
                  <w:r>
                    <w:rPr>
                      <w:color w:val="auto"/>
                    </w:rPr>
                    <w:t>三</w:t>
                  </w:r>
                </w:p>
              </w:tc>
              <w:tc>
                <w:tcPr>
                  <w:tcW w:w="1080" w:type="pct"/>
                  <w:tcBorders>
                    <w:tl2br w:val="nil"/>
                    <w:tr2bl w:val="nil"/>
                  </w:tcBorders>
                  <w:shd w:val="clear" w:color="auto" w:fill="D9D9D9"/>
                  <w:noWrap w:val="0"/>
                  <w:vAlign w:val="center"/>
                </w:tcPr>
                <w:p w14:paraId="01A60C6E">
                  <w:pPr>
                    <w:pStyle w:val="202"/>
                    <w:rPr>
                      <w:color w:val="auto"/>
                    </w:rPr>
                  </w:pPr>
                  <w:r>
                    <w:rPr>
                      <w:color w:val="auto"/>
                    </w:rPr>
                    <w:t>简单分析</w:t>
                  </w:r>
                </w:p>
              </w:tc>
            </w:tr>
          </w:tbl>
          <w:p w14:paraId="46BF2545">
            <w:pPr>
              <w:adjustRightInd w:val="0"/>
              <w:snapToGrid w:val="0"/>
              <w:spacing w:line="360" w:lineRule="auto"/>
              <w:ind w:firstLine="480"/>
              <w:jc w:val="left"/>
              <w:rPr>
                <w:rStyle w:val="177"/>
                <w:rFonts w:ascii="Times New Roman" w:hAnsi="Times New Roman" w:eastAsia="宋体" w:cs="Times New Roman"/>
                <w:color w:val="auto"/>
                <w:sz w:val="24"/>
                <w:szCs w:val="24"/>
              </w:rPr>
            </w:pPr>
            <w:r>
              <w:rPr>
                <w:rStyle w:val="177"/>
                <w:rFonts w:ascii="Times New Roman" w:hAnsi="Times New Roman" w:eastAsia="宋体" w:cs="Times New Roman"/>
                <w:color w:val="auto"/>
                <w:sz w:val="24"/>
                <w:szCs w:val="24"/>
              </w:rPr>
              <w:t>由此可知，项目环境风险评价只需参照《建设项目环境风险评价技术导则》（HJ169-2018，以下简称“导则”）附录A进行简单分析。</w:t>
            </w:r>
          </w:p>
          <w:p w14:paraId="2EC3F8F8">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ascii="Times New Roman" w:hAnsi="Times New Roman" w:eastAsia="宋体" w:cs="Times New Roman"/>
                <w:color w:val="auto"/>
                <w:kern w:val="0"/>
                <w:sz w:val="24"/>
                <w:szCs w:val="21"/>
                <w:lang w:val="en-US" w:eastAsia="zh-CN" w:bidi="ar-SA"/>
              </w:rPr>
            </w:pPr>
            <w:r>
              <w:rPr>
                <w:rFonts w:ascii="Times New Roman" w:hAnsi="Times New Roman" w:eastAsia="宋体" w:cs="Times New Roman"/>
                <w:color w:val="auto"/>
                <w:kern w:val="0"/>
                <w:sz w:val="24"/>
                <w:szCs w:val="21"/>
                <w:lang w:val="en-US" w:eastAsia="zh-CN" w:bidi="ar-SA"/>
              </w:rPr>
              <w:t>（</w:t>
            </w:r>
            <w:r>
              <w:rPr>
                <w:rFonts w:hint="eastAsia" w:ascii="Times New Roman" w:hAnsi="Times New Roman" w:eastAsia="宋体" w:cs="Times New Roman"/>
                <w:color w:val="auto"/>
                <w:kern w:val="0"/>
                <w:sz w:val="24"/>
                <w:szCs w:val="21"/>
                <w:lang w:val="en-US" w:eastAsia="zh-CN" w:bidi="ar-SA"/>
              </w:rPr>
              <w:t>3</w:t>
            </w:r>
            <w:r>
              <w:rPr>
                <w:rFonts w:ascii="Times New Roman" w:hAnsi="Times New Roman" w:eastAsia="宋体" w:cs="Times New Roman"/>
                <w:color w:val="auto"/>
                <w:kern w:val="0"/>
                <w:sz w:val="24"/>
                <w:szCs w:val="21"/>
                <w:lang w:val="en-US" w:eastAsia="zh-CN" w:bidi="ar-SA"/>
              </w:rPr>
              <w:t>）风险源分布</w:t>
            </w:r>
          </w:p>
          <w:p w14:paraId="0FC082EB">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rFonts w:ascii="Times New Roman" w:hAnsi="Times New Roman" w:eastAsia="宋体" w:cs="Times New Roman"/>
                <w:color w:val="auto"/>
                <w:kern w:val="0"/>
                <w:sz w:val="24"/>
                <w:szCs w:val="21"/>
                <w:lang w:val="en-US" w:eastAsia="zh-CN" w:bidi="ar-SA"/>
              </w:rPr>
            </w:pPr>
            <w:r>
              <w:rPr>
                <w:rFonts w:ascii="Times New Roman" w:hAnsi="Times New Roman" w:eastAsia="宋体" w:cs="Times New Roman"/>
                <w:color w:val="auto"/>
                <w:kern w:val="0"/>
                <w:sz w:val="24"/>
                <w:szCs w:val="21"/>
                <w:lang w:val="en-US" w:eastAsia="zh-CN" w:bidi="ar-SA"/>
              </w:rPr>
              <w:t>经分析，本项目风险源分布主要为</w:t>
            </w:r>
            <w:r>
              <w:rPr>
                <w:rFonts w:hint="eastAsia" w:cs="Times New Roman"/>
                <w:color w:val="auto"/>
                <w:kern w:val="0"/>
                <w:sz w:val="24"/>
                <w:szCs w:val="21"/>
                <w:lang w:val="en-US" w:eastAsia="zh-CN" w:bidi="ar-SA"/>
              </w:rPr>
              <w:t>天然气储罐区</w:t>
            </w:r>
            <w:r>
              <w:rPr>
                <w:rFonts w:ascii="Times New Roman" w:hAnsi="Times New Roman" w:eastAsia="宋体" w:cs="Times New Roman"/>
                <w:color w:val="auto"/>
                <w:kern w:val="0"/>
                <w:sz w:val="24"/>
                <w:szCs w:val="21"/>
                <w:lang w:val="en-US" w:eastAsia="zh-CN" w:bidi="ar-SA"/>
              </w:rPr>
              <w:t>。</w:t>
            </w:r>
          </w:p>
          <w:p w14:paraId="4BE73D17">
            <w:pPr>
              <w:autoSpaceDE w:val="0"/>
              <w:autoSpaceDN w:val="0"/>
              <w:adjustRightInd w:val="0"/>
              <w:snapToGrid w:val="0"/>
              <w:spacing w:line="360" w:lineRule="auto"/>
              <w:ind w:firstLine="480" w:firstLineChars="200"/>
              <w:textAlignment w:val="baseline"/>
              <w:rPr>
                <w:rFonts w:hint="eastAsia" w:ascii="Times New Roman" w:hAnsi="Times New Roman" w:eastAsia="宋体" w:cs="Times New Roman"/>
                <w:color w:val="auto"/>
                <w:kern w:val="0"/>
                <w:sz w:val="24"/>
              </w:rPr>
            </w:pP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val="en-US" w:eastAsia="zh-CN"/>
              </w:rPr>
              <w:t>4</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风险防范措施</w:t>
            </w:r>
          </w:p>
          <w:p w14:paraId="38F97FB9">
            <w:pPr>
              <w:pStyle w:val="157"/>
              <w:keepNext w:val="0"/>
              <w:keepLines w:val="0"/>
              <w:pageBreakBefore w:val="0"/>
              <w:widowControl w:val="0"/>
              <w:kinsoku/>
              <w:wordWrap/>
              <w:overflowPunct/>
              <w:topLinePunct w:val="0"/>
              <w:autoSpaceDE/>
              <w:autoSpaceDN/>
              <w:bidi w:val="0"/>
              <w:adjustRightInd/>
              <w:snapToGrid/>
              <w:spacing w:after="0"/>
              <w:ind w:left="0" w:leftChars="0" w:firstLine="480"/>
              <w:textAlignment w:val="auto"/>
              <w:rPr>
                <w:color w:val="auto"/>
                <w:szCs w:val="24"/>
              </w:rPr>
            </w:pPr>
            <w:r>
              <w:rPr>
                <w:color w:val="auto"/>
                <w:szCs w:val="24"/>
              </w:rPr>
              <w:t>为使环境风险减小到最低限度，必须加强安全管理，制定完善、有效的风险防范措施，尽可能降低该项目环境风险事故发生的概率。</w:t>
            </w:r>
          </w:p>
          <w:p w14:paraId="10EE8B7D">
            <w:pPr>
              <w:pStyle w:val="243"/>
              <w:rPr>
                <w:rFonts w:hint="eastAsia"/>
                <w:color w:val="auto"/>
              </w:rPr>
            </w:pPr>
            <w:r>
              <w:rPr>
                <w:rFonts w:hint="eastAsia"/>
                <w:color w:val="auto"/>
              </w:rPr>
              <w:t>A.制定严格生产操作规程，加强作业工人安全教育；</w:t>
            </w:r>
          </w:p>
          <w:p w14:paraId="70E269CE">
            <w:pPr>
              <w:pStyle w:val="243"/>
              <w:rPr>
                <w:rFonts w:hint="eastAsia"/>
                <w:color w:val="auto"/>
              </w:rPr>
            </w:pPr>
            <w:r>
              <w:rPr>
                <w:rFonts w:hint="eastAsia"/>
                <w:color w:val="auto"/>
              </w:rPr>
              <w:t>B.配备消防栓和消防灭火器材等灭火装置，预留安全疏散通道，对电路定期检查，严格控制用电负荷，并严格监督执行，以杜绝火灾隐患；</w:t>
            </w:r>
          </w:p>
          <w:p w14:paraId="505CD779">
            <w:pPr>
              <w:adjustRightInd w:val="0"/>
              <w:snapToGrid w:val="0"/>
              <w:spacing w:line="360" w:lineRule="auto"/>
              <w:ind w:firstLine="480" w:firstLineChars="200"/>
              <w:jc w:val="left"/>
              <w:rPr>
                <w:color w:val="auto"/>
                <w:kern w:val="0"/>
              </w:rPr>
            </w:pPr>
            <w:r>
              <w:rPr>
                <w:rStyle w:val="177"/>
                <w:rFonts w:hint="eastAsia" w:ascii="Times New Roman" w:hAnsi="Times New Roman" w:eastAsia="宋体" w:cs="Times New Roman"/>
                <w:color w:val="auto"/>
                <w:sz w:val="24"/>
                <w:szCs w:val="24"/>
              </w:rPr>
              <w:t>本项目风险评价等级为简单分析，但建设单位依然要采取相关安全生产保障和环境风险事故防范措施，将建设项目风险降至最低程度，可使项目建设、</w:t>
            </w:r>
            <w:r>
              <w:rPr>
                <w:rStyle w:val="177"/>
                <w:rFonts w:hint="eastAsia" w:ascii="Times New Roman" w:hAnsi="Times New Roman" w:eastAsia="宋体" w:cs="Times New Roman"/>
                <w:color w:val="auto"/>
                <w:sz w:val="24"/>
                <w:szCs w:val="24"/>
                <w:lang w:eastAsia="zh-CN"/>
              </w:rPr>
              <w:t>运营</w:t>
            </w:r>
            <w:r>
              <w:rPr>
                <w:rStyle w:val="177"/>
                <w:rFonts w:hint="eastAsia" w:ascii="Times New Roman" w:hAnsi="Times New Roman" w:eastAsia="宋体" w:cs="Times New Roman"/>
                <w:color w:val="auto"/>
                <w:sz w:val="24"/>
                <w:szCs w:val="24"/>
              </w:rPr>
              <w:t>中的环境风险控制在可接受的范围内。因此，该项目建设从环境风险的角度认为是可控的</w:t>
            </w:r>
            <w:r>
              <w:rPr>
                <w:color w:val="auto"/>
                <w:kern w:val="0"/>
              </w:rPr>
              <w:t>。</w:t>
            </w:r>
          </w:p>
          <w:p w14:paraId="4EFE8DB3">
            <w:pPr>
              <w:pStyle w:val="22"/>
              <w:numPr>
                <w:ilvl w:val="0"/>
                <w:numId w:val="8"/>
              </w:numPr>
              <w:spacing w:before="120" w:beforeLines="50" w:after="0" w:line="240" w:lineRule="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项目环境风险简单分析表</w:t>
            </w:r>
          </w:p>
          <w:tbl>
            <w:tblPr>
              <w:tblStyle w:val="29"/>
              <w:tblW w:w="8145" w:type="dxa"/>
              <w:tblInd w:w="103"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590"/>
              <w:gridCol w:w="6555"/>
            </w:tblGrid>
            <w:tr w14:paraId="11AC1E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90" w:type="dxa"/>
                  <w:shd w:val="clear" w:color="auto" w:fill="FFFFFF"/>
                  <w:noWrap w:val="0"/>
                  <w:vAlign w:val="center"/>
                </w:tcPr>
                <w:p w14:paraId="7D000275">
                  <w:pPr>
                    <w:widowControl/>
                    <w:jc w:val="center"/>
                    <w:textAlignment w:val="center"/>
                    <w:rPr>
                      <w:color w:val="auto"/>
                      <w:szCs w:val="21"/>
                    </w:rPr>
                  </w:pPr>
                  <w:r>
                    <w:rPr>
                      <w:color w:val="auto"/>
                      <w:kern w:val="0"/>
                      <w:szCs w:val="21"/>
                      <w:lang w:bidi="ar"/>
                    </w:rPr>
                    <w:t>建设项目名称</w:t>
                  </w:r>
                </w:p>
              </w:tc>
              <w:tc>
                <w:tcPr>
                  <w:tcW w:w="6555" w:type="dxa"/>
                  <w:shd w:val="clear" w:color="auto" w:fill="FFFFFF"/>
                  <w:noWrap w:val="0"/>
                  <w:vAlign w:val="center"/>
                </w:tcPr>
                <w:p w14:paraId="0ADFBD81">
                  <w:pPr>
                    <w:widowControl/>
                    <w:jc w:val="center"/>
                    <w:textAlignment w:val="center"/>
                    <w:rPr>
                      <w:color w:val="auto"/>
                      <w:szCs w:val="21"/>
                    </w:rPr>
                  </w:pPr>
                  <w:r>
                    <w:rPr>
                      <w:color w:val="auto"/>
                      <w:szCs w:val="21"/>
                    </w:rPr>
                    <w:fldChar w:fldCharType="begin"/>
                  </w:r>
                  <w:r>
                    <w:rPr>
                      <w:color w:val="auto"/>
                      <w:szCs w:val="21"/>
                    </w:rPr>
                    <w:instrText xml:space="preserve"> REF 项目名称 \h  \* MERGEFORMAT </w:instrText>
                  </w:r>
                  <w:r>
                    <w:rPr>
                      <w:color w:val="auto"/>
                      <w:szCs w:val="21"/>
                    </w:rPr>
                    <w:fldChar w:fldCharType="separate"/>
                  </w:r>
                  <w:r>
                    <w:rPr>
                      <w:rFonts w:hint="eastAsia"/>
                      <w:color w:val="auto"/>
                      <w:szCs w:val="21"/>
                      <w:lang w:eastAsia="zh-CN"/>
                    </w:rPr>
                    <w:t>生物质气化炉炭渣资源化综合利用项目</w:t>
                  </w:r>
                  <w:r>
                    <w:rPr>
                      <w:color w:val="auto"/>
                      <w:szCs w:val="21"/>
                    </w:rPr>
                    <w:fldChar w:fldCharType="end"/>
                  </w:r>
                </w:p>
              </w:tc>
            </w:tr>
            <w:tr w14:paraId="06B144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90" w:type="dxa"/>
                  <w:shd w:val="clear" w:color="auto" w:fill="FFFFFF"/>
                  <w:noWrap w:val="0"/>
                  <w:vAlign w:val="center"/>
                </w:tcPr>
                <w:p w14:paraId="4DC7005C">
                  <w:pPr>
                    <w:widowControl/>
                    <w:jc w:val="center"/>
                    <w:textAlignment w:val="center"/>
                    <w:rPr>
                      <w:color w:val="auto"/>
                      <w:szCs w:val="21"/>
                    </w:rPr>
                  </w:pPr>
                  <w:r>
                    <w:rPr>
                      <w:color w:val="auto"/>
                      <w:kern w:val="0"/>
                      <w:szCs w:val="21"/>
                      <w:lang w:bidi="ar"/>
                    </w:rPr>
                    <w:t>建设地点</w:t>
                  </w:r>
                </w:p>
              </w:tc>
              <w:tc>
                <w:tcPr>
                  <w:tcW w:w="6555" w:type="dxa"/>
                  <w:shd w:val="clear" w:color="auto" w:fill="FFFFFF"/>
                  <w:noWrap w:val="0"/>
                  <w:vAlign w:val="center"/>
                </w:tcPr>
                <w:p w14:paraId="296A4725">
                  <w:pPr>
                    <w:widowControl/>
                    <w:jc w:val="center"/>
                    <w:textAlignment w:val="center"/>
                    <w:rPr>
                      <w:rFonts w:hint="eastAsia"/>
                      <w:color w:val="auto"/>
                      <w:szCs w:val="21"/>
                    </w:rPr>
                  </w:pPr>
                  <w:r>
                    <w:rPr>
                      <w:rFonts w:hint="eastAsia"/>
                      <w:color w:val="auto"/>
                      <w:szCs w:val="21"/>
                    </w:rPr>
                    <w:t>福建省福鼎市前岐镇照澜村罗六36号</w:t>
                  </w:r>
                </w:p>
              </w:tc>
            </w:tr>
            <w:tr w14:paraId="66B8A1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90" w:type="dxa"/>
                  <w:shd w:val="clear" w:color="auto" w:fill="FFFFFF"/>
                  <w:noWrap w:val="0"/>
                  <w:vAlign w:val="center"/>
                </w:tcPr>
                <w:p w14:paraId="087DB98D">
                  <w:pPr>
                    <w:widowControl/>
                    <w:jc w:val="center"/>
                    <w:textAlignment w:val="center"/>
                    <w:rPr>
                      <w:color w:val="auto"/>
                      <w:szCs w:val="21"/>
                    </w:rPr>
                  </w:pPr>
                  <w:r>
                    <w:rPr>
                      <w:color w:val="auto"/>
                      <w:kern w:val="0"/>
                      <w:szCs w:val="21"/>
                      <w:lang w:bidi="ar"/>
                    </w:rPr>
                    <w:t>地理坐标</w:t>
                  </w:r>
                </w:p>
              </w:tc>
              <w:tc>
                <w:tcPr>
                  <w:tcW w:w="6555" w:type="dxa"/>
                  <w:shd w:val="clear" w:color="auto" w:fill="FFFFFF"/>
                  <w:noWrap w:val="0"/>
                  <w:vAlign w:val="center"/>
                </w:tcPr>
                <w:p w14:paraId="49833F7B">
                  <w:pPr>
                    <w:widowControl/>
                    <w:jc w:val="center"/>
                    <w:textAlignment w:val="center"/>
                    <w:rPr>
                      <w:color w:val="auto"/>
                      <w:szCs w:val="21"/>
                    </w:rPr>
                  </w:pPr>
                  <w:r>
                    <w:rPr>
                      <w:rFonts w:hint="eastAsia"/>
                      <w:color w:val="auto"/>
                      <w:szCs w:val="21"/>
                      <w:lang w:val="en-US" w:eastAsia="zh-CN"/>
                    </w:rPr>
                    <w:t>东经：</w:t>
                  </w:r>
                  <w:r>
                    <w:rPr>
                      <w:rFonts w:hint="eastAsia"/>
                      <w:color w:val="auto"/>
                      <w:szCs w:val="21"/>
                    </w:rPr>
                    <w:t>120度19分48.537秒，</w:t>
                  </w:r>
                  <w:r>
                    <w:rPr>
                      <w:rFonts w:hint="eastAsia"/>
                      <w:color w:val="auto"/>
                      <w:szCs w:val="21"/>
                      <w:lang w:val="en-US" w:eastAsia="zh-CN"/>
                    </w:rPr>
                    <w:t>北纬：</w:t>
                  </w:r>
                  <w:r>
                    <w:rPr>
                      <w:rFonts w:hint="eastAsia"/>
                      <w:color w:val="auto"/>
                      <w:szCs w:val="21"/>
                    </w:rPr>
                    <w:t>27度17分47.257秒</w:t>
                  </w:r>
                </w:p>
              </w:tc>
            </w:tr>
            <w:tr w14:paraId="3B95FE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90" w:type="dxa"/>
                  <w:shd w:val="clear" w:color="auto" w:fill="FFFFFF"/>
                  <w:noWrap w:val="0"/>
                  <w:vAlign w:val="center"/>
                </w:tcPr>
                <w:p w14:paraId="3E480719">
                  <w:pPr>
                    <w:widowControl/>
                    <w:jc w:val="center"/>
                    <w:textAlignment w:val="center"/>
                    <w:rPr>
                      <w:color w:val="auto"/>
                      <w:kern w:val="0"/>
                      <w:szCs w:val="21"/>
                      <w:lang w:bidi="ar"/>
                    </w:rPr>
                  </w:pPr>
                  <w:r>
                    <w:rPr>
                      <w:color w:val="auto"/>
                      <w:kern w:val="0"/>
                      <w:szCs w:val="21"/>
                      <w:lang w:bidi="ar"/>
                    </w:rPr>
                    <w:t>主要危险</w:t>
                  </w:r>
                </w:p>
                <w:p w14:paraId="14AA7B8B">
                  <w:pPr>
                    <w:widowControl/>
                    <w:jc w:val="center"/>
                    <w:textAlignment w:val="center"/>
                    <w:rPr>
                      <w:color w:val="auto"/>
                      <w:szCs w:val="21"/>
                    </w:rPr>
                  </w:pPr>
                  <w:r>
                    <w:rPr>
                      <w:color w:val="auto"/>
                      <w:kern w:val="0"/>
                      <w:szCs w:val="21"/>
                      <w:lang w:bidi="ar"/>
                    </w:rPr>
                    <w:t>物质及分布</w:t>
                  </w:r>
                </w:p>
              </w:tc>
              <w:tc>
                <w:tcPr>
                  <w:tcW w:w="6555" w:type="dxa"/>
                  <w:shd w:val="clear" w:color="auto" w:fill="FFFFFF"/>
                  <w:noWrap w:val="0"/>
                  <w:vAlign w:val="center"/>
                </w:tcPr>
                <w:p w14:paraId="409EF0D4">
                  <w:pPr>
                    <w:widowControl/>
                    <w:textAlignment w:val="center"/>
                    <w:rPr>
                      <w:color w:val="auto"/>
                      <w:szCs w:val="21"/>
                    </w:rPr>
                  </w:pPr>
                  <w:r>
                    <w:rPr>
                      <w:rFonts w:hint="eastAsia"/>
                      <w:color w:val="auto"/>
                      <w:kern w:val="0"/>
                      <w:szCs w:val="21"/>
                      <w:lang w:val="en-US" w:eastAsia="zh-CN" w:bidi="ar"/>
                    </w:rPr>
                    <w:t>天然气泄漏导致的</w:t>
                  </w:r>
                  <w:r>
                    <w:rPr>
                      <w:color w:val="auto"/>
                      <w:kern w:val="0"/>
                      <w:szCs w:val="21"/>
                      <w:lang w:bidi="ar"/>
                    </w:rPr>
                    <w:t>火灾次生污染。</w:t>
                  </w:r>
                </w:p>
              </w:tc>
            </w:tr>
            <w:tr w14:paraId="392B991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90" w:type="dxa"/>
                  <w:shd w:val="clear" w:color="auto" w:fill="FFFFFF"/>
                  <w:noWrap w:val="0"/>
                  <w:vAlign w:val="center"/>
                </w:tcPr>
                <w:p w14:paraId="3532CC99">
                  <w:pPr>
                    <w:widowControl/>
                    <w:jc w:val="center"/>
                    <w:textAlignment w:val="center"/>
                    <w:rPr>
                      <w:color w:val="auto"/>
                      <w:szCs w:val="21"/>
                    </w:rPr>
                  </w:pPr>
                  <w:r>
                    <w:rPr>
                      <w:color w:val="auto"/>
                      <w:kern w:val="0"/>
                      <w:szCs w:val="21"/>
                      <w:lang w:bidi="ar"/>
                    </w:rPr>
                    <w:t>环境影响途径及危害结果</w:t>
                  </w:r>
                </w:p>
              </w:tc>
              <w:tc>
                <w:tcPr>
                  <w:tcW w:w="6555" w:type="dxa"/>
                  <w:shd w:val="clear" w:color="auto" w:fill="FFFFFF"/>
                  <w:noWrap w:val="0"/>
                  <w:vAlign w:val="center"/>
                </w:tcPr>
                <w:p w14:paraId="32B7AABA">
                  <w:pPr>
                    <w:widowControl/>
                    <w:textAlignment w:val="center"/>
                    <w:rPr>
                      <w:color w:val="auto"/>
                      <w:szCs w:val="21"/>
                    </w:rPr>
                  </w:pPr>
                  <w:r>
                    <w:rPr>
                      <w:rFonts w:hint="eastAsia"/>
                      <w:color w:val="auto"/>
                      <w:szCs w:val="24"/>
                      <w:lang w:val="en-US" w:eastAsia="zh-CN"/>
                    </w:rPr>
                    <w:t>天然气</w:t>
                  </w:r>
                  <w:r>
                    <w:rPr>
                      <w:color w:val="auto"/>
                      <w:szCs w:val="24"/>
                    </w:rPr>
                    <w:t>因管理不善</w:t>
                  </w:r>
                  <w:r>
                    <w:rPr>
                      <w:rFonts w:hint="eastAsia"/>
                      <w:color w:val="auto"/>
                      <w:szCs w:val="24"/>
                      <w:lang w:val="en-US" w:eastAsia="zh-CN"/>
                    </w:rPr>
                    <w:t>或燃气管道泄漏</w:t>
                  </w:r>
                  <w:r>
                    <w:rPr>
                      <w:color w:val="auto"/>
                      <w:szCs w:val="24"/>
                    </w:rPr>
                    <w:t>可能发生火灾，</w:t>
                  </w:r>
                  <w:r>
                    <w:rPr>
                      <w:color w:val="auto"/>
                      <w:kern w:val="0"/>
                      <w:szCs w:val="21"/>
                      <w:lang w:bidi="ar"/>
                    </w:rPr>
                    <w:t>火灾次生污染物污染大气和地表水体。</w:t>
                  </w:r>
                </w:p>
              </w:tc>
            </w:tr>
            <w:tr w14:paraId="52C333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70" w:hRule="atLeast"/>
              </w:trPr>
              <w:tc>
                <w:tcPr>
                  <w:tcW w:w="1590" w:type="dxa"/>
                  <w:shd w:val="clear" w:color="auto" w:fill="FFFFFF"/>
                  <w:noWrap w:val="0"/>
                  <w:vAlign w:val="center"/>
                </w:tcPr>
                <w:p w14:paraId="066A87F9">
                  <w:pPr>
                    <w:widowControl/>
                    <w:jc w:val="center"/>
                    <w:textAlignment w:val="center"/>
                    <w:rPr>
                      <w:color w:val="auto"/>
                      <w:kern w:val="0"/>
                      <w:szCs w:val="21"/>
                      <w:lang w:bidi="ar"/>
                    </w:rPr>
                  </w:pPr>
                  <w:r>
                    <w:rPr>
                      <w:color w:val="auto"/>
                      <w:kern w:val="0"/>
                      <w:szCs w:val="21"/>
                      <w:lang w:bidi="ar"/>
                    </w:rPr>
                    <w:t>风险防范</w:t>
                  </w:r>
                </w:p>
                <w:p w14:paraId="6812212C">
                  <w:pPr>
                    <w:widowControl/>
                    <w:jc w:val="center"/>
                    <w:textAlignment w:val="center"/>
                    <w:rPr>
                      <w:color w:val="auto"/>
                      <w:szCs w:val="21"/>
                    </w:rPr>
                  </w:pPr>
                  <w:r>
                    <w:rPr>
                      <w:color w:val="auto"/>
                      <w:kern w:val="0"/>
                      <w:szCs w:val="21"/>
                      <w:lang w:bidi="ar"/>
                    </w:rPr>
                    <w:t>措施要求</w:t>
                  </w:r>
                </w:p>
              </w:tc>
              <w:tc>
                <w:tcPr>
                  <w:tcW w:w="6555" w:type="dxa"/>
                  <w:shd w:val="clear" w:color="auto" w:fill="FFFFFF"/>
                  <w:noWrap w:val="0"/>
                  <w:vAlign w:val="center"/>
                </w:tcPr>
                <w:p w14:paraId="3FD91A6F">
                  <w:pPr>
                    <w:widowControl/>
                    <w:textAlignment w:val="center"/>
                    <w:rPr>
                      <w:color w:val="auto"/>
                      <w:szCs w:val="21"/>
                    </w:rPr>
                  </w:pPr>
                  <w:r>
                    <w:rPr>
                      <w:color w:val="auto"/>
                      <w:kern w:val="0"/>
                      <w:szCs w:val="21"/>
                      <w:lang w:bidi="ar"/>
                    </w:rPr>
                    <w:t>（</w:t>
                  </w:r>
                  <w:r>
                    <w:rPr>
                      <w:rFonts w:hint="eastAsia"/>
                      <w:color w:val="auto"/>
                      <w:kern w:val="0"/>
                      <w:szCs w:val="21"/>
                      <w:lang w:val="en-US" w:eastAsia="zh-CN" w:bidi="ar"/>
                    </w:rPr>
                    <w:t>1</w:t>
                  </w:r>
                  <w:r>
                    <w:rPr>
                      <w:color w:val="auto"/>
                      <w:kern w:val="0"/>
                      <w:szCs w:val="21"/>
                      <w:lang w:bidi="ar"/>
                    </w:rPr>
                    <w:t>）火灾次生风险防范措施</w:t>
                  </w:r>
                </w:p>
                <w:p w14:paraId="68529E0E">
                  <w:pPr>
                    <w:widowControl/>
                    <w:textAlignment w:val="center"/>
                    <w:rPr>
                      <w:color w:val="auto"/>
                      <w:szCs w:val="21"/>
                    </w:rPr>
                  </w:pPr>
                  <w:r>
                    <w:rPr>
                      <w:color w:val="auto"/>
                      <w:kern w:val="0"/>
                      <w:szCs w:val="21"/>
                      <w:lang w:bidi="ar"/>
                    </w:rPr>
                    <w:t>厂区</w:t>
                  </w:r>
                  <w:r>
                    <w:rPr>
                      <w:rFonts w:hint="eastAsia"/>
                      <w:color w:val="auto"/>
                      <w:kern w:val="0"/>
                      <w:szCs w:val="21"/>
                      <w:lang w:eastAsia="zh-CN" w:bidi="ar"/>
                    </w:rPr>
                    <w:t>、</w:t>
                  </w:r>
                  <w:r>
                    <w:rPr>
                      <w:rFonts w:hint="eastAsia"/>
                      <w:color w:val="auto"/>
                      <w:kern w:val="0"/>
                      <w:szCs w:val="21"/>
                      <w:lang w:val="en-US" w:eastAsia="zh-CN" w:bidi="ar"/>
                    </w:rPr>
                    <w:t>天然气罐区</w:t>
                  </w:r>
                  <w:r>
                    <w:rPr>
                      <w:color w:val="auto"/>
                      <w:kern w:val="0"/>
                      <w:szCs w:val="21"/>
                      <w:lang w:bidi="ar"/>
                    </w:rPr>
                    <w:t>设置明显禁火标志牌，严禁烟火，严格执行《建筑设计防火规范》（GB50016-2014）、《仓库防火安全管理规则》相关要求；生产所用的电气设备、开关须采用安全防爆型，定期检查电气设备，防止短路、漏电等情况产生。同时，应在项目区内配备消防栓、消防器材等。加强管理，防止发生火灾。</w:t>
                  </w:r>
                </w:p>
              </w:tc>
            </w:tr>
          </w:tbl>
          <w:p w14:paraId="03327FAD">
            <w:pPr>
              <w:adjustRightInd w:val="0"/>
              <w:snapToGrid w:val="0"/>
              <w:spacing w:line="360" w:lineRule="auto"/>
              <w:ind w:firstLine="420" w:firstLineChars="200"/>
              <w:jc w:val="left"/>
              <w:rPr>
                <w:color w:val="auto"/>
                <w:kern w:val="0"/>
              </w:rPr>
            </w:pPr>
          </w:p>
        </w:tc>
      </w:tr>
    </w:tbl>
    <w:p w14:paraId="4A752D44">
      <w:pPr>
        <w:pStyle w:val="19"/>
        <w:numPr>
          <w:ilvl w:val="0"/>
          <w:numId w:val="7"/>
        </w:numPr>
        <w:spacing w:before="120" w:beforeLines="50" w:beforeAutospacing="0" w:after="120" w:afterLines="50" w:afterAutospacing="0"/>
        <w:ind w:left="0" w:leftChars="0" w:firstLine="420" w:firstLineChars="0"/>
        <w:jc w:val="center"/>
        <w:outlineLvl w:val="0"/>
        <w:rPr>
          <w:rFonts w:ascii="Times New Roman" w:hAnsi="Times New Roman"/>
          <w:b/>
          <w:snapToGrid w:val="0"/>
          <w:color w:val="auto"/>
          <w:sz w:val="30"/>
          <w:szCs w:val="3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0A6FF85D">
      <w:pPr>
        <w:pStyle w:val="19"/>
        <w:numPr>
          <w:ilvl w:val="0"/>
          <w:numId w:val="7"/>
        </w:numPr>
        <w:spacing w:before="120" w:beforeLines="50" w:beforeAutospacing="0" w:after="120" w:afterLines="50" w:afterAutospacing="0"/>
        <w:ind w:left="0" w:leftChars="0" w:firstLine="420" w:firstLineChars="0"/>
        <w:jc w:val="center"/>
        <w:outlineLvl w:val="0"/>
        <w:rPr>
          <w:rFonts w:ascii="Times New Roman" w:hAnsi="Times New Roman"/>
          <w:b/>
          <w:snapToGrid w:val="0"/>
          <w:color w:val="auto"/>
          <w:sz w:val="30"/>
          <w:szCs w:val="30"/>
        </w:rPr>
      </w:pPr>
      <w:r>
        <w:rPr>
          <w:rFonts w:ascii="Times New Roman" w:hAnsi="Times New Roman"/>
          <w:b/>
          <w:snapToGrid w:val="0"/>
          <w:color w:val="auto"/>
          <w:sz w:val="30"/>
          <w:szCs w:val="30"/>
        </w:rPr>
        <w:t>环境保护措施监督检查清单</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586"/>
        <w:gridCol w:w="1605"/>
        <w:gridCol w:w="1649"/>
        <w:gridCol w:w="2978"/>
      </w:tblGrid>
      <w:tr w14:paraId="5CE26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0" w:type="dxa"/>
            <w:tcBorders>
              <w:tl2br w:val="single" w:color="auto" w:sz="4" w:space="0"/>
            </w:tcBorders>
            <w:noWrap w:val="0"/>
            <w:vAlign w:val="top"/>
          </w:tcPr>
          <w:p w14:paraId="346847E3">
            <w:pPr>
              <w:jc w:val="right"/>
              <w:rPr>
                <w:rFonts w:ascii="Times New Roman" w:hAnsi="Times New Roman"/>
                <w:color w:val="auto"/>
                <w:szCs w:val="21"/>
              </w:rPr>
            </w:pPr>
            <w:r>
              <w:rPr>
                <w:rFonts w:ascii="Times New Roman" w:hAnsi="Times New Roman"/>
                <w:color w:val="auto"/>
                <w:szCs w:val="21"/>
              </w:rPr>
              <w:t>内容</w:t>
            </w:r>
          </w:p>
          <w:p w14:paraId="2497D39B">
            <w:pPr>
              <w:rPr>
                <w:rFonts w:ascii="Times New Roman" w:hAnsi="Times New Roman"/>
                <w:color w:val="auto"/>
                <w:szCs w:val="21"/>
              </w:rPr>
            </w:pPr>
            <w:r>
              <w:rPr>
                <w:rFonts w:ascii="Times New Roman" w:hAnsi="Times New Roman"/>
                <w:color w:val="auto"/>
                <w:szCs w:val="21"/>
              </w:rPr>
              <w:t>要素</w:t>
            </w:r>
          </w:p>
        </w:tc>
        <w:tc>
          <w:tcPr>
            <w:tcW w:w="1586" w:type="dxa"/>
            <w:noWrap w:val="0"/>
            <w:vAlign w:val="center"/>
          </w:tcPr>
          <w:p w14:paraId="1872CA93">
            <w:pPr>
              <w:jc w:val="center"/>
              <w:rPr>
                <w:rFonts w:ascii="Times New Roman" w:hAnsi="Times New Roman"/>
                <w:color w:val="auto"/>
                <w:szCs w:val="21"/>
              </w:rPr>
            </w:pPr>
            <w:r>
              <w:rPr>
                <w:rFonts w:ascii="Times New Roman" w:hAnsi="Times New Roman"/>
                <w:color w:val="auto"/>
                <w:szCs w:val="21"/>
              </w:rPr>
              <w:t>排放口</w:t>
            </w:r>
            <w:r>
              <w:rPr>
                <w:rFonts w:hint="eastAsia"/>
                <w:color w:val="auto"/>
                <w:szCs w:val="21"/>
                <w:lang w:eastAsia="zh-CN"/>
              </w:rPr>
              <w:t>（</w:t>
            </w:r>
            <w:r>
              <w:rPr>
                <w:rFonts w:ascii="Times New Roman" w:hAnsi="Times New Roman"/>
                <w:color w:val="auto"/>
                <w:szCs w:val="21"/>
              </w:rPr>
              <w:t>编号、</w:t>
            </w:r>
          </w:p>
          <w:p w14:paraId="5085D53A">
            <w:pPr>
              <w:jc w:val="center"/>
              <w:rPr>
                <w:rFonts w:ascii="Times New Roman" w:hAnsi="Times New Roman"/>
                <w:color w:val="auto"/>
                <w:szCs w:val="21"/>
              </w:rPr>
            </w:pPr>
            <w:r>
              <w:rPr>
                <w:rFonts w:ascii="Times New Roman" w:hAnsi="Times New Roman"/>
                <w:color w:val="auto"/>
                <w:szCs w:val="21"/>
              </w:rPr>
              <w:t>名称</w:t>
            </w:r>
            <w:r>
              <w:rPr>
                <w:rFonts w:hint="eastAsia"/>
                <w:color w:val="auto"/>
                <w:szCs w:val="21"/>
                <w:lang w:eastAsia="zh-CN"/>
              </w:rPr>
              <w:t>）</w:t>
            </w:r>
            <w:r>
              <w:rPr>
                <w:rFonts w:ascii="Times New Roman" w:hAnsi="Times New Roman"/>
                <w:color w:val="auto"/>
                <w:szCs w:val="21"/>
              </w:rPr>
              <w:t>/污染源</w:t>
            </w:r>
          </w:p>
        </w:tc>
        <w:tc>
          <w:tcPr>
            <w:tcW w:w="1605" w:type="dxa"/>
            <w:noWrap w:val="0"/>
            <w:vAlign w:val="center"/>
          </w:tcPr>
          <w:p w14:paraId="41AB83B6">
            <w:pPr>
              <w:jc w:val="center"/>
              <w:rPr>
                <w:rFonts w:ascii="Times New Roman" w:hAnsi="Times New Roman"/>
                <w:color w:val="auto"/>
                <w:szCs w:val="21"/>
              </w:rPr>
            </w:pPr>
            <w:r>
              <w:rPr>
                <w:rFonts w:ascii="Times New Roman" w:hAnsi="Times New Roman"/>
                <w:color w:val="auto"/>
                <w:szCs w:val="21"/>
              </w:rPr>
              <w:t>污染物项目</w:t>
            </w:r>
          </w:p>
        </w:tc>
        <w:tc>
          <w:tcPr>
            <w:tcW w:w="1649" w:type="dxa"/>
            <w:noWrap w:val="0"/>
            <w:vAlign w:val="center"/>
          </w:tcPr>
          <w:p w14:paraId="5376A910">
            <w:pPr>
              <w:jc w:val="center"/>
              <w:rPr>
                <w:rFonts w:ascii="Times New Roman" w:hAnsi="Times New Roman"/>
                <w:color w:val="auto"/>
                <w:szCs w:val="21"/>
              </w:rPr>
            </w:pPr>
            <w:r>
              <w:rPr>
                <w:rFonts w:ascii="Times New Roman" w:hAnsi="Times New Roman"/>
                <w:color w:val="auto"/>
                <w:szCs w:val="21"/>
              </w:rPr>
              <w:t>环境保护</w:t>
            </w:r>
          </w:p>
          <w:p w14:paraId="33F97A8C">
            <w:pPr>
              <w:jc w:val="center"/>
              <w:rPr>
                <w:rFonts w:ascii="Times New Roman" w:hAnsi="Times New Roman"/>
                <w:color w:val="auto"/>
                <w:szCs w:val="21"/>
              </w:rPr>
            </w:pPr>
            <w:r>
              <w:rPr>
                <w:rFonts w:ascii="Times New Roman" w:hAnsi="Times New Roman"/>
                <w:color w:val="auto"/>
                <w:szCs w:val="21"/>
              </w:rPr>
              <w:t>措施</w:t>
            </w:r>
          </w:p>
        </w:tc>
        <w:tc>
          <w:tcPr>
            <w:tcW w:w="2978" w:type="dxa"/>
            <w:noWrap w:val="0"/>
            <w:vAlign w:val="center"/>
          </w:tcPr>
          <w:p w14:paraId="76392208">
            <w:pPr>
              <w:jc w:val="center"/>
              <w:rPr>
                <w:rFonts w:ascii="Times New Roman" w:hAnsi="Times New Roman"/>
                <w:color w:val="auto"/>
                <w:szCs w:val="21"/>
              </w:rPr>
            </w:pPr>
            <w:r>
              <w:rPr>
                <w:rFonts w:ascii="Times New Roman" w:hAnsi="Times New Roman"/>
                <w:color w:val="auto"/>
                <w:szCs w:val="21"/>
              </w:rPr>
              <w:t>验收标准</w:t>
            </w:r>
          </w:p>
        </w:tc>
      </w:tr>
      <w:tr w14:paraId="4658B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990" w:type="dxa"/>
            <w:vMerge w:val="restart"/>
            <w:noWrap w:val="0"/>
            <w:vAlign w:val="center"/>
          </w:tcPr>
          <w:p w14:paraId="06EC9309">
            <w:pPr>
              <w:jc w:val="center"/>
              <w:rPr>
                <w:rFonts w:ascii="Times New Roman" w:hAnsi="Times New Roman"/>
                <w:color w:val="auto"/>
                <w:szCs w:val="21"/>
              </w:rPr>
            </w:pPr>
            <w:r>
              <w:rPr>
                <w:rFonts w:ascii="Times New Roman" w:hAnsi="Times New Roman"/>
                <w:color w:val="auto"/>
                <w:szCs w:val="21"/>
              </w:rPr>
              <w:t>大气</w:t>
            </w:r>
          </w:p>
          <w:p w14:paraId="655616E6">
            <w:pPr>
              <w:jc w:val="center"/>
              <w:rPr>
                <w:rFonts w:ascii="Times New Roman" w:hAnsi="Times New Roman"/>
                <w:color w:val="auto"/>
                <w:szCs w:val="21"/>
              </w:rPr>
            </w:pPr>
            <w:r>
              <w:rPr>
                <w:rFonts w:ascii="Times New Roman" w:hAnsi="Times New Roman"/>
                <w:color w:val="auto"/>
                <w:szCs w:val="21"/>
              </w:rPr>
              <w:t>环境</w:t>
            </w:r>
          </w:p>
        </w:tc>
        <w:tc>
          <w:tcPr>
            <w:tcW w:w="1586" w:type="dxa"/>
            <w:noWrap w:val="0"/>
            <w:vAlign w:val="center"/>
          </w:tcPr>
          <w:p w14:paraId="4A154C87">
            <w:pPr>
              <w:jc w:val="center"/>
              <w:rPr>
                <w:rFonts w:hint="default" w:ascii="Times New Roman" w:hAnsi="Times New Roman"/>
                <w:color w:val="auto"/>
                <w:szCs w:val="21"/>
                <w:lang w:val="en-US"/>
              </w:rPr>
            </w:pPr>
            <w:r>
              <w:rPr>
                <w:rFonts w:hint="eastAsia"/>
                <w:color w:val="auto"/>
                <w:szCs w:val="21"/>
                <w:lang w:val="en-US" w:eastAsia="zh-CN"/>
              </w:rPr>
              <w:t>粉尘排气筒DA001</w:t>
            </w:r>
          </w:p>
        </w:tc>
        <w:tc>
          <w:tcPr>
            <w:tcW w:w="1605" w:type="dxa"/>
            <w:noWrap w:val="0"/>
            <w:vAlign w:val="center"/>
          </w:tcPr>
          <w:p w14:paraId="67CA6279">
            <w:pPr>
              <w:jc w:val="center"/>
              <w:rPr>
                <w:rFonts w:ascii="Times New Roman" w:hAnsi="Times New Roman"/>
                <w:color w:val="auto"/>
                <w:szCs w:val="21"/>
              </w:rPr>
            </w:pPr>
            <w:r>
              <w:rPr>
                <w:rFonts w:ascii="Times New Roman" w:hAnsi="Times New Roman"/>
                <w:color w:val="auto"/>
                <w:szCs w:val="21"/>
              </w:rPr>
              <w:t>颗粒物</w:t>
            </w:r>
          </w:p>
        </w:tc>
        <w:tc>
          <w:tcPr>
            <w:tcW w:w="1649" w:type="dxa"/>
            <w:noWrap w:val="0"/>
            <w:vAlign w:val="center"/>
          </w:tcPr>
          <w:p w14:paraId="54ABD19F">
            <w:pPr>
              <w:jc w:val="center"/>
              <w:rPr>
                <w:rFonts w:ascii="Times New Roman" w:hAnsi="Times New Roman"/>
                <w:color w:val="auto"/>
                <w:szCs w:val="21"/>
              </w:rPr>
            </w:pPr>
            <w:r>
              <w:rPr>
                <w:rFonts w:hint="eastAsia"/>
                <w:color w:val="auto"/>
                <w:szCs w:val="21"/>
                <w:lang w:val="en-US" w:eastAsia="zh-CN"/>
              </w:rPr>
              <w:t>经收集后</w:t>
            </w:r>
            <w:r>
              <w:rPr>
                <w:rFonts w:hint="eastAsia" w:ascii="Times New Roman" w:hAnsi="Times New Roman"/>
                <w:color w:val="auto"/>
                <w:szCs w:val="21"/>
              </w:rPr>
              <w:t>采用“</w:t>
            </w:r>
            <w:r>
              <w:rPr>
                <w:rFonts w:hint="eastAsia"/>
                <w:color w:val="auto"/>
                <w:szCs w:val="21"/>
                <w:lang w:val="en-US" w:eastAsia="zh-CN"/>
              </w:rPr>
              <w:t>1#布袋除尘器</w:t>
            </w:r>
            <w:r>
              <w:rPr>
                <w:rFonts w:hint="eastAsia" w:ascii="Times New Roman" w:hAnsi="Times New Roman"/>
                <w:color w:val="auto"/>
                <w:szCs w:val="21"/>
              </w:rPr>
              <w:t>”处理</w:t>
            </w:r>
            <w:r>
              <w:rPr>
                <w:rFonts w:hint="eastAsia"/>
                <w:color w:val="auto"/>
                <w:szCs w:val="21"/>
                <w:lang w:val="en-US" w:eastAsia="zh-CN"/>
              </w:rPr>
              <w:t>后</w:t>
            </w:r>
            <w:r>
              <w:rPr>
                <w:rFonts w:hint="eastAsia" w:ascii="Times New Roman" w:hAnsi="Times New Roman"/>
                <w:color w:val="auto"/>
                <w:szCs w:val="21"/>
              </w:rPr>
              <w:t>，经过15m高排气筒排放。</w:t>
            </w:r>
          </w:p>
        </w:tc>
        <w:tc>
          <w:tcPr>
            <w:tcW w:w="2978" w:type="dxa"/>
            <w:noWrap w:val="0"/>
            <w:vAlign w:val="center"/>
          </w:tcPr>
          <w:p w14:paraId="5D3388E4">
            <w:pPr>
              <w:autoSpaceDE w:val="0"/>
              <w:autoSpaceDN w:val="0"/>
              <w:jc w:val="both"/>
              <w:rPr>
                <w:rFonts w:hint="eastAsia" w:ascii="Times New Roman" w:hAnsi="Times New Roman" w:eastAsia="宋体"/>
                <w:color w:val="auto"/>
                <w:szCs w:val="21"/>
                <w:lang w:eastAsia="zh-CN"/>
              </w:rPr>
            </w:pPr>
            <w:r>
              <w:rPr>
                <w:rFonts w:hint="eastAsia" w:ascii="Times New Roman" w:hAnsi="Times New Roman"/>
                <w:color w:val="auto"/>
                <w:szCs w:val="21"/>
                <w:lang w:val="en-US" w:eastAsia="zh-CN"/>
              </w:rPr>
              <w:t>《大气污染物综合排放标准》</w:t>
            </w:r>
            <w:r>
              <w:rPr>
                <w:rFonts w:hint="eastAsia"/>
                <w:color w:val="auto"/>
                <w:szCs w:val="21"/>
                <w:lang w:val="en-US" w:eastAsia="zh-CN"/>
              </w:rPr>
              <w:t>（</w:t>
            </w:r>
            <w:r>
              <w:rPr>
                <w:rFonts w:hint="eastAsia" w:ascii="Times New Roman" w:hAnsi="Times New Roman"/>
                <w:color w:val="auto"/>
                <w:szCs w:val="21"/>
                <w:lang w:val="en-US" w:eastAsia="zh-CN"/>
              </w:rPr>
              <w:t>GB16297-1996</w:t>
            </w:r>
            <w:r>
              <w:rPr>
                <w:rFonts w:hint="eastAsia"/>
                <w:color w:val="auto"/>
                <w:szCs w:val="21"/>
                <w:lang w:val="en-US" w:eastAsia="zh-CN"/>
              </w:rPr>
              <w:t>）</w:t>
            </w:r>
            <w:r>
              <w:rPr>
                <w:rFonts w:hint="eastAsia" w:ascii="Times New Roman" w:hAnsi="Times New Roman"/>
                <w:color w:val="auto"/>
                <w:szCs w:val="21"/>
                <w:lang w:val="en-US" w:eastAsia="zh-CN"/>
              </w:rPr>
              <w:t>表2 二级标准</w:t>
            </w:r>
          </w:p>
        </w:tc>
      </w:tr>
      <w:tr w14:paraId="38CA3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990" w:type="dxa"/>
            <w:vMerge w:val="continue"/>
            <w:noWrap w:val="0"/>
            <w:vAlign w:val="center"/>
          </w:tcPr>
          <w:p w14:paraId="34FD498F">
            <w:pPr>
              <w:jc w:val="center"/>
              <w:rPr>
                <w:rFonts w:ascii="Times New Roman" w:hAnsi="Times New Roman"/>
                <w:color w:val="auto"/>
                <w:szCs w:val="21"/>
              </w:rPr>
            </w:pPr>
          </w:p>
        </w:tc>
        <w:tc>
          <w:tcPr>
            <w:tcW w:w="1586" w:type="dxa"/>
            <w:noWrap w:val="0"/>
            <w:vAlign w:val="center"/>
          </w:tcPr>
          <w:p w14:paraId="23BABBD8">
            <w:pPr>
              <w:jc w:val="center"/>
              <w:rPr>
                <w:rFonts w:hint="eastAsia"/>
                <w:color w:val="auto"/>
                <w:szCs w:val="21"/>
                <w:lang w:val="en-US" w:eastAsia="zh-CN"/>
              </w:rPr>
            </w:pPr>
            <w:r>
              <w:rPr>
                <w:rFonts w:hint="eastAsia"/>
                <w:color w:val="auto"/>
                <w:szCs w:val="21"/>
                <w:lang w:val="en-US" w:eastAsia="zh-CN"/>
              </w:rPr>
              <w:t>燃烧废气排气筒DA002</w:t>
            </w:r>
          </w:p>
        </w:tc>
        <w:tc>
          <w:tcPr>
            <w:tcW w:w="1605" w:type="dxa"/>
            <w:noWrap w:val="0"/>
            <w:vAlign w:val="center"/>
          </w:tcPr>
          <w:p w14:paraId="03907290">
            <w:pPr>
              <w:jc w:val="center"/>
              <w:rPr>
                <w:rFonts w:hint="default" w:ascii="Times New Roman" w:hAnsi="Times New Roman" w:eastAsia="宋体"/>
                <w:color w:val="auto"/>
                <w:szCs w:val="21"/>
                <w:lang w:val="en-US" w:eastAsia="zh-CN"/>
              </w:rPr>
            </w:pPr>
            <w:r>
              <w:rPr>
                <w:rFonts w:hint="eastAsia"/>
                <w:color w:val="auto"/>
                <w:szCs w:val="21"/>
                <w:lang w:val="en-US" w:eastAsia="zh-CN"/>
              </w:rPr>
              <w:t>颗粒物、二氧化硫、氮氧化物</w:t>
            </w:r>
          </w:p>
        </w:tc>
        <w:tc>
          <w:tcPr>
            <w:tcW w:w="1649" w:type="dxa"/>
            <w:noWrap w:val="0"/>
            <w:vAlign w:val="center"/>
          </w:tcPr>
          <w:p w14:paraId="0487548F">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天然气使用低氮燃烧装置，燃烧废气经</w:t>
            </w:r>
            <w:r>
              <w:rPr>
                <w:rFonts w:hint="eastAsia" w:ascii="Times New Roman" w:hAnsi="Times New Roman"/>
                <w:color w:val="auto"/>
                <w:szCs w:val="21"/>
              </w:rPr>
              <w:t>15m高排气筒排放</w:t>
            </w:r>
          </w:p>
        </w:tc>
        <w:tc>
          <w:tcPr>
            <w:tcW w:w="2978" w:type="dxa"/>
            <w:noWrap w:val="0"/>
            <w:vAlign w:val="center"/>
          </w:tcPr>
          <w:p w14:paraId="508922EE">
            <w:pPr>
              <w:autoSpaceDE w:val="0"/>
              <w:autoSpaceDN w:val="0"/>
              <w:jc w:val="both"/>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《锅炉大气污染物排放标准》（GB13271-2014）表2大气污染物排放浓度限值要求</w:t>
            </w:r>
          </w:p>
        </w:tc>
      </w:tr>
      <w:tr w14:paraId="4F08A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990" w:type="dxa"/>
            <w:vMerge w:val="continue"/>
            <w:noWrap w:val="0"/>
            <w:vAlign w:val="center"/>
          </w:tcPr>
          <w:p w14:paraId="6F1A6A9F">
            <w:pPr>
              <w:jc w:val="center"/>
              <w:rPr>
                <w:rFonts w:ascii="Times New Roman" w:hAnsi="Times New Roman"/>
                <w:color w:val="auto"/>
                <w:szCs w:val="21"/>
              </w:rPr>
            </w:pPr>
          </w:p>
        </w:tc>
        <w:tc>
          <w:tcPr>
            <w:tcW w:w="1586" w:type="dxa"/>
            <w:noWrap w:val="0"/>
            <w:vAlign w:val="center"/>
          </w:tcPr>
          <w:p w14:paraId="456B0D50">
            <w:pPr>
              <w:jc w:val="center"/>
              <w:rPr>
                <w:rFonts w:hint="eastAsia"/>
                <w:color w:val="auto"/>
                <w:szCs w:val="21"/>
                <w:lang w:val="en-US" w:eastAsia="zh-CN"/>
              </w:rPr>
            </w:pPr>
            <w:r>
              <w:rPr>
                <w:rFonts w:hint="eastAsia"/>
                <w:color w:val="auto"/>
                <w:szCs w:val="21"/>
                <w:lang w:val="en-US" w:eastAsia="zh-CN"/>
              </w:rPr>
              <w:t>烘干废气排气筒DA003</w:t>
            </w:r>
          </w:p>
        </w:tc>
        <w:tc>
          <w:tcPr>
            <w:tcW w:w="1605" w:type="dxa"/>
            <w:noWrap w:val="0"/>
            <w:vAlign w:val="center"/>
          </w:tcPr>
          <w:p w14:paraId="4C9B7CDB">
            <w:pPr>
              <w:jc w:val="center"/>
              <w:rPr>
                <w:rFonts w:ascii="Times New Roman" w:hAnsi="Times New Roman"/>
                <w:color w:val="auto"/>
                <w:szCs w:val="21"/>
              </w:rPr>
            </w:pPr>
            <w:r>
              <w:rPr>
                <w:rFonts w:ascii="Times New Roman" w:hAnsi="Times New Roman"/>
                <w:color w:val="auto"/>
                <w:szCs w:val="21"/>
              </w:rPr>
              <w:t>颗粒物</w:t>
            </w:r>
          </w:p>
        </w:tc>
        <w:tc>
          <w:tcPr>
            <w:tcW w:w="1649" w:type="dxa"/>
            <w:noWrap w:val="0"/>
            <w:vAlign w:val="center"/>
          </w:tcPr>
          <w:p w14:paraId="453CA47C">
            <w:pPr>
              <w:jc w:val="center"/>
              <w:rPr>
                <w:rFonts w:hint="eastAsia" w:ascii="Times New Roman" w:hAnsi="Times New Roman"/>
                <w:color w:val="auto"/>
                <w:szCs w:val="21"/>
              </w:rPr>
            </w:pPr>
            <w:r>
              <w:rPr>
                <w:rFonts w:hint="eastAsia" w:ascii="Times New Roman" w:hAnsi="Times New Roman"/>
                <w:color w:val="auto"/>
                <w:szCs w:val="21"/>
                <w:lang w:val="en-US" w:eastAsia="zh-CN"/>
              </w:rPr>
              <w:t>经管道密闭收集后</w:t>
            </w:r>
            <w:r>
              <w:rPr>
                <w:rFonts w:hint="eastAsia" w:ascii="Times New Roman" w:hAnsi="Times New Roman"/>
                <w:color w:val="auto"/>
                <w:szCs w:val="21"/>
              </w:rPr>
              <w:t>采用“</w:t>
            </w:r>
            <w:r>
              <w:rPr>
                <w:rFonts w:hint="eastAsia"/>
                <w:color w:val="auto"/>
                <w:szCs w:val="21"/>
                <w:lang w:val="en-US" w:eastAsia="zh-CN"/>
              </w:rPr>
              <w:t>2#布袋除尘器</w:t>
            </w:r>
            <w:r>
              <w:rPr>
                <w:rFonts w:hint="eastAsia" w:ascii="Times New Roman" w:hAnsi="Times New Roman"/>
                <w:color w:val="auto"/>
                <w:szCs w:val="21"/>
              </w:rPr>
              <w:t>”处理</w:t>
            </w:r>
            <w:r>
              <w:rPr>
                <w:rFonts w:hint="eastAsia"/>
                <w:color w:val="auto"/>
                <w:szCs w:val="21"/>
                <w:lang w:val="en-US" w:eastAsia="zh-CN"/>
              </w:rPr>
              <w:t>后</w:t>
            </w:r>
            <w:r>
              <w:rPr>
                <w:rFonts w:hint="eastAsia" w:ascii="Times New Roman" w:hAnsi="Times New Roman"/>
                <w:color w:val="auto"/>
                <w:szCs w:val="21"/>
              </w:rPr>
              <w:t>，经过15m高排气筒排放。</w:t>
            </w:r>
          </w:p>
        </w:tc>
        <w:tc>
          <w:tcPr>
            <w:tcW w:w="2978" w:type="dxa"/>
            <w:noWrap w:val="0"/>
            <w:vAlign w:val="center"/>
          </w:tcPr>
          <w:p w14:paraId="0FBC893F">
            <w:pPr>
              <w:autoSpaceDE w:val="0"/>
              <w:autoSpaceDN w:val="0"/>
              <w:jc w:val="both"/>
              <w:rPr>
                <w:rFonts w:hint="eastAsia" w:ascii="Times New Roman" w:hAnsi="Times New Roman"/>
                <w:color w:val="auto"/>
                <w:szCs w:val="21"/>
                <w:lang w:val="en-US" w:eastAsia="zh-CN"/>
              </w:rPr>
            </w:pPr>
            <w:r>
              <w:rPr>
                <w:rFonts w:hint="eastAsia" w:ascii="Times New Roman" w:hAnsi="Times New Roman"/>
                <w:color w:val="auto"/>
                <w:szCs w:val="21"/>
                <w:lang w:val="en-US" w:eastAsia="zh-CN"/>
              </w:rPr>
              <w:t>《大气污染物综合排放标准》</w:t>
            </w:r>
            <w:r>
              <w:rPr>
                <w:rFonts w:hint="eastAsia"/>
                <w:color w:val="auto"/>
                <w:szCs w:val="21"/>
                <w:lang w:val="en-US" w:eastAsia="zh-CN"/>
              </w:rPr>
              <w:t>（</w:t>
            </w:r>
            <w:r>
              <w:rPr>
                <w:rFonts w:hint="eastAsia" w:ascii="Times New Roman" w:hAnsi="Times New Roman"/>
                <w:color w:val="auto"/>
                <w:szCs w:val="21"/>
                <w:lang w:val="en-US" w:eastAsia="zh-CN"/>
              </w:rPr>
              <w:t>GB16297-1996</w:t>
            </w:r>
            <w:r>
              <w:rPr>
                <w:rFonts w:hint="eastAsia"/>
                <w:color w:val="auto"/>
                <w:szCs w:val="21"/>
                <w:lang w:val="en-US" w:eastAsia="zh-CN"/>
              </w:rPr>
              <w:t>）</w:t>
            </w:r>
            <w:r>
              <w:rPr>
                <w:rFonts w:hint="eastAsia" w:ascii="Times New Roman" w:hAnsi="Times New Roman"/>
                <w:color w:val="auto"/>
                <w:szCs w:val="21"/>
                <w:lang w:val="en-US" w:eastAsia="zh-CN"/>
              </w:rPr>
              <w:t>表2 二级标准</w:t>
            </w:r>
          </w:p>
        </w:tc>
      </w:tr>
      <w:tr w14:paraId="33583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90" w:type="dxa"/>
            <w:vMerge w:val="continue"/>
            <w:noWrap w:val="0"/>
            <w:vAlign w:val="center"/>
          </w:tcPr>
          <w:p w14:paraId="180A2108">
            <w:pPr>
              <w:jc w:val="center"/>
              <w:rPr>
                <w:rFonts w:ascii="Times New Roman" w:hAnsi="Times New Roman"/>
                <w:color w:val="auto"/>
                <w:szCs w:val="21"/>
              </w:rPr>
            </w:pPr>
          </w:p>
        </w:tc>
        <w:tc>
          <w:tcPr>
            <w:tcW w:w="1586" w:type="dxa"/>
            <w:noWrap w:val="0"/>
            <w:vAlign w:val="center"/>
          </w:tcPr>
          <w:p w14:paraId="1A6410A5">
            <w:pPr>
              <w:jc w:val="center"/>
              <w:rPr>
                <w:rFonts w:hint="eastAsia" w:ascii="Times New Roman" w:hAnsi="Times New Roman"/>
                <w:color w:val="auto"/>
                <w:szCs w:val="21"/>
              </w:rPr>
            </w:pPr>
            <w:r>
              <w:rPr>
                <w:rFonts w:hint="eastAsia" w:ascii="Times New Roman" w:hAnsi="Times New Roman"/>
                <w:color w:val="auto"/>
                <w:szCs w:val="21"/>
              </w:rPr>
              <w:t>厂界无组织</w:t>
            </w:r>
          </w:p>
        </w:tc>
        <w:tc>
          <w:tcPr>
            <w:tcW w:w="1605" w:type="dxa"/>
            <w:noWrap w:val="0"/>
            <w:vAlign w:val="center"/>
          </w:tcPr>
          <w:p w14:paraId="2FA9A748">
            <w:pPr>
              <w:jc w:val="center"/>
              <w:rPr>
                <w:rFonts w:hint="eastAsia" w:ascii="Times New Roman" w:hAnsi="Times New Roman"/>
                <w:color w:val="auto"/>
                <w:szCs w:val="21"/>
                <w:lang w:val="en-US" w:eastAsia="zh-CN"/>
              </w:rPr>
            </w:pPr>
            <w:r>
              <w:rPr>
                <w:rFonts w:ascii="Times New Roman" w:hAnsi="Times New Roman"/>
                <w:color w:val="auto"/>
                <w:szCs w:val="21"/>
              </w:rPr>
              <w:t>颗粒物</w:t>
            </w:r>
          </w:p>
        </w:tc>
        <w:tc>
          <w:tcPr>
            <w:tcW w:w="1649" w:type="dxa"/>
            <w:noWrap w:val="0"/>
            <w:vAlign w:val="center"/>
          </w:tcPr>
          <w:p w14:paraId="6668EACE">
            <w:pPr>
              <w:jc w:val="center"/>
              <w:rPr>
                <w:rFonts w:hint="default" w:ascii="Times New Roman" w:hAnsi="Times New Roman" w:eastAsia="宋体"/>
                <w:color w:val="auto"/>
                <w:szCs w:val="21"/>
                <w:lang w:val="en-US" w:eastAsia="zh-CN"/>
              </w:rPr>
            </w:pPr>
            <w:r>
              <w:rPr>
                <w:rFonts w:hint="eastAsia"/>
                <w:color w:val="auto"/>
                <w:szCs w:val="21"/>
                <w:lang w:val="en-US" w:eastAsia="zh-CN"/>
              </w:rPr>
              <w:t>车间密闭，加强废气收集</w:t>
            </w:r>
          </w:p>
        </w:tc>
        <w:tc>
          <w:tcPr>
            <w:tcW w:w="2978" w:type="dxa"/>
            <w:tcBorders>
              <w:top w:val="single" w:color="000000" w:sz="4" w:space="0"/>
            </w:tcBorders>
            <w:noWrap w:val="0"/>
            <w:vAlign w:val="center"/>
          </w:tcPr>
          <w:p w14:paraId="7780DB34">
            <w:pPr>
              <w:autoSpaceDE w:val="0"/>
              <w:autoSpaceDN w:val="0"/>
              <w:jc w:val="center"/>
              <w:rPr>
                <w:rFonts w:hint="eastAsia" w:ascii="Times New Roman" w:hAnsi="Times New Roman"/>
                <w:color w:val="auto"/>
                <w:szCs w:val="21"/>
              </w:rPr>
            </w:pPr>
            <w:r>
              <w:rPr>
                <w:rFonts w:hint="eastAsia" w:ascii="Times New Roman" w:hAnsi="Times New Roman"/>
                <w:color w:val="auto"/>
                <w:szCs w:val="21"/>
                <w:lang w:val="en-US" w:eastAsia="zh-CN"/>
              </w:rPr>
              <w:t>《大气污染物综合排放标准》</w:t>
            </w:r>
            <w:r>
              <w:rPr>
                <w:rFonts w:hint="eastAsia"/>
                <w:color w:val="auto"/>
                <w:szCs w:val="21"/>
                <w:lang w:val="en-US" w:eastAsia="zh-CN"/>
              </w:rPr>
              <w:t>（</w:t>
            </w:r>
            <w:r>
              <w:rPr>
                <w:rFonts w:hint="eastAsia" w:ascii="Times New Roman" w:hAnsi="Times New Roman"/>
                <w:color w:val="auto"/>
                <w:szCs w:val="21"/>
                <w:lang w:val="en-US" w:eastAsia="zh-CN"/>
              </w:rPr>
              <w:t>GB16297-1996</w:t>
            </w:r>
            <w:r>
              <w:rPr>
                <w:rFonts w:hint="eastAsia"/>
                <w:color w:val="auto"/>
                <w:szCs w:val="21"/>
                <w:lang w:val="en-US" w:eastAsia="zh-CN"/>
              </w:rPr>
              <w:t>）</w:t>
            </w:r>
            <w:r>
              <w:rPr>
                <w:rFonts w:hint="eastAsia" w:ascii="Times New Roman" w:hAnsi="Times New Roman"/>
                <w:color w:val="auto"/>
                <w:szCs w:val="21"/>
                <w:lang w:val="en-US" w:eastAsia="zh-CN"/>
              </w:rPr>
              <w:t>表2 二级标准</w:t>
            </w:r>
          </w:p>
        </w:tc>
      </w:tr>
      <w:tr w14:paraId="24B5A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0" w:type="dxa"/>
            <w:noWrap w:val="0"/>
            <w:vAlign w:val="center"/>
          </w:tcPr>
          <w:p w14:paraId="4A5C5670">
            <w:pPr>
              <w:jc w:val="center"/>
              <w:rPr>
                <w:rFonts w:ascii="Times New Roman" w:hAnsi="Times New Roman"/>
                <w:color w:val="auto"/>
                <w:szCs w:val="21"/>
              </w:rPr>
            </w:pPr>
            <w:r>
              <w:rPr>
                <w:rFonts w:ascii="Times New Roman" w:hAnsi="Times New Roman"/>
                <w:color w:val="auto"/>
                <w:szCs w:val="21"/>
              </w:rPr>
              <w:t>地表水</w:t>
            </w:r>
          </w:p>
          <w:p w14:paraId="4B8C2DDD">
            <w:pPr>
              <w:jc w:val="center"/>
              <w:rPr>
                <w:rFonts w:ascii="Times New Roman" w:hAnsi="Times New Roman"/>
                <w:color w:val="auto"/>
                <w:szCs w:val="21"/>
              </w:rPr>
            </w:pPr>
            <w:r>
              <w:rPr>
                <w:rFonts w:ascii="Times New Roman" w:hAnsi="Times New Roman"/>
                <w:color w:val="auto"/>
                <w:szCs w:val="21"/>
              </w:rPr>
              <w:t>环境</w:t>
            </w:r>
          </w:p>
        </w:tc>
        <w:tc>
          <w:tcPr>
            <w:tcW w:w="1586" w:type="dxa"/>
            <w:tcBorders>
              <w:right w:val="single" w:color="000000" w:sz="4" w:space="0"/>
            </w:tcBorders>
            <w:shd w:val="clear" w:color="auto" w:fill="auto"/>
            <w:noWrap w:val="0"/>
            <w:vAlign w:val="center"/>
          </w:tcPr>
          <w:p w14:paraId="176EC704">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color w:val="auto"/>
                <w:szCs w:val="21"/>
              </w:rPr>
              <w:t>生活污水</w:t>
            </w:r>
          </w:p>
        </w:tc>
        <w:tc>
          <w:tcPr>
            <w:tcW w:w="1605" w:type="dxa"/>
            <w:tcBorders>
              <w:left w:val="single" w:color="000000" w:sz="4" w:space="0"/>
              <w:right w:val="single" w:color="000000" w:sz="4" w:space="0"/>
            </w:tcBorders>
            <w:shd w:val="clear" w:color="auto" w:fill="auto"/>
            <w:noWrap w:val="0"/>
            <w:vAlign w:val="center"/>
          </w:tcPr>
          <w:p w14:paraId="72D76CDE">
            <w:pPr>
              <w:pStyle w:val="183"/>
              <w:adjustRightInd/>
              <w:snapToGrid/>
              <w:ind w:right="0" w:rightChars="0"/>
              <w:rPr>
                <w:rFonts w:hint="default" w:ascii="Times New Roman" w:hAnsi="Times New Roman" w:eastAsia="宋体" w:cs="Times New Roman"/>
                <w:color w:val="auto"/>
                <w:kern w:val="2"/>
                <w:sz w:val="21"/>
                <w:szCs w:val="24"/>
                <w:lang w:val="en-US" w:eastAsia="zh-CN" w:bidi="ar-SA"/>
              </w:rPr>
            </w:pPr>
            <w:r>
              <w:rPr>
                <w:color w:val="auto"/>
              </w:rPr>
              <w:t>pH、COD、BOD</w:t>
            </w:r>
            <w:r>
              <w:rPr>
                <w:color w:val="auto"/>
                <w:vertAlign w:val="subscript"/>
              </w:rPr>
              <w:t>5</w:t>
            </w:r>
            <w:r>
              <w:rPr>
                <w:color w:val="auto"/>
              </w:rPr>
              <w:t>、SS、NH</w:t>
            </w:r>
            <w:r>
              <w:rPr>
                <w:color w:val="auto"/>
                <w:vertAlign w:val="subscript"/>
              </w:rPr>
              <w:t>3</w:t>
            </w:r>
            <w:r>
              <w:rPr>
                <w:color w:val="auto"/>
              </w:rPr>
              <w:t>-N</w:t>
            </w:r>
          </w:p>
        </w:tc>
        <w:tc>
          <w:tcPr>
            <w:tcW w:w="1649" w:type="dxa"/>
            <w:tcBorders>
              <w:left w:val="single" w:color="000000" w:sz="4" w:space="0"/>
              <w:right w:val="single" w:color="000000" w:sz="4" w:space="0"/>
            </w:tcBorders>
            <w:shd w:val="clear" w:color="auto" w:fill="auto"/>
            <w:noWrap w:val="0"/>
            <w:vAlign w:val="center"/>
          </w:tcPr>
          <w:p w14:paraId="102F38C8">
            <w:pPr>
              <w:pStyle w:val="183"/>
              <w:adjustRightInd/>
              <w:snapToGrid/>
              <w:ind w:right="0" w:rightChars="0"/>
              <w:rPr>
                <w:rFonts w:hint="default" w:ascii="Times New Roman" w:hAnsi="Times New Roman" w:eastAsia="宋体" w:cs="Times New Roman"/>
                <w:color w:val="auto"/>
                <w:kern w:val="2"/>
                <w:sz w:val="21"/>
                <w:szCs w:val="24"/>
                <w:lang w:val="en-US" w:eastAsia="zh-CN" w:bidi="ar-SA"/>
              </w:rPr>
            </w:pPr>
            <w:r>
              <w:rPr>
                <w:color w:val="auto"/>
              </w:rPr>
              <w:t>化粪池处理后</w:t>
            </w:r>
            <w:r>
              <w:rPr>
                <w:rFonts w:hint="eastAsia"/>
                <w:color w:val="auto"/>
              </w:rPr>
              <w:t>用于周边林地施肥，不外排</w:t>
            </w:r>
          </w:p>
        </w:tc>
        <w:tc>
          <w:tcPr>
            <w:tcW w:w="2978" w:type="dxa"/>
            <w:tcBorders>
              <w:left w:val="single" w:color="000000" w:sz="4" w:space="0"/>
            </w:tcBorders>
            <w:shd w:val="clear" w:color="auto" w:fill="auto"/>
            <w:noWrap w:val="0"/>
            <w:vAlign w:val="center"/>
          </w:tcPr>
          <w:p w14:paraId="7A85B77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验收落实措施</w:t>
            </w:r>
          </w:p>
        </w:tc>
      </w:tr>
      <w:tr w14:paraId="75A0D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0" w:type="dxa"/>
            <w:noWrap w:val="0"/>
            <w:vAlign w:val="center"/>
          </w:tcPr>
          <w:p w14:paraId="722EF400">
            <w:pPr>
              <w:jc w:val="center"/>
              <w:rPr>
                <w:rFonts w:ascii="Times New Roman" w:hAnsi="Times New Roman"/>
                <w:color w:val="auto"/>
                <w:szCs w:val="21"/>
              </w:rPr>
            </w:pPr>
            <w:r>
              <w:rPr>
                <w:rFonts w:ascii="Times New Roman" w:hAnsi="Times New Roman"/>
                <w:color w:val="auto"/>
                <w:szCs w:val="21"/>
              </w:rPr>
              <w:t>声环境</w:t>
            </w:r>
          </w:p>
        </w:tc>
        <w:tc>
          <w:tcPr>
            <w:tcW w:w="1586" w:type="dxa"/>
            <w:tcBorders>
              <w:right w:val="single" w:color="000000" w:sz="4" w:space="0"/>
            </w:tcBorders>
            <w:noWrap w:val="0"/>
            <w:vAlign w:val="center"/>
          </w:tcPr>
          <w:p w14:paraId="16BF4F83">
            <w:pPr>
              <w:jc w:val="center"/>
              <w:rPr>
                <w:rFonts w:ascii="Times New Roman" w:hAnsi="Times New Roman"/>
                <w:color w:val="auto"/>
                <w:szCs w:val="21"/>
              </w:rPr>
            </w:pPr>
            <w:r>
              <w:rPr>
                <w:rFonts w:ascii="Times New Roman" w:hAnsi="Times New Roman"/>
                <w:color w:val="auto"/>
                <w:szCs w:val="21"/>
              </w:rPr>
              <w:t>生产设备</w:t>
            </w:r>
          </w:p>
        </w:tc>
        <w:tc>
          <w:tcPr>
            <w:tcW w:w="1605" w:type="dxa"/>
            <w:tcBorders>
              <w:left w:val="single" w:color="000000" w:sz="4" w:space="0"/>
              <w:right w:val="single" w:color="000000" w:sz="4" w:space="0"/>
            </w:tcBorders>
            <w:noWrap w:val="0"/>
            <w:vAlign w:val="center"/>
          </w:tcPr>
          <w:p w14:paraId="097C3E2C">
            <w:pPr>
              <w:jc w:val="center"/>
              <w:rPr>
                <w:rFonts w:ascii="Times New Roman" w:hAnsi="Times New Roman"/>
                <w:color w:val="auto"/>
                <w:szCs w:val="21"/>
              </w:rPr>
            </w:pPr>
            <w:r>
              <w:rPr>
                <w:rFonts w:ascii="Times New Roman" w:hAnsi="Times New Roman"/>
                <w:color w:val="auto"/>
                <w:szCs w:val="21"/>
              </w:rPr>
              <w:t>设备噪声</w:t>
            </w:r>
          </w:p>
        </w:tc>
        <w:tc>
          <w:tcPr>
            <w:tcW w:w="1649" w:type="dxa"/>
            <w:tcBorders>
              <w:left w:val="single" w:color="000000" w:sz="4" w:space="0"/>
              <w:right w:val="single" w:color="000000" w:sz="4" w:space="0"/>
            </w:tcBorders>
            <w:noWrap w:val="0"/>
            <w:vAlign w:val="center"/>
          </w:tcPr>
          <w:p w14:paraId="7E9487C3">
            <w:pPr>
              <w:jc w:val="center"/>
              <w:rPr>
                <w:rFonts w:ascii="Times New Roman" w:hAnsi="Times New Roman"/>
                <w:color w:val="auto"/>
                <w:szCs w:val="21"/>
              </w:rPr>
            </w:pPr>
            <w:r>
              <w:rPr>
                <w:rFonts w:ascii="Times New Roman" w:hAnsi="Times New Roman"/>
                <w:color w:val="auto"/>
                <w:szCs w:val="21"/>
              </w:rPr>
              <w:t>隔音、减振</w:t>
            </w:r>
          </w:p>
        </w:tc>
        <w:tc>
          <w:tcPr>
            <w:tcW w:w="2978" w:type="dxa"/>
            <w:tcBorders>
              <w:left w:val="single" w:color="000000" w:sz="4" w:space="0"/>
            </w:tcBorders>
            <w:noWrap w:val="0"/>
            <w:vAlign w:val="center"/>
          </w:tcPr>
          <w:p w14:paraId="53A7131B">
            <w:pPr>
              <w:jc w:val="center"/>
              <w:rPr>
                <w:rFonts w:ascii="Times New Roman" w:hAnsi="Times New Roman"/>
                <w:color w:val="auto"/>
                <w:szCs w:val="21"/>
              </w:rPr>
            </w:pPr>
            <w:r>
              <w:rPr>
                <w:rFonts w:hint="eastAsia" w:ascii="Times New Roman" w:hAnsi="Times New Roman"/>
                <w:color w:val="auto"/>
                <w:szCs w:val="21"/>
              </w:rPr>
              <w:t>《工业企业厂界环境噪声排放标准》（GB12348-2008）中</w:t>
            </w:r>
            <w:r>
              <w:rPr>
                <w:rFonts w:hint="eastAsia"/>
                <w:color w:val="auto"/>
                <w:szCs w:val="21"/>
                <w:lang w:val="en-US" w:eastAsia="zh-CN"/>
              </w:rPr>
              <w:t>2</w:t>
            </w:r>
            <w:r>
              <w:rPr>
                <w:rFonts w:hint="eastAsia" w:ascii="Times New Roman" w:hAnsi="Times New Roman"/>
                <w:color w:val="auto"/>
                <w:szCs w:val="21"/>
              </w:rPr>
              <w:t>类标准</w:t>
            </w:r>
          </w:p>
        </w:tc>
      </w:tr>
      <w:tr w14:paraId="05699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restart"/>
            <w:noWrap w:val="0"/>
            <w:vAlign w:val="center"/>
          </w:tcPr>
          <w:p w14:paraId="39340013">
            <w:pPr>
              <w:jc w:val="center"/>
              <w:rPr>
                <w:rFonts w:ascii="Times New Roman" w:hAnsi="Times New Roman"/>
                <w:color w:val="auto"/>
                <w:szCs w:val="21"/>
              </w:rPr>
            </w:pPr>
            <w:r>
              <w:rPr>
                <w:rFonts w:ascii="Times New Roman" w:hAnsi="Times New Roman"/>
                <w:color w:val="auto"/>
                <w:szCs w:val="21"/>
              </w:rPr>
              <w:t>固体</w:t>
            </w:r>
          </w:p>
          <w:p w14:paraId="616A6810">
            <w:pPr>
              <w:jc w:val="center"/>
              <w:rPr>
                <w:rFonts w:ascii="Times New Roman" w:hAnsi="Times New Roman"/>
                <w:color w:val="auto"/>
                <w:szCs w:val="21"/>
              </w:rPr>
            </w:pPr>
            <w:r>
              <w:rPr>
                <w:rFonts w:ascii="Times New Roman" w:hAnsi="Times New Roman"/>
                <w:color w:val="auto"/>
                <w:szCs w:val="21"/>
              </w:rPr>
              <w:t>废物</w:t>
            </w:r>
          </w:p>
        </w:tc>
        <w:tc>
          <w:tcPr>
            <w:tcW w:w="1586" w:type="dxa"/>
            <w:tcBorders>
              <w:right w:val="single" w:color="000000" w:sz="4" w:space="0"/>
            </w:tcBorders>
            <w:noWrap w:val="0"/>
            <w:vAlign w:val="center"/>
          </w:tcPr>
          <w:p w14:paraId="2EB591DA">
            <w:pPr>
              <w:jc w:val="center"/>
              <w:rPr>
                <w:rFonts w:ascii="Times New Roman" w:hAnsi="Times New Roman"/>
                <w:color w:val="auto"/>
                <w:szCs w:val="21"/>
              </w:rPr>
            </w:pPr>
            <w:r>
              <w:rPr>
                <w:rFonts w:hint="eastAsia" w:ascii="Times New Roman" w:hAnsi="Times New Roman"/>
                <w:color w:val="auto"/>
                <w:szCs w:val="21"/>
                <w:lang w:val="en-US" w:eastAsia="zh-CN"/>
              </w:rPr>
              <w:t>员工</w:t>
            </w:r>
            <w:r>
              <w:rPr>
                <w:rFonts w:ascii="Times New Roman" w:hAnsi="Times New Roman"/>
                <w:color w:val="auto"/>
                <w:szCs w:val="21"/>
              </w:rPr>
              <w:t>生活垃圾</w:t>
            </w:r>
          </w:p>
        </w:tc>
        <w:tc>
          <w:tcPr>
            <w:tcW w:w="1605" w:type="dxa"/>
            <w:tcBorders>
              <w:left w:val="single" w:color="000000" w:sz="4" w:space="0"/>
              <w:right w:val="single" w:color="000000" w:sz="4" w:space="0"/>
            </w:tcBorders>
            <w:noWrap w:val="0"/>
            <w:vAlign w:val="center"/>
          </w:tcPr>
          <w:p w14:paraId="5C5C48E0">
            <w:pPr>
              <w:jc w:val="center"/>
              <w:rPr>
                <w:rFonts w:ascii="Times New Roman" w:hAnsi="Times New Roman"/>
                <w:color w:val="auto"/>
                <w:szCs w:val="21"/>
              </w:rPr>
            </w:pPr>
            <w:r>
              <w:rPr>
                <w:rFonts w:ascii="Times New Roman" w:hAnsi="Times New Roman"/>
                <w:color w:val="auto"/>
                <w:szCs w:val="21"/>
              </w:rPr>
              <w:t>生活垃圾</w:t>
            </w:r>
          </w:p>
        </w:tc>
        <w:tc>
          <w:tcPr>
            <w:tcW w:w="1649" w:type="dxa"/>
            <w:tcBorders>
              <w:left w:val="single" w:color="000000" w:sz="4" w:space="0"/>
              <w:right w:val="single" w:color="000000" w:sz="4" w:space="0"/>
            </w:tcBorders>
            <w:noWrap w:val="0"/>
            <w:vAlign w:val="center"/>
          </w:tcPr>
          <w:p w14:paraId="49674438">
            <w:pPr>
              <w:jc w:val="center"/>
              <w:rPr>
                <w:rFonts w:ascii="Times New Roman" w:hAnsi="Times New Roman"/>
                <w:color w:val="auto"/>
                <w:szCs w:val="21"/>
              </w:rPr>
            </w:pPr>
            <w:r>
              <w:rPr>
                <w:rFonts w:ascii="Times New Roman" w:hAnsi="Times New Roman"/>
                <w:color w:val="auto"/>
                <w:szCs w:val="21"/>
              </w:rPr>
              <w:t>垃圾收集容器，贮存措施</w:t>
            </w:r>
          </w:p>
        </w:tc>
        <w:tc>
          <w:tcPr>
            <w:tcW w:w="2978" w:type="dxa"/>
            <w:tcBorders>
              <w:left w:val="single" w:color="000000" w:sz="4" w:space="0"/>
            </w:tcBorders>
            <w:noWrap w:val="0"/>
            <w:vAlign w:val="center"/>
          </w:tcPr>
          <w:p w14:paraId="36449944">
            <w:pPr>
              <w:jc w:val="center"/>
              <w:rPr>
                <w:rFonts w:ascii="Times New Roman" w:hAnsi="Times New Roman"/>
                <w:color w:val="auto"/>
                <w:szCs w:val="21"/>
              </w:rPr>
            </w:pPr>
            <w:r>
              <w:rPr>
                <w:rFonts w:ascii="Times New Roman" w:hAnsi="Times New Roman"/>
                <w:color w:val="auto"/>
                <w:szCs w:val="21"/>
              </w:rPr>
              <w:t>由环卫部门清运处理</w:t>
            </w:r>
          </w:p>
        </w:tc>
      </w:tr>
      <w:tr w14:paraId="38E8E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90" w:type="dxa"/>
            <w:vMerge w:val="continue"/>
            <w:noWrap w:val="0"/>
            <w:vAlign w:val="center"/>
          </w:tcPr>
          <w:p w14:paraId="0CACE637">
            <w:pPr>
              <w:jc w:val="center"/>
              <w:rPr>
                <w:rFonts w:ascii="Times New Roman" w:hAnsi="Times New Roman"/>
                <w:color w:val="auto"/>
                <w:szCs w:val="21"/>
              </w:rPr>
            </w:pPr>
          </w:p>
        </w:tc>
        <w:tc>
          <w:tcPr>
            <w:tcW w:w="1586" w:type="dxa"/>
            <w:tcBorders>
              <w:right w:val="single" w:color="000000" w:sz="4" w:space="0"/>
            </w:tcBorders>
            <w:noWrap w:val="0"/>
            <w:vAlign w:val="center"/>
          </w:tcPr>
          <w:p w14:paraId="18DB76B8">
            <w:pPr>
              <w:jc w:val="center"/>
              <w:rPr>
                <w:rFonts w:ascii="Times New Roman" w:hAnsi="Times New Roman"/>
                <w:color w:val="auto"/>
                <w:szCs w:val="21"/>
              </w:rPr>
            </w:pPr>
            <w:r>
              <w:rPr>
                <w:rFonts w:ascii="Times New Roman" w:hAnsi="Times New Roman"/>
                <w:color w:val="auto"/>
                <w:szCs w:val="21"/>
              </w:rPr>
              <w:t>一般工业固废</w:t>
            </w:r>
          </w:p>
        </w:tc>
        <w:tc>
          <w:tcPr>
            <w:tcW w:w="1605" w:type="dxa"/>
            <w:tcBorders>
              <w:left w:val="single" w:color="000000" w:sz="4" w:space="0"/>
              <w:right w:val="single" w:color="000000" w:sz="4" w:space="0"/>
            </w:tcBorders>
            <w:noWrap w:val="0"/>
            <w:vAlign w:val="center"/>
          </w:tcPr>
          <w:p w14:paraId="203FFB4D">
            <w:pPr>
              <w:jc w:val="center"/>
              <w:rPr>
                <w:rFonts w:hint="default" w:ascii="Times New Roman" w:hAnsi="Times New Roman" w:eastAsia="宋体"/>
                <w:color w:val="auto"/>
                <w:szCs w:val="21"/>
                <w:lang w:val="en-US" w:eastAsia="zh-CN"/>
              </w:rPr>
            </w:pPr>
            <w:r>
              <w:rPr>
                <w:rFonts w:hint="default" w:ascii="Times New Roman" w:hAnsi="Times New Roman" w:eastAsia="宋体"/>
                <w:color w:val="auto"/>
                <w:szCs w:val="21"/>
                <w:lang w:val="en-US" w:eastAsia="zh-CN"/>
              </w:rPr>
              <w:t>废包装物、</w:t>
            </w:r>
            <w:r>
              <w:rPr>
                <w:rFonts w:hint="eastAsia"/>
                <w:color w:val="auto"/>
                <w:szCs w:val="21"/>
                <w:lang w:val="en-US" w:eastAsia="zh-CN"/>
              </w:rPr>
              <w:t>除尘设施收集粉尘、</w:t>
            </w:r>
            <w:r>
              <w:rPr>
                <w:rFonts w:hint="default" w:ascii="Times New Roman" w:hAnsi="Times New Roman" w:eastAsia="宋体"/>
                <w:color w:val="auto"/>
                <w:szCs w:val="21"/>
                <w:lang w:val="en-US" w:eastAsia="zh-CN"/>
              </w:rPr>
              <w:t>废布袋</w:t>
            </w:r>
            <w:r>
              <w:rPr>
                <w:rFonts w:hint="eastAsia"/>
                <w:color w:val="auto"/>
                <w:szCs w:val="21"/>
                <w:lang w:val="en-US" w:eastAsia="zh-CN"/>
              </w:rPr>
              <w:t>、废铁块、废石子</w:t>
            </w:r>
          </w:p>
        </w:tc>
        <w:tc>
          <w:tcPr>
            <w:tcW w:w="1649" w:type="dxa"/>
            <w:tcBorders>
              <w:left w:val="single" w:color="000000" w:sz="4" w:space="0"/>
              <w:right w:val="single" w:color="000000" w:sz="4" w:space="0"/>
            </w:tcBorders>
            <w:noWrap w:val="0"/>
            <w:vAlign w:val="center"/>
          </w:tcPr>
          <w:p w14:paraId="42D216E4">
            <w:pPr>
              <w:jc w:val="center"/>
              <w:rPr>
                <w:rFonts w:hint="eastAsia" w:ascii="Times New Roman" w:hAnsi="Times New Roman" w:eastAsia="宋体"/>
                <w:color w:val="auto"/>
                <w:szCs w:val="21"/>
                <w:lang w:val="en-US" w:eastAsia="zh-CN"/>
              </w:rPr>
            </w:pPr>
            <w:r>
              <w:rPr>
                <w:rFonts w:ascii="Times New Roman" w:hAnsi="Times New Roman"/>
                <w:color w:val="auto"/>
                <w:szCs w:val="21"/>
              </w:rPr>
              <w:t>一般固废堆放于一般固废暂存</w:t>
            </w:r>
            <w:r>
              <w:rPr>
                <w:rFonts w:hint="eastAsia"/>
                <w:color w:val="auto"/>
                <w:szCs w:val="21"/>
                <w:lang w:val="en-US" w:eastAsia="zh-CN"/>
              </w:rPr>
              <w:t>间</w:t>
            </w:r>
          </w:p>
        </w:tc>
        <w:tc>
          <w:tcPr>
            <w:tcW w:w="2978" w:type="dxa"/>
            <w:tcBorders>
              <w:left w:val="single" w:color="000000" w:sz="4" w:space="0"/>
            </w:tcBorders>
            <w:noWrap w:val="0"/>
            <w:vAlign w:val="center"/>
          </w:tcPr>
          <w:p w14:paraId="4A2EC43E">
            <w:pPr>
              <w:jc w:val="center"/>
              <w:rPr>
                <w:rFonts w:hint="eastAsia" w:ascii="Times New Roman" w:hAnsi="Times New Roman"/>
                <w:color w:val="auto"/>
                <w:szCs w:val="21"/>
              </w:rPr>
            </w:pPr>
            <w:r>
              <w:rPr>
                <w:rFonts w:hint="eastAsia" w:ascii="Times New Roman" w:hAnsi="Times New Roman"/>
                <w:bCs/>
                <w:color w:val="auto"/>
                <w:szCs w:val="21"/>
              </w:rPr>
              <w:t>进行综合</w:t>
            </w:r>
            <w:r>
              <w:rPr>
                <w:rFonts w:hint="eastAsia" w:ascii="Times New Roman" w:hAnsi="Times New Roman"/>
                <w:bCs/>
                <w:color w:val="auto"/>
                <w:szCs w:val="21"/>
                <w:lang w:val="en-US" w:eastAsia="zh-CN"/>
              </w:rPr>
              <w:t>处置</w:t>
            </w:r>
            <w:r>
              <w:rPr>
                <w:rFonts w:hint="eastAsia" w:ascii="Times New Roman" w:hAnsi="Times New Roman"/>
                <w:bCs/>
                <w:color w:val="auto"/>
                <w:szCs w:val="21"/>
              </w:rPr>
              <w:t>利用</w:t>
            </w:r>
          </w:p>
        </w:tc>
      </w:tr>
      <w:tr w14:paraId="70534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90" w:type="dxa"/>
            <w:noWrap w:val="0"/>
            <w:vAlign w:val="center"/>
          </w:tcPr>
          <w:p w14:paraId="0A4CFEBD">
            <w:pPr>
              <w:jc w:val="center"/>
              <w:rPr>
                <w:rFonts w:ascii="Times New Roman" w:hAnsi="Times New Roman"/>
                <w:color w:val="auto"/>
                <w:spacing w:val="-8"/>
                <w:szCs w:val="21"/>
              </w:rPr>
            </w:pPr>
            <w:r>
              <w:rPr>
                <w:rFonts w:ascii="Times New Roman" w:hAnsi="Times New Roman"/>
                <w:color w:val="auto"/>
                <w:spacing w:val="-8"/>
                <w:szCs w:val="21"/>
              </w:rPr>
              <w:t>环境风险防范措施</w:t>
            </w:r>
          </w:p>
        </w:tc>
        <w:tc>
          <w:tcPr>
            <w:tcW w:w="7818" w:type="dxa"/>
            <w:gridSpan w:val="4"/>
            <w:noWrap w:val="0"/>
            <w:vAlign w:val="center"/>
          </w:tcPr>
          <w:p w14:paraId="0C1DB177">
            <w:pPr>
              <w:spacing w:line="312" w:lineRule="auto"/>
              <w:jc w:val="left"/>
              <w:rPr>
                <w:rFonts w:ascii="Times New Roman" w:hAnsi="Times New Roman"/>
                <w:color w:val="auto"/>
              </w:rPr>
            </w:pPr>
            <w:r>
              <w:rPr>
                <w:rFonts w:ascii="Times New Roman" w:hAnsi="Times New Roman"/>
                <w:color w:val="auto"/>
              </w:rPr>
              <w:t>（1）加强对污染突发事故应急的安全知识教育，提高环境意识。</w:t>
            </w:r>
          </w:p>
          <w:p w14:paraId="15337DCF">
            <w:pPr>
              <w:spacing w:line="312" w:lineRule="auto"/>
              <w:jc w:val="left"/>
              <w:rPr>
                <w:rFonts w:ascii="Times New Roman" w:hAnsi="Times New Roman" w:eastAsia="宋体" w:cs="Times New Roman"/>
                <w:color w:val="auto"/>
              </w:rPr>
            </w:pPr>
            <w:r>
              <w:rPr>
                <w:rFonts w:ascii="Times New Roman" w:hAnsi="Times New Roman"/>
                <w:color w:val="auto"/>
              </w:rPr>
              <w:t>（2）</w:t>
            </w:r>
            <w:r>
              <w:rPr>
                <w:rFonts w:ascii="Times New Roman" w:hAnsi="Times New Roman" w:eastAsia="宋体" w:cs="Times New Roman"/>
                <w:color w:val="auto"/>
              </w:rPr>
              <w:t>加强车间原辅材料暂存管理，各种材料应分别存放，应有专人管理，加强防火。</w:t>
            </w:r>
          </w:p>
          <w:p w14:paraId="7BBB2E39">
            <w:pPr>
              <w:spacing w:line="312" w:lineRule="auto"/>
              <w:jc w:val="left"/>
              <w:rPr>
                <w:rFonts w:ascii="Times New Roman" w:hAnsi="Times New Roman" w:eastAsia="宋体" w:cs="Times New Roman"/>
                <w:color w:val="auto"/>
              </w:rPr>
            </w:pPr>
            <w:r>
              <w:rPr>
                <w:rFonts w:ascii="Times New Roman" w:hAnsi="Times New Roman" w:eastAsia="宋体" w:cs="Times New Roman"/>
                <w:color w:val="auto"/>
              </w:rPr>
              <w:t>（3）建设单位应定期对</w:t>
            </w:r>
            <w:r>
              <w:rPr>
                <w:rFonts w:hint="eastAsia" w:cs="Times New Roman"/>
                <w:color w:val="auto"/>
                <w:lang w:val="en-US" w:eastAsia="zh-CN"/>
              </w:rPr>
              <w:t>气瓶进行</w:t>
            </w:r>
            <w:r>
              <w:rPr>
                <w:rFonts w:ascii="Times New Roman" w:hAnsi="Times New Roman" w:eastAsia="宋体" w:cs="Times New Roman"/>
                <w:color w:val="auto"/>
              </w:rPr>
              <w:t>检查。设置报警器及其它自动安全措施</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做</w:t>
            </w:r>
            <w:r>
              <w:rPr>
                <w:rFonts w:ascii="Times New Roman" w:hAnsi="Times New Roman" w:eastAsia="宋体" w:cs="Times New Roman"/>
                <w:color w:val="auto"/>
              </w:rPr>
              <w:t>好消防措施，防止发生火灾。</w:t>
            </w:r>
          </w:p>
          <w:p w14:paraId="6CD70453">
            <w:pPr>
              <w:spacing w:line="312" w:lineRule="auto"/>
              <w:jc w:val="left"/>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（4）</w:t>
            </w:r>
            <w:r>
              <w:rPr>
                <w:rFonts w:hint="eastAsia" w:cs="Times New Roman"/>
                <w:color w:val="auto"/>
                <w:lang w:val="en-US" w:eastAsia="zh-CN"/>
              </w:rPr>
              <w:t>液态</w:t>
            </w:r>
            <w:r>
              <w:rPr>
                <w:rFonts w:hint="eastAsia" w:ascii="Times New Roman" w:hAnsi="Times New Roman" w:eastAsia="宋体" w:cs="Times New Roman"/>
                <w:color w:val="auto"/>
                <w:lang w:eastAsia="zh-CN"/>
              </w:rPr>
              <w:t>物料暂存于指定区域内，存放区地面全部硬化且设置围堰，以达到防腐防渗漏的目的。</w:t>
            </w:r>
          </w:p>
          <w:p w14:paraId="072216CE">
            <w:pPr>
              <w:spacing w:line="312" w:lineRule="auto"/>
              <w:jc w:val="left"/>
              <w:rPr>
                <w:color w:val="auto"/>
              </w:rPr>
            </w:pPr>
            <w:r>
              <w:rPr>
                <w:rFonts w:hint="eastAsia" w:ascii="Times New Roman" w:hAnsi="Times New Roman" w:eastAsia="宋体" w:cs="Times New Roman"/>
                <w:color w:val="auto"/>
                <w:lang w:eastAsia="zh-CN"/>
              </w:rPr>
              <w:t>（</w:t>
            </w:r>
            <w:r>
              <w:rPr>
                <w:rFonts w:hint="eastAsia" w:cs="Times New Roman"/>
                <w:color w:val="auto"/>
                <w:lang w:val="en-US" w:eastAsia="zh-CN"/>
              </w:rPr>
              <w:t>5</w:t>
            </w:r>
            <w:r>
              <w:rPr>
                <w:rFonts w:hint="eastAsia" w:ascii="Times New Roman" w:hAnsi="Times New Roman" w:eastAsia="宋体" w:cs="Times New Roman"/>
                <w:color w:val="auto"/>
                <w:lang w:eastAsia="zh-CN"/>
              </w:rPr>
              <w:t>）加强废气</w:t>
            </w:r>
            <w:r>
              <w:rPr>
                <w:rFonts w:hint="eastAsia" w:cs="Times New Roman"/>
                <w:color w:val="auto"/>
                <w:lang w:eastAsia="zh-CN"/>
              </w:rPr>
              <w:t>、</w:t>
            </w:r>
            <w:r>
              <w:rPr>
                <w:rFonts w:hint="eastAsia" w:cs="Times New Roman"/>
                <w:color w:val="auto"/>
                <w:lang w:val="en-US" w:eastAsia="zh-CN"/>
              </w:rPr>
              <w:t>废水</w:t>
            </w:r>
            <w:r>
              <w:rPr>
                <w:rFonts w:hint="eastAsia" w:ascii="Times New Roman" w:hAnsi="Times New Roman" w:eastAsia="宋体" w:cs="Times New Roman"/>
                <w:color w:val="auto"/>
                <w:lang w:eastAsia="zh-CN"/>
              </w:rPr>
              <w:t>治理设施的日常巡检维护，确保治理设施正常运行。</w:t>
            </w:r>
          </w:p>
        </w:tc>
      </w:tr>
      <w:tr w14:paraId="66FF1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90" w:type="dxa"/>
            <w:noWrap w:val="0"/>
            <w:vAlign w:val="center"/>
          </w:tcPr>
          <w:p w14:paraId="2D044136">
            <w:pPr>
              <w:jc w:val="center"/>
              <w:rPr>
                <w:rFonts w:ascii="Times New Roman" w:hAnsi="Times New Roman"/>
                <w:color w:val="auto"/>
                <w:spacing w:val="-8"/>
                <w:szCs w:val="21"/>
              </w:rPr>
            </w:pPr>
            <w:r>
              <w:rPr>
                <w:rFonts w:ascii="Times New Roman" w:hAnsi="Times New Roman"/>
                <w:color w:val="auto"/>
                <w:spacing w:val="-8"/>
                <w:szCs w:val="21"/>
              </w:rPr>
              <w:t>其他环境管理要求</w:t>
            </w:r>
          </w:p>
        </w:tc>
        <w:tc>
          <w:tcPr>
            <w:tcW w:w="7818" w:type="dxa"/>
            <w:gridSpan w:val="4"/>
            <w:noWrap w:val="0"/>
            <w:vAlign w:val="center"/>
          </w:tcPr>
          <w:p w14:paraId="255E0B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cs="Times New Roman"/>
                <w:b/>
                <w:bCs/>
                <w:color w:val="auto"/>
                <w:sz w:val="21"/>
                <w:szCs w:val="21"/>
              </w:rPr>
            </w:pPr>
            <w:r>
              <w:rPr>
                <w:rFonts w:ascii="Times New Roman" w:hAnsi="Times New Roman" w:eastAsia="宋体" w:cs="Times New Roman"/>
                <w:b w:val="0"/>
                <w:bCs w:val="0"/>
                <w:color w:val="auto"/>
                <w:kern w:val="2"/>
                <w:sz w:val="21"/>
                <w:szCs w:val="21"/>
                <w:lang w:val="en-US" w:eastAsia="zh-CN" w:bidi="ar-SA"/>
              </w:rPr>
              <w:t>1、</w:t>
            </w:r>
            <w:r>
              <w:rPr>
                <w:color w:val="auto"/>
                <w:sz w:val="21"/>
                <w:szCs w:val="21"/>
              </w:rPr>
              <w:t>根据《固定污染源排污许可分类管理名录</w:t>
            </w:r>
            <w:r>
              <w:rPr>
                <w:rFonts w:hint="eastAsia"/>
                <w:color w:val="auto"/>
                <w:sz w:val="21"/>
                <w:szCs w:val="21"/>
                <w:lang w:eastAsia="zh-CN"/>
              </w:rPr>
              <w:t>（</w:t>
            </w:r>
            <w:r>
              <w:rPr>
                <w:color w:val="auto"/>
                <w:sz w:val="21"/>
                <w:szCs w:val="21"/>
              </w:rPr>
              <w:t>2019年版</w:t>
            </w:r>
            <w:r>
              <w:rPr>
                <w:rFonts w:hint="eastAsia"/>
                <w:color w:val="auto"/>
                <w:sz w:val="21"/>
                <w:szCs w:val="21"/>
                <w:lang w:eastAsia="zh-CN"/>
              </w:rPr>
              <w:t>）</w:t>
            </w:r>
            <w:r>
              <w:rPr>
                <w:color w:val="auto"/>
                <w:sz w:val="21"/>
                <w:szCs w:val="21"/>
              </w:rPr>
              <w:t>》</w:t>
            </w:r>
            <w:r>
              <w:rPr>
                <w:rFonts w:hint="eastAsia"/>
                <w:color w:val="auto"/>
                <w:sz w:val="21"/>
                <w:szCs w:val="21"/>
                <w:lang w:eastAsia="zh-CN"/>
              </w:rPr>
              <w:t>（</w:t>
            </w:r>
            <w:r>
              <w:rPr>
                <w:color w:val="auto"/>
                <w:sz w:val="21"/>
                <w:szCs w:val="21"/>
              </w:rPr>
              <w:t>生态环境部第11号</w:t>
            </w:r>
            <w:r>
              <w:rPr>
                <w:rFonts w:hint="eastAsia"/>
                <w:color w:val="auto"/>
                <w:sz w:val="21"/>
                <w:szCs w:val="21"/>
                <w:lang w:eastAsia="zh-CN"/>
              </w:rPr>
              <w:t>）</w:t>
            </w:r>
            <w:r>
              <w:rPr>
                <w:color w:val="auto"/>
                <w:sz w:val="21"/>
                <w:szCs w:val="21"/>
              </w:rPr>
              <w:t>可知，本项目</w:t>
            </w:r>
            <w:r>
              <w:rPr>
                <w:rFonts w:hint="eastAsia"/>
                <w:color w:val="auto"/>
                <w:sz w:val="21"/>
                <w:szCs w:val="21"/>
                <w:lang w:eastAsia="zh-CN"/>
              </w:rPr>
              <w:t>属于“四十五、生态保护和环境治理业 77 103.环境治理业772”中的“</w:t>
            </w:r>
            <w:r>
              <w:rPr>
                <w:rFonts w:ascii="Helvetica" w:hAnsi="Helvetica" w:eastAsia="Helvetica" w:cs="Helvetica"/>
                <w:i w:val="0"/>
                <w:iCs w:val="0"/>
                <w:caps w:val="0"/>
                <w:color w:val="auto"/>
                <w:spacing w:val="0"/>
                <w:sz w:val="21"/>
                <w:szCs w:val="21"/>
                <w:shd w:val="clear" w:color="auto" w:fill="FFFFFF"/>
              </w:rPr>
              <w:t>专</w:t>
            </w:r>
            <w:r>
              <w:rPr>
                <w:rFonts w:hint="default" w:ascii="Helvetica" w:hAnsi="Helvetica" w:eastAsia="Helvetica" w:cs="Helvetica"/>
                <w:i w:val="0"/>
                <w:iCs w:val="0"/>
                <w:caps w:val="0"/>
                <w:color w:val="auto"/>
                <w:spacing w:val="0"/>
                <w:sz w:val="21"/>
                <w:szCs w:val="21"/>
                <w:shd w:val="clear" w:color="auto" w:fill="FFFFFF"/>
              </w:rPr>
              <w:t>业从事一般工业固体废物贮存、处置（含焚烧发电）的</w:t>
            </w:r>
            <w:r>
              <w:rPr>
                <w:rFonts w:hint="eastAsia"/>
                <w:color w:val="auto"/>
                <w:sz w:val="21"/>
                <w:szCs w:val="21"/>
                <w:lang w:eastAsia="zh-CN"/>
              </w:rPr>
              <w:t>”，</w:t>
            </w:r>
            <w:r>
              <w:rPr>
                <w:color w:val="auto"/>
                <w:sz w:val="21"/>
                <w:szCs w:val="21"/>
              </w:rPr>
              <w:t>应实行排污许可</w:t>
            </w:r>
            <w:r>
              <w:rPr>
                <w:rFonts w:hint="eastAsia"/>
                <w:color w:val="auto"/>
                <w:sz w:val="21"/>
                <w:szCs w:val="21"/>
                <w:lang w:val="en-US" w:eastAsia="zh-CN"/>
              </w:rPr>
              <w:t>重点管理</w:t>
            </w:r>
            <w:r>
              <w:rPr>
                <w:color w:val="auto"/>
                <w:sz w:val="21"/>
                <w:szCs w:val="21"/>
              </w:rPr>
              <w:t>，本项目投产前建设单位需要</w:t>
            </w:r>
            <w:r>
              <w:rPr>
                <w:rFonts w:hint="eastAsia"/>
                <w:color w:val="auto"/>
                <w:sz w:val="21"/>
                <w:szCs w:val="21"/>
                <w:lang w:val="en-US" w:eastAsia="zh-CN"/>
              </w:rPr>
              <w:t>完成排污许可证申领工作</w:t>
            </w:r>
            <w:r>
              <w:rPr>
                <w:color w:val="auto"/>
                <w:sz w:val="21"/>
                <w:szCs w:val="21"/>
              </w:rPr>
              <w:t>。管理类别见表</w:t>
            </w:r>
            <w:r>
              <w:rPr>
                <w:rFonts w:hint="eastAsia"/>
                <w:color w:val="auto"/>
                <w:sz w:val="21"/>
                <w:szCs w:val="21"/>
                <w:lang w:val="en-US" w:eastAsia="zh-CN"/>
              </w:rPr>
              <w:t>41</w:t>
            </w:r>
            <w:r>
              <w:rPr>
                <w:color w:val="auto"/>
                <w:sz w:val="21"/>
                <w:szCs w:val="21"/>
              </w:rPr>
              <w:t>。</w:t>
            </w:r>
          </w:p>
          <w:p w14:paraId="6693BA3D">
            <w:pPr>
              <w:pStyle w:val="22"/>
              <w:numPr>
                <w:ilvl w:val="0"/>
                <w:numId w:val="8"/>
              </w:numPr>
              <w:spacing w:before="120" w:beforeLines="50" w:after="0" w:line="240" w:lineRule="auto"/>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 xml:space="preserve"> 固定污染源排污许可分类管理名录</w:t>
            </w:r>
            <w:r>
              <w:rPr>
                <w:rFonts w:hint="eastAsia" w:ascii="Times New Roman" w:hAnsi="Times New Roman" w:cs="Times New Roman"/>
                <w:b/>
                <w:bCs/>
                <w:color w:val="auto"/>
                <w:sz w:val="24"/>
                <w:szCs w:val="24"/>
                <w:lang w:eastAsia="zh-CN"/>
              </w:rPr>
              <w:t>（</w:t>
            </w:r>
            <w:r>
              <w:rPr>
                <w:rFonts w:ascii="Times New Roman" w:hAnsi="Times New Roman" w:eastAsia="宋体" w:cs="Times New Roman"/>
                <w:b/>
                <w:bCs/>
                <w:color w:val="auto"/>
                <w:sz w:val="24"/>
                <w:szCs w:val="24"/>
              </w:rPr>
              <w:t>摘录</w:t>
            </w:r>
            <w:r>
              <w:rPr>
                <w:rFonts w:hint="eastAsia" w:ascii="Times New Roman" w:hAnsi="Times New Roman" w:cs="Times New Roman"/>
                <w:b/>
                <w:bCs/>
                <w:color w:val="auto"/>
                <w:sz w:val="24"/>
                <w:szCs w:val="24"/>
                <w:lang w:eastAsia="zh-CN"/>
              </w:rPr>
              <w:t>）</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01"/>
              <w:gridCol w:w="3072"/>
              <w:gridCol w:w="1433"/>
              <w:gridCol w:w="1179"/>
            </w:tblGrid>
            <w:tr w14:paraId="05092C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tcBorders>
                    <w:tl2br w:val="nil"/>
                    <w:tr2bl w:val="nil"/>
                  </w:tcBorders>
                  <w:shd w:val="clear" w:color="auto" w:fill="auto"/>
                  <w:noWrap w:val="0"/>
                  <w:vAlign w:val="center"/>
                </w:tcPr>
                <w:p w14:paraId="0BD6C669">
                  <w:pPr>
                    <w:spacing w:line="240" w:lineRule="auto"/>
                    <w:jc w:val="center"/>
                    <w:rPr>
                      <w:color w:val="auto"/>
                      <w:sz w:val="21"/>
                      <w:szCs w:val="21"/>
                    </w:rPr>
                  </w:pPr>
                  <w:r>
                    <w:rPr>
                      <w:color w:val="auto"/>
                      <w:sz w:val="21"/>
                      <w:szCs w:val="21"/>
                    </w:rPr>
                    <w:t>序号</w:t>
                  </w:r>
                </w:p>
              </w:tc>
              <w:tc>
                <w:tcPr>
                  <w:tcW w:w="790" w:type="pct"/>
                  <w:tcBorders>
                    <w:tl2br w:val="nil"/>
                    <w:tr2bl w:val="nil"/>
                  </w:tcBorders>
                  <w:shd w:val="clear" w:color="auto" w:fill="auto"/>
                  <w:noWrap w:val="0"/>
                  <w:vAlign w:val="center"/>
                </w:tcPr>
                <w:p w14:paraId="30801B89">
                  <w:pPr>
                    <w:spacing w:line="240" w:lineRule="auto"/>
                    <w:jc w:val="center"/>
                    <w:rPr>
                      <w:color w:val="auto"/>
                      <w:sz w:val="21"/>
                      <w:szCs w:val="21"/>
                    </w:rPr>
                  </w:pPr>
                  <w:r>
                    <w:rPr>
                      <w:color w:val="auto"/>
                      <w:sz w:val="21"/>
                      <w:szCs w:val="21"/>
                    </w:rPr>
                    <w:t>行业类别</w:t>
                  </w:r>
                </w:p>
              </w:tc>
              <w:tc>
                <w:tcPr>
                  <w:tcW w:w="2021" w:type="pct"/>
                  <w:tcBorders>
                    <w:tl2br w:val="nil"/>
                    <w:tr2bl w:val="nil"/>
                  </w:tcBorders>
                  <w:shd w:val="clear" w:color="auto" w:fill="D7D7D7" w:themeFill="background1" w:themeFillShade="D8"/>
                  <w:noWrap w:val="0"/>
                  <w:vAlign w:val="center"/>
                </w:tcPr>
                <w:p w14:paraId="77A0B9A8">
                  <w:pPr>
                    <w:spacing w:line="240" w:lineRule="auto"/>
                    <w:jc w:val="center"/>
                    <w:rPr>
                      <w:color w:val="auto"/>
                      <w:sz w:val="21"/>
                      <w:szCs w:val="21"/>
                      <w:shd w:val="clear" w:color="auto" w:fill="auto"/>
                    </w:rPr>
                  </w:pPr>
                  <w:r>
                    <w:rPr>
                      <w:color w:val="auto"/>
                      <w:sz w:val="21"/>
                      <w:szCs w:val="21"/>
                      <w:shd w:val="clear" w:color="auto" w:fill="auto"/>
                    </w:rPr>
                    <w:t>重点管理</w:t>
                  </w:r>
                </w:p>
              </w:tc>
              <w:tc>
                <w:tcPr>
                  <w:tcW w:w="943" w:type="pct"/>
                  <w:tcBorders>
                    <w:tl2br w:val="nil"/>
                    <w:tr2bl w:val="nil"/>
                  </w:tcBorders>
                  <w:shd w:val="clear" w:color="auto" w:fill="auto"/>
                  <w:noWrap w:val="0"/>
                  <w:vAlign w:val="center"/>
                </w:tcPr>
                <w:p w14:paraId="5349EB4C">
                  <w:pPr>
                    <w:spacing w:line="240" w:lineRule="auto"/>
                    <w:jc w:val="center"/>
                    <w:rPr>
                      <w:color w:val="auto"/>
                      <w:sz w:val="21"/>
                      <w:szCs w:val="21"/>
                    </w:rPr>
                  </w:pPr>
                  <w:r>
                    <w:rPr>
                      <w:color w:val="auto"/>
                      <w:sz w:val="21"/>
                      <w:szCs w:val="21"/>
                    </w:rPr>
                    <w:t>简化管理</w:t>
                  </w:r>
                </w:p>
              </w:tc>
              <w:tc>
                <w:tcPr>
                  <w:tcW w:w="774" w:type="pct"/>
                  <w:tcBorders>
                    <w:tl2br w:val="nil"/>
                    <w:tr2bl w:val="nil"/>
                  </w:tcBorders>
                  <w:shd w:val="clear" w:color="auto" w:fill="auto"/>
                  <w:noWrap w:val="0"/>
                  <w:vAlign w:val="center"/>
                </w:tcPr>
                <w:p w14:paraId="78BF93BE">
                  <w:pPr>
                    <w:spacing w:line="240" w:lineRule="auto"/>
                    <w:jc w:val="center"/>
                    <w:rPr>
                      <w:color w:val="auto"/>
                      <w:sz w:val="21"/>
                      <w:szCs w:val="21"/>
                      <w:shd w:val="clear" w:color="auto" w:fill="auto"/>
                    </w:rPr>
                  </w:pPr>
                  <w:r>
                    <w:rPr>
                      <w:color w:val="auto"/>
                      <w:sz w:val="21"/>
                      <w:szCs w:val="21"/>
                      <w:shd w:val="clear" w:color="auto" w:fill="auto"/>
                    </w:rPr>
                    <w:t>登记管理</w:t>
                  </w:r>
                </w:p>
              </w:tc>
            </w:tr>
            <w:tr w14:paraId="69785E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shd w:val="clear" w:color="auto" w:fill="D7D7D7" w:themeFill="background1" w:themeFillShade="D8"/>
                  <w:noWrap w:val="0"/>
                  <w:vAlign w:val="center"/>
                </w:tcPr>
                <w:p w14:paraId="6A4A427B">
                  <w:pPr>
                    <w:spacing w:line="240" w:lineRule="auto"/>
                    <w:jc w:val="center"/>
                    <w:rPr>
                      <w:color w:val="auto"/>
                      <w:sz w:val="21"/>
                      <w:szCs w:val="21"/>
                      <w:shd w:val="clear" w:color="auto" w:fill="auto"/>
                    </w:rPr>
                  </w:pPr>
                  <w:r>
                    <w:rPr>
                      <w:rFonts w:hint="eastAsia"/>
                      <w:color w:val="auto"/>
                      <w:sz w:val="21"/>
                      <w:szCs w:val="21"/>
                      <w:shd w:val="clear" w:color="auto" w:fill="auto"/>
                    </w:rPr>
                    <w:t>四十五、生态保护和环境治理业 77</w:t>
                  </w:r>
                </w:p>
              </w:tc>
            </w:tr>
            <w:tr w14:paraId="2EC659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 w:type="pct"/>
                  <w:tcBorders>
                    <w:tl2br w:val="nil"/>
                    <w:tr2bl w:val="nil"/>
                  </w:tcBorders>
                  <w:shd w:val="clear" w:color="auto" w:fill="auto"/>
                  <w:noWrap w:val="0"/>
                  <w:vAlign w:val="center"/>
                </w:tcPr>
                <w:p w14:paraId="69D67394">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103</w:t>
                  </w:r>
                </w:p>
              </w:tc>
              <w:tc>
                <w:tcPr>
                  <w:tcW w:w="790" w:type="pct"/>
                  <w:tcBorders>
                    <w:tl2br w:val="nil"/>
                    <w:tr2bl w:val="nil"/>
                  </w:tcBorders>
                  <w:shd w:val="clear" w:color="auto" w:fill="auto"/>
                  <w:noWrap w:val="0"/>
                  <w:vAlign w:val="center"/>
                </w:tcPr>
                <w:p w14:paraId="0BDD253D">
                  <w:pPr>
                    <w:spacing w:line="240" w:lineRule="auto"/>
                    <w:jc w:val="center"/>
                    <w:rPr>
                      <w:color w:val="auto"/>
                      <w:sz w:val="21"/>
                      <w:szCs w:val="21"/>
                    </w:rPr>
                  </w:pPr>
                  <w:r>
                    <w:rPr>
                      <w:rFonts w:hint="eastAsia"/>
                      <w:color w:val="auto"/>
                      <w:sz w:val="21"/>
                      <w:szCs w:val="21"/>
                    </w:rPr>
                    <w:t>环境治理业772</w:t>
                  </w:r>
                </w:p>
              </w:tc>
              <w:tc>
                <w:tcPr>
                  <w:tcW w:w="2021" w:type="pct"/>
                  <w:tcBorders>
                    <w:tl2br w:val="nil"/>
                    <w:tr2bl w:val="nil"/>
                  </w:tcBorders>
                  <w:shd w:val="clear" w:color="auto" w:fill="D7D7D7" w:themeFill="background1" w:themeFillShade="D8"/>
                  <w:noWrap w:val="0"/>
                  <w:vAlign w:val="center"/>
                </w:tcPr>
                <w:p w14:paraId="262CB0B6">
                  <w:pPr>
                    <w:spacing w:line="240" w:lineRule="auto"/>
                    <w:jc w:val="center"/>
                    <w:rPr>
                      <w:color w:val="auto"/>
                      <w:sz w:val="21"/>
                      <w:szCs w:val="21"/>
                      <w:shd w:val="clear" w:color="auto" w:fill="auto"/>
                    </w:rPr>
                  </w:pPr>
                  <w:r>
                    <w:rPr>
                      <w:rFonts w:hint="eastAsia"/>
                      <w:color w:val="auto"/>
                      <w:sz w:val="21"/>
                      <w:szCs w:val="21"/>
                      <w:shd w:val="clear" w:color="auto" w:fill="auto"/>
                    </w:rPr>
                    <w:t>专业从事危险废物贮存、利用、处理、处置（含焚烧发电）的，专业从事一般工业固体废物贮存、处置（含焚烧发电）的</w:t>
                  </w:r>
                </w:p>
              </w:tc>
              <w:tc>
                <w:tcPr>
                  <w:tcW w:w="943" w:type="pct"/>
                  <w:tcBorders>
                    <w:tl2br w:val="nil"/>
                    <w:tr2bl w:val="nil"/>
                  </w:tcBorders>
                  <w:shd w:val="clear" w:color="auto" w:fill="auto"/>
                  <w:noWrap w:val="0"/>
                  <w:vAlign w:val="center"/>
                </w:tcPr>
                <w:p w14:paraId="430D2668">
                  <w:pPr>
                    <w:spacing w:line="240" w:lineRule="auto"/>
                    <w:jc w:val="center"/>
                    <w:rPr>
                      <w:rFonts w:hint="eastAsia" w:eastAsia="宋体"/>
                      <w:color w:val="auto"/>
                      <w:sz w:val="21"/>
                      <w:szCs w:val="21"/>
                      <w:shd w:val="clear" w:color="auto" w:fill="auto"/>
                      <w:lang w:val="en-US" w:eastAsia="zh-CN"/>
                    </w:rPr>
                  </w:pPr>
                  <w:r>
                    <w:rPr>
                      <w:rFonts w:hint="eastAsia"/>
                      <w:color w:val="auto"/>
                      <w:sz w:val="21"/>
                      <w:szCs w:val="21"/>
                      <w:shd w:val="clear" w:color="auto" w:fill="auto"/>
                      <w:lang w:val="en-US" w:eastAsia="zh-CN"/>
                    </w:rPr>
                    <w:t>/</w:t>
                  </w:r>
                </w:p>
              </w:tc>
              <w:tc>
                <w:tcPr>
                  <w:tcW w:w="774" w:type="pct"/>
                  <w:tcBorders>
                    <w:tl2br w:val="nil"/>
                    <w:tr2bl w:val="nil"/>
                  </w:tcBorders>
                  <w:shd w:val="clear" w:color="auto" w:fill="auto"/>
                  <w:noWrap w:val="0"/>
                  <w:vAlign w:val="center"/>
                </w:tcPr>
                <w:p w14:paraId="09B2FCE4">
                  <w:pPr>
                    <w:spacing w:line="240" w:lineRule="auto"/>
                    <w:jc w:val="center"/>
                    <w:rPr>
                      <w:rFonts w:hint="eastAsia" w:eastAsia="宋体"/>
                      <w:color w:val="auto"/>
                      <w:sz w:val="21"/>
                      <w:szCs w:val="21"/>
                      <w:shd w:val="clear" w:color="auto" w:fill="auto"/>
                      <w:lang w:val="en-US" w:eastAsia="zh-CN"/>
                    </w:rPr>
                  </w:pPr>
                  <w:r>
                    <w:rPr>
                      <w:rFonts w:hint="eastAsia"/>
                      <w:color w:val="auto"/>
                      <w:sz w:val="21"/>
                      <w:szCs w:val="21"/>
                      <w:shd w:val="clear" w:color="auto" w:fill="auto"/>
                      <w:lang w:val="en-US" w:eastAsia="zh-CN"/>
                    </w:rPr>
                    <w:t>/</w:t>
                  </w:r>
                </w:p>
              </w:tc>
            </w:tr>
          </w:tbl>
          <w:p w14:paraId="5CB13A25">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ascii="Times New Roman" w:hAnsi="Times New Roman"/>
                <w:color w:val="auto"/>
                <w:kern w:val="0"/>
                <w:szCs w:val="21"/>
              </w:rPr>
            </w:pPr>
            <w:r>
              <w:rPr>
                <w:rFonts w:hint="eastAsia" w:ascii="Times New Roman" w:hAnsi="Times New Roman"/>
                <w:color w:val="auto"/>
                <w:kern w:val="0"/>
                <w:szCs w:val="21"/>
                <w:lang w:val="en-US" w:eastAsia="zh-CN"/>
              </w:rPr>
              <w:t>2</w:t>
            </w:r>
            <w:r>
              <w:rPr>
                <w:rFonts w:ascii="Times New Roman" w:hAnsi="Times New Roman"/>
                <w:color w:val="auto"/>
                <w:kern w:val="0"/>
                <w:szCs w:val="21"/>
              </w:rPr>
              <w:t>、环境监测：根据《排污单位自行监测技术指南-总则》（2017 年6 月1 日实施），排污单位应查清所有污染源，确定主要污染源及主要监测指标，制定监测方案。监测方案内容包括：单位基本情况、监测点位及示意图、监测指标、执行标准及其限值、监测频次、采样和样品保存方法、监测分析方法和仪器、质量保证与质量控制等。在投入生产或使用并产生实际排污行为之前完成自行监测方案的编制及相关准备工作。</w:t>
            </w:r>
          </w:p>
          <w:p w14:paraId="667BB98A">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ascii="Times New Roman" w:hAnsi="Times New Roman"/>
                <w:color w:val="auto"/>
                <w:kern w:val="0"/>
                <w:szCs w:val="21"/>
              </w:rPr>
            </w:pPr>
            <w:r>
              <w:rPr>
                <w:rFonts w:ascii="Times New Roman" w:hAnsi="Times New Roman"/>
                <w:color w:val="auto"/>
                <w:kern w:val="0"/>
                <w:szCs w:val="21"/>
              </w:rPr>
              <w:t>按照最新的监测方案开展监测活动，可根据自身条件和能力，利用自有人员、场所和设备自行监测；也可委托其它有资质的检（监）测机构代其开展自行监测。建立自行监测</w:t>
            </w:r>
            <w:r>
              <w:rPr>
                <w:rFonts w:hint="eastAsia"/>
                <w:color w:val="auto"/>
                <w:kern w:val="0"/>
                <w:szCs w:val="21"/>
                <w:lang w:eastAsia="zh-CN"/>
              </w:rPr>
              <w:t>质量</w:t>
            </w:r>
            <w:r>
              <w:rPr>
                <w:rFonts w:ascii="Times New Roman" w:hAnsi="Times New Roman"/>
                <w:color w:val="auto"/>
                <w:kern w:val="0"/>
                <w:szCs w:val="21"/>
              </w:rPr>
              <w:t>管理制度，按照相关技术规范要求做好监测质量保证与质量控制；做好与监测相关的数据记录，按照规定进行保存，并依据相关法规向社会公开监测结果。</w:t>
            </w:r>
          </w:p>
          <w:p w14:paraId="3D4713C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3、排污口规范化管理要求：</w:t>
            </w:r>
            <w:r>
              <w:rPr>
                <w:rFonts w:hint="default" w:ascii="Times New Roman" w:hAnsi="Times New Roman" w:eastAsia="宋体" w:cs="Times New Roman"/>
                <w:color w:val="auto"/>
                <w:kern w:val="0"/>
                <w:szCs w:val="21"/>
                <w:lang w:val="en-US" w:eastAsia="zh-CN"/>
              </w:rPr>
              <w:t>按照《国家环境保护总局关于开展排放口规范化整治工作的通知》（2006年6月5日修正版）和《排污口规范化整治技术要求（试行）》（环监〔1996〕470号）等文件要求，进行新增排污口规范化设置工作。排污口规范化建设：①废气排气筒预留监测口并设立相应标志牌；②按照《固定源废气监测技术规范》（HJ/T397-2007）要求设置采样孔，必要时应设置采样平台，采样平台应有足够的工作面积使工作人员安全、方便地操作。</w:t>
            </w:r>
          </w:p>
          <w:p w14:paraId="7933456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项目排污口规范化图标按照相关规范要求进行，具体详见表42。</w:t>
            </w:r>
          </w:p>
          <w:p w14:paraId="620570A6">
            <w:pPr>
              <w:pStyle w:val="22"/>
              <w:numPr>
                <w:ilvl w:val="0"/>
                <w:numId w:val="8"/>
              </w:numPr>
              <w:spacing w:before="120" w:beforeLines="50" w:after="0" w:line="240" w:lineRule="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 xml:space="preserve"> </w:t>
            </w:r>
            <w:r>
              <w:rPr>
                <w:rFonts w:ascii="Times New Roman" w:hAnsi="Times New Roman" w:eastAsia="宋体" w:cs="Times New Roman"/>
                <w:b/>
                <w:bCs/>
                <w:color w:val="auto"/>
                <w:sz w:val="24"/>
                <w:szCs w:val="24"/>
              </w:rPr>
              <w:t>排污口（源）标志牌设置示意图</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45"/>
              <w:gridCol w:w="1321"/>
              <w:gridCol w:w="1330"/>
              <w:gridCol w:w="1330"/>
              <w:gridCol w:w="1538"/>
              <w:gridCol w:w="1235"/>
            </w:tblGrid>
            <w:tr w14:paraId="34CF73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72" w:type="pct"/>
                  <w:tcBorders>
                    <w:tl2br w:val="nil"/>
                    <w:tr2bl w:val="nil"/>
                  </w:tcBorders>
                  <w:noWrap w:val="0"/>
                  <w:vAlign w:val="center"/>
                </w:tcPr>
                <w:p w14:paraId="712A19A6">
                  <w:pPr>
                    <w:pStyle w:val="245"/>
                    <w:rPr>
                      <w:color w:val="auto"/>
                      <w:sz w:val="21"/>
                      <w:szCs w:val="21"/>
                    </w:rPr>
                  </w:pPr>
                  <w:r>
                    <w:rPr>
                      <w:color w:val="auto"/>
                      <w:sz w:val="21"/>
                      <w:szCs w:val="21"/>
                    </w:rPr>
                    <w:t>名称</w:t>
                  </w:r>
                </w:p>
              </w:tc>
              <w:tc>
                <w:tcPr>
                  <w:tcW w:w="885" w:type="pct"/>
                  <w:tcBorders>
                    <w:tl2br w:val="nil"/>
                    <w:tr2bl w:val="nil"/>
                  </w:tcBorders>
                  <w:noWrap w:val="0"/>
                  <w:vAlign w:val="center"/>
                </w:tcPr>
                <w:p w14:paraId="141788C3">
                  <w:pPr>
                    <w:pStyle w:val="245"/>
                    <w:rPr>
                      <w:color w:val="auto"/>
                      <w:sz w:val="21"/>
                      <w:szCs w:val="21"/>
                    </w:rPr>
                  </w:pPr>
                  <w:r>
                    <w:rPr>
                      <w:color w:val="auto"/>
                      <w:sz w:val="21"/>
                      <w:szCs w:val="21"/>
                    </w:rPr>
                    <w:t>噪声排放源</w:t>
                  </w:r>
                </w:p>
              </w:tc>
              <w:tc>
                <w:tcPr>
                  <w:tcW w:w="885" w:type="pct"/>
                  <w:tcBorders>
                    <w:tl2br w:val="nil"/>
                    <w:tr2bl w:val="nil"/>
                  </w:tcBorders>
                  <w:noWrap w:val="0"/>
                  <w:vAlign w:val="center"/>
                </w:tcPr>
                <w:p w14:paraId="5EEFA18A">
                  <w:pPr>
                    <w:pStyle w:val="245"/>
                    <w:rPr>
                      <w:color w:val="auto"/>
                      <w:sz w:val="21"/>
                      <w:szCs w:val="21"/>
                    </w:rPr>
                  </w:pPr>
                  <w:r>
                    <w:rPr>
                      <w:color w:val="auto"/>
                      <w:sz w:val="21"/>
                      <w:szCs w:val="21"/>
                    </w:rPr>
                    <w:t>废气排放口</w:t>
                  </w:r>
                </w:p>
              </w:tc>
              <w:tc>
                <w:tcPr>
                  <w:tcW w:w="885" w:type="pct"/>
                  <w:tcBorders>
                    <w:tl2br w:val="nil"/>
                    <w:tr2bl w:val="nil"/>
                  </w:tcBorders>
                  <w:noWrap w:val="0"/>
                  <w:vAlign w:val="center"/>
                </w:tcPr>
                <w:p w14:paraId="4E68A49F">
                  <w:pPr>
                    <w:pStyle w:val="245"/>
                    <w:rPr>
                      <w:color w:val="auto"/>
                      <w:sz w:val="21"/>
                      <w:szCs w:val="21"/>
                    </w:rPr>
                  </w:pPr>
                  <w:r>
                    <w:rPr>
                      <w:color w:val="auto"/>
                      <w:sz w:val="21"/>
                      <w:szCs w:val="21"/>
                    </w:rPr>
                    <w:t>废水排放口</w:t>
                  </w:r>
                </w:p>
              </w:tc>
              <w:tc>
                <w:tcPr>
                  <w:tcW w:w="1038" w:type="pct"/>
                  <w:tcBorders>
                    <w:tl2br w:val="nil"/>
                    <w:tr2bl w:val="nil"/>
                  </w:tcBorders>
                  <w:noWrap w:val="0"/>
                  <w:vAlign w:val="center"/>
                </w:tcPr>
                <w:p w14:paraId="748E71DC">
                  <w:pPr>
                    <w:pStyle w:val="245"/>
                    <w:rPr>
                      <w:color w:val="auto"/>
                      <w:sz w:val="21"/>
                      <w:szCs w:val="21"/>
                    </w:rPr>
                  </w:pPr>
                  <w:r>
                    <w:rPr>
                      <w:color w:val="auto"/>
                      <w:sz w:val="21"/>
                      <w:szCs w:val="21"/>
                    </w:rPr>
                    <w:t>固体废物</w:t>
                  </w:r>
                </w:p>
              </w:tc>
              <w:tc>
                <w:tcPr>
                  <w:tcW w:w="733" w:type="pct"/>
                  <w:tcBorders>
                    <w:tl2br w:val="nil"/>
                    <w:tr2bl w:val="nil"/>
                  </w:tcBorders>
                  <w:noWrap w:val="0"/>
                  <w:vAlign w:val="center"/>
                </w:tcPr>
                <w:p w14:paraId="4D4AD0D8">
                  <w:pPr>
                    <w:pStyle w:val="245"/>
                    <w:rPr>
                      <w:color w:val="auto"/>
                      <w:sz w:val="21"/>
                      <w:szCs w:val="21"/>
                    </w:rPr>
                  </w:pPr>
                  <w:r>
                    <w:rPr>
                      <w:color w:val="auto"/>
                      <w:sz w:val="21"/>
                      <w:szCs w:val="21"/>
                    </w:rPr>
                    <w:t>危险废物</w:t>
                  </w:r>
                </w:p>
              </w:tc>
            </w:tr>
            <w:tr w14:paraId="61E996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72" w:type="pct"/>
                  <w:tcBorders>
                    <w:tl2br w:val="nil"/>
                    <w:tr2bl w:val="nil"/>
                  </w:tcBorders>
                  <w:noWrap w:val="0"/>
                  <w:vAlign w:val="center"/>
                </w:tcPr>
                <w:p w14:paraId="6E2659F7">
                  <w:pPr>
                    <w:pStyle w:val="245"/>
                    <w:rPr>
                      <w:color w:val="auto"/>
                      <w:sz w:val="21"/>
                      <w:szCs w:val="21"/>
                    </w:rPr>
                  </w:pPr>
                  <w:r>
                    <w:rPr>
                      <w:color w:val="auto"/>
                      <w:sz w:val="21"/>
                      <w:szCs w:val="21"/>
                    </w:rPr>
                    <w:t>提示图形符号</w:t>
                  </w:r>
                </w:p>
              </w:tc>
              <w:tc>
                <w:tcPr>
                  <w:tcW w:w="885" w:type="pct"/>
                  <w:tcBorders>
                    <w:tl2br w:val="nil"/>
                    <w:tr2bl w:val="nil"/>
                  </w:tcBorders>
                  <w:noWrap w:val="0"/>
                  <w:vAlign w:val="center"/>
                </w:tcPr>
                <w:p w14:paraId="15C0C641">
                  <w:pPr>
                    <w:pStyle w:val="245"/>
                    <w:rPr>
                      <w:color w:val="auto"/>
                      <w:sz w:val="21"/>
                      <w:szCs w:val="21"/>
                    </w:rPr>
                  </w:pPr>
                  <w:r>
                    <w:rPr>
                      <w:color w:val="auto"/>
                      <w:sz w:val="21"/>
                      <w:szCs w:val="21"/>
                    </w:rPr>
                    <w:drawing>
                      <wp:inline distT="0" distB="0" distL="114300" distR="114300">
                        <wp:extent cx="801370" cy="846455"/>
                        <wp:effectExtent l="0" t="0" r="17780" b="10795"/>
                        <wp:docPr id="104" name="图片 6" descr="u=1808867809,393287473&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6" descr="u=1808867809,393287473&amp;fm=21&amp;gp=0"/>
                                <pic:cNvPicPr>
                                  <a:picLocks noChangeAspect="1"/>
                                </pic:cNvPicPr>
                              </pic:nvPicPr>
                              <pic:blipFill>
                                <a:blip r:embed="rId18"/>
                                <a:srcRect l="607" b="3244"/>
                                <a:stretch>
                                  <a:fillRect/>
                                </a:stretch>
                              </pic:blipFill>
                              <pic:spPr>
                                <a:xfrm>
                                  <a:off x="0" y="0"/>
                                  <a:ext cx="801370" cy="846455"/>
                                </a:xfrm>
                                <a:prstGeom prst="rect">
                                  <a:avLst/>
                                </a:prstGeom>
                                <a:noFill/>
                                <a:ln>
                                  <a:noFill/>
                                </a:ln>
                              </pic:spPr>
                            </pic:pic>
                          </a:graphicData>
                        </a:graphic>
                      </wp:inline>
                    </w:drawing>
                  </w:r>
                </w:p>
              </w:tc>
              <w:tc>
                <w:tcPr>
                  <w:tcW w:w="885" w:type="pct"/>
                  <w:tcBorders>
                    <w:tl2br w:val="nil"/>
                    <w:tr2bl w:val="nil"/>
                  </w:tcBorders>
                  <w:noWrap w:val="0"/>
                  <w:vAlign w:val="center"/>
                </w:tcPr>
                <w:p w14:paraId="7A5FFC30">
                  <w:pPr>
                    <w:pStyle w:val="245"/>
                    <w:rPr>
                      <w:color w:val="auto"/>
                      <w:sz w:val="21"/>
                      <w:szCs w:val="21"/>
                    </w:rPr>
                  </w:pPr>
                  <w:r>
                    <w:rPr>
                      <w:color w:val="auto"/>
                      <w:sz w:val="21"/>
                      <w:szCs w:val="21"/>
                    </w:rPr>
                    <w:drawing>
                      <wp:inline distT="0" distB="0" distL="114300" distR="114300">
                        <wp:extent cx="828675" cy="828675"/>
                        <wp:effectExtent l="0" t="0" r="9525" b="9525"/>
                        <wp:docPr id="94" name="图片 7" descr="1639996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 descr="1639996266(1)"/>
                                <pic:cNvPicPr>
                                  <a:picLocks noChangeAspect="1"/>
                                </pic:cNvPicPr>
                              </pic:nvPicPr>
                              <pic:blipFill>
                                <a:blip r:embed="rId19"/>
                                <a:stretch>
                                  <a:fillRect/>
                                </a:stretch>
                              </pic:blipFill>
                              <pic:spPr>
                                <a:xfrm>
                                  <a:off x="0" y="0"/>
                                  <a:ext cx="828675" cy="828675"/>
                                </a:xfrm>
                                <a:prstGeom prst="rect">
                                  <a:avLst/>
                                </a:prstGeom>
                                <a:noFill/>
                                <a:ln>
                                  <a:noFill/>
                                </a:ln>
                              </pic:spPr>
                            </pic:pic>
                          </a:graphicData>
                        </a:graphic>
                      </wp:inline>
                    </w:drawing>
                  </w:r>
                </w:p>
              </w:tc>
              <w:tc>
                <w:tcPr>
                  <w:tcW w:w="885" w:type="pct"/>
                  <w:tcBorders>
                    <w:tl2br w:val="nil"/>
                    <w:tr2bl w:val="nil"/>
                  </w:tcBorders>
                  <w:noWrap w:val="0"/>
                  <w:vAlign w:val="center"/>
                </w:tcPr>
                <w:p w14:paraId="7C5AA208">
                  <w:pPr>
                    <w:pStyle w:val="245"/>
                    <w:rPr>
                      <w:rFonts w:eastAsia="仿宋_GB2312"/>
                      <w:color w:val="auto"/>
                      <w:sz w:val="21"/>
                      <w:szCs w:val="21"/>
                    </w:rPr>
                  </w:pPr>
                  <w:r>
                    <w:rPr>
                      <w:color w:val="auto"/>
                      <w:sz w:val="21"/>
                      <w:szCs w:val="21"/>
                    </w:rPr>
                    <w:drawing>
                      <wp:inline distT="0" distB="0" distL="114300" distR="114300">
                        <wp:extent cx="825500" cy="825500"/>
                        <wp:effectExtent l="0" t="0" r="12700" b="12700"/>
                        <wp:docPr id="96" name="图片 8" descr="点击看大图及详细资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 descr="点击看大图及详细资料"/>
                                <pic:cNvPicPr>
                                  <a:picLocks noChangeAspect="1"/>
                                </pic:cNvPicPr>
                              </pic:nvPicPr>
                              <pic:blipFill>
                                <a:blip r:embed="rId20"/>
                                <a:stretch>
                                  <a:fillRect/>
                                </a:stretch>
                              </pic:blipFill>
                              <pic:spPr>
                                <a:xfrm>
                                  <a:off x="0" y="0"/>
                                  <a:ext cx="825500" cy="825500"/>
                                </a:xfrm>
                                <a:prstGeom prst="rect">
                                  <a:avLst/>
                                </a:prstGeom>
                                <a:noFill/>
                                <a:ln>
                                  <a:noFill/>
                                </a:ln>
                              </pic:spPr>
                            </pic:pic>
                          </a:graphicData>
                        </a:graphic>
                      </wp:inline>
                    </w:drawing>
                  </w:r>
                </w:p>
              </w:tc>
              <w:tc>
                <w:tcPr>
                  <w:tcW w:w="1038" w:type="pct"/>
                  <w:tcBorders>
                    <w:tl2br w:val="nil"/>
                    <w:tr2bl w:val="nil"/>
                  </w:tcBorders>
                  <w:noWrap w:val="0"/>
                  <w:vAlign w:val="center"/>
                </w:tcPr>
                <w:p w14:paraId="34CBC85B">
                  <w:pPr>
                    <w:pStyle w:val="245"/>
                    <w:rPr>
                      <w:color w:val="auto"/>
                      <w:sz w:val="21"/>
                      <w:szCs w:val="21"/>
                    </w:rPr>
                  </w:pPr>
                  <w:r>
                    <w:rPr>
                      <w:color w:val="auto"/>
                      <w:sz w:val="21"/>
                      <w:szCs w:val="21"/>
                    </w:rPr>
                    <w:drawing>
                      <wp:inline distT="0" distB="0" distL="114300" distR="114300">
                        <wp:extent cx="864870" cy="896620"/>
                        <wp:effectExtent l="0" t="0" r="11430" b="17780"/>
                        <wp:docPr id="95" name="图片 9" descr="4385239_17160404327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 descr="4385239_171604043274_2"/>
                                <pic:cNvPicPr>
                                  <a:picLocks noChangeAspect="1"/>
                                </pic:cNvPicPr>
                              </pic:nvPicPr>
                              <pic:blipFill>
                                <a:blip r:embed="rId21"/>
                                <a:stretch>
                                  <a:fillRect/>
                                </a:stretch>
                              </pic:blipFill>
                              <pic:spPr>
                                <a:xfrm>
                                  <a:off x="0" y="0"/>
                                  <a:ext cx="864870" cy="896620"/>
                                </a:xfrm>
                                <a:prstGeom prst="rect">
                                  <a:avLst/>
                                </a:prstGeom>
                                <a:noFill/>
                                <a:ln>
                                  <a:noFill/>
                                </a:ln>
                              </pic:spPr>
                            </pic:pic>
                          </a:graphicData>
                        </a:graphic>
                      </wp:inline>
                    </w:drawing>
                  </w:r>
                </w:p>
              </w:tc>
              <w:tc>
                <w:tcPr>
                  <w:tcW w:w="733" w:type="pct"/>
                  <w:tcBorders>
                    <w:tl2br w:val="nil"/>
                    <w:tr2bl w:val="nil"/>
                  </w:tcBorders>
                  <w:noWrap w:val="0"/>
                  <w:vAlign w:val="center"/>
                </w:tcPr>
                <w:p w14:paraId="3F55C534">
                  <w:pPr>
                    <w:pStyle w:val="245"/>
                    <w:rPr>
                      <w:color w:val="auto"/>
                      <w:sz w:val="21"/>
                      <w:szCs w:val="21"/>
                    </w:rPr>
                  </w:pPr>
                  <w:r>
                    <w:rPr>
                      <w:color w:val="auto"/>
                      <w:sz w:val="21"/>
                      <w:szCs w:val="21"/>
                    </w:rPr>
                    <w:drawing>
                      <wp:inline distT="0" distB="0" distL="114300" distR="114300">
                        <wp:extent cx="775335" cy="578485"/>
                        <wp:effectExtent l="0" t="0" r="5715" b="12065"/>
                        <wp:docPr id="9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
                                <pic:cNvPicPr>
                                  <a:picLocks noChangeAspect="1"/>
                                </pic:cNvPicPr>
                              </pic:nvPicPr>
                              <pic:blipFill>
                                <a:blip r:embed="rId22"/>
                                <a:stretch>
                                  <a:fillRect/>
                                </a:stretch>
                              </pic:blipFill>
                              <pic:spPr>
                                <a:xfrm>
                                  <a:off x="0" y="0"/>
                                  <a:ext cx="775335" cy="578485"/>
                                </a:xfrm>
                                <a:prstGeom prst="rect">
                                  <a:avLst/>
                                </a:prstGeom>
                                <a:noFill/>
                                <a:ln>
                                  <a:noFill/>
                                </a:ln>
                              </pic:spPr>
                            </pic:pic>
                          </a:graphicData>
                        </a:graphic>
                      </wp:inline>
                    </w:drawing>
                  </w:r>
                </w:p>
              </w:tc>
            </w:tr>
            <w:tr w14:paraId="73A4D4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72" w:type="pct"/>
                  <w:tcBorders>
                    <w:tl2br w:val="nil"/>
                    <w:tr2bl w:val="nil"/>
                  </w:tcBorders>
                  <w:noWrap w:val="0"/>
                  <w:vAlign w:val="center"/>
                </w:tcPr>
                <w:p w14:paraId="759E04E4">
                  <w:pPr>
                    <w:pStyle w:val="245"/>
                    <w:rPr>
                      <w:color w:val="auto"/>
                      <w:sz w:val="21"/>
                      <w:szCs w:val="21"/>
                    </w:rPr>
                  </w:pPr>
                  <w:r>
                    <w:rPr>
                      <w:color w:val="auto"/>
                      <w:sz w:val="21"/>
                      <w:szCs w:val="21"/>
                    </w:rPr>
                    <w:t>功能</w:t>
                  </w:r>
                </w:p>
              </w:tc>
              <w:tc>
                <w:tcPr>
                  <w:tcW w:w="885" w:type="pct"/>
                  <w:tcBorders>
                    <w:tl2br w:val="nil"/>
                    <w:tr2bl w:val="nil"/>
                  </w:tcBorders>
                  <w:noWrap w:val="0"/>
                  <w:vAlign w:val="center"/>
                </w:tcPr>
                <w:p w14:paraId="3273AF61">
                  <w:pPr>
                    <w:pStyle w:val="245"/>
                    <w:rPr>
                      <w:color w:val="auto"/>
                      <w:sz w:val="21"/>
                      <w:szCs w:val="21"/>
                    </w:rPr>
                  </w:pPr>
                  <w:r>
                    <w:rPr>
                      <w:color w:val="auto"/>
                      <w:sz w:val="21"/>
                      <w:szCs w:val="21"/>
                    </w:rPr>
                    <w:t>表示噪声向外环境排放</w:t>
                  </w:r>
                </w:p>
              </w:tc>
              <w:tc>
                <w:tcPr>
                  <w:tcW w:w="885" w:type="pct"/>
                  <w:tcBorders>
                    <w:tl2br w:val="nil"/>
                    <w:tr2bl w:val="nil"/>
                  </w:tcBorders>
                  <w:noWrap w:val="0"/>
                  <w:vAlign w:val="center"/>
                </w:tcPr>
                <w:p w14:paraId="0DAC3BAE">
                  <w:pPr>
                    <w:pStyle w:val="245"/>
                    <w:rPr>
                      <w:color w:val="auto"/>
                      <w:sz w:val="21"/>
                      <w:szCs w:val="21"/>
                    </w:rPr>
                  </w:pPr>
                  <w:r>
                    <w:rPr>
                      <w:color w:val="auto"/>
                      <w:sz w:val="21"/>
                      <w:szCs w:val="21"/>
                    </w:rPr>
                    <w:t>表示废气向大气环境排放</w:t>
                  </w:r>
                </w:p>
              </w:tc>
              <w:tc>
                <w:tcPr>
                  <w:tcW w:w="885" w:type="pct"/>
                  <w:tcBorders>
                    <w:tl2br w:val="nil"/>
                    <w:tr2bl w:val="nil"/>
                  </w:tcBorders>
                  <w:noWrap w:val="0"/>
                  <w:vAlign w:val="center"/>
                </w:tcPr>
                <w:p w14:paraId="77CBB963">
                  <w:pPr>
                    <w:pStyle w:val="245"/>
                    <w:rPr>
                      <w:color w:val="auto"/>
                      <w:sz w:val="21"/>
                      <w:szCs w:val="21"/>
                    </w:rPr>
                  </w:pPr>
                  <w:r>
                    <w:rPr>
                      <w:color w:val="auto"/>
                      <w:sz w:val="21"/>
                      <w:szCs w:val="21"/>
                    </w:rPr>
                    <w:t>表示废水向外环境排放</w:t>
                  </w:r>
                </w:p>
              </w:tc>
              <w:tc>
                <w:tcPr>
                  <w:tcW w:w="1038" w:type="pct"/>
                  <w:tcBorders>
                    <w:tl2br w:val="nil"/>
                    <w:tr2bl w:val="nil"/>
                  </w:tcBorders>
                  <w:noWrap w:val="0"/>
                  <w:vAlign w:val="center"/>
                </w:tcPr>
                <w:p w14:paraId="63165DD5">
                  <w:pPr>
                    <w:pStyle w:val="245"/>
                    <w:rPr>
                      <w:color w:val="auto"/>
                      <w:sz w:val="21"/>
                      <w:szCs w:val="21"/>
                    </w:rPr>
                  </w:pPr>
                  <w:r>
                    <w:rPr>
                      <w:color w:val="auto"/>
                      <w:sz w:val="21"/>
                      <w:szCs w:val="21"/>
                    </w:rPr>
                    <w:t>表示一般固体废物贮存、处置场</w:t>
                  </w:r>
                </w:p>
              </w:tc>
              <w:tc>
                <w:tcPr>
                  <w:tcW w:w="733" w:type="pct"/>
                  <w:tcBorders>
                    <w:tl2br w:val="nil"/>
                    <w:tr2bl w:val="nil"/>
                  </w:tcBorders>
                  <w:noWrap w:val="0"/>
                  <w:vAlign w:val="center"/>
                </w:tcPr>
                <w:p w14:paraId="1F8E3D00">
                  <w:pPr>
                    <w:pStyle w:val="245"/>
                    <w:rPr>
                      <w:rFonts w:hint="eastAsia" w:eastAsia="宋体"/>
                      <w:color w:val="auto"/>
                      <w:sz w:val="21"/>
                      <w:szCs w:val="21"/>
                      <w:lang w:eastAsia="zh-CN"/>
                    </w:rPr>
                  </w:pPr>
                  <w:r>
                    <w:rPr>
                      <w:color w:val="auto"/>
                      <w:sz w:val="21"/>
                      <w:szCs w:val="21"/>
                    </w:rPr>
                    <w:t>表示危险废物</w:t>
                  </w:r>
                  <w:r>
                    <w:rPr>
                      <w:rFonts w:hint="eastAsia"/>
                      <w:color w:val="auto"/>
                      <w:sz w:val="21"/>
                      <w:szCs w:val="21"/>
                      <w:lang w:val="en-US" w:eastAsia="zh-CN"/>
                    </w:rPr>
                    <w:t>贮存间</w:t>
                  </w:r>
                </w:p>
              </w:tc>
            </w:tr>
          </w:tbl>
          <w:p w14:paraId="0A1B5DE4">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ascii="Times New Roman" w:hAnsi="Times New Roman"/>
                <w:color w:val="auto"/>
                <w:kern w:val="0"/>
                <w:szCs w:val="21"/>
              </w:rPr>
            </w:pPr>
          </w:p>
          <w:p w14:paraId="5E3BBAF1">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ascii="Times New Roman" w:hAnsi="Times New Roman"/>
                <w:color w:val="auto"/>
                <w:kern w:val="0"/>
                <w:szCs w:val="21"/>
              </w:rPr>
            </w:pPr>
            <w:r>
              <w:rPr>
                <w:rFonts w:hint="eastAsia"/>
                <w:color w:val="auto"/>
                <w:kern w:val="0"/>
                <w:szCs w:val="21"/>
                <w:lang w:val="en-US" w:eastAsia="zh-CN"/>
              </w:rPr>
              <w:t>4</w:t>
            </w:r>
            <w:r>
              <w:rPr>
                <w:rFonts w:ascii="Times New Roman" w:hAnsi="Times New Roman"/>
                <w:color w:val="auto"/>
                <w:kern w:val="0"/>
                <w:szCs w:val="21"/>
              </w:rPr>
              <w:t>、竣工环保验收：</w:t>
            </w:r>
            <w:r>
              <w:rPr>
                <w:rFonts w:hint="eastAsia" w:ascii="Times New Roman" w:hAnsi="Times New Roman"/>
                <w:color w:val="auto"/>
                <w:kern w:val="0"/>
                <w:szCs w:val="21"/>
              </w:rPr>
              <w:t>根据国务院【国令第 682 号】《建设项目环境保护管理条例》及《建设项目竣工环境保护验收暂行办法》</w:t>
            </w:r>
            <w:r>
              <w:rPr>
                <w:rFonts w:hint="eastAsia"/>
                <w:color w:val="auto"/>
                <w:kern w:val="0"/>
                <w:szCs w:val="21"/>
                <w:lang w:eastAsia="zh-CN"/>
              </w:rPr>
              <w:t>（</w:t>
            </w:r>
            <w:r>
              <w:rPr>
                <w:rFonts w:hint="eastAsia" w:ascii="Times New Roman" w:hAnsi="Times New Roman"/>
                <w:color w:val="auto"/>
                <w:kern w:val="0"/>
                <w:szCs w:val="21"/>
              </w:rPr>
              <w:t>国环规环评</w:t>
            </w:r>
            <w:r>
              <w:rPr>
                <w:rFonts w:hint="eastAsia"/>
                <w:color w:val="auto"/>
                <w:kern w:val="0"/>
                <w:szCs w:val="21"/>
                <w:lang w:eastAsia="zh-CN"/>
              </w:rPr>
              <w:t>〔2017〕4号）</w:t>
            </w:r>
            <w:r>
              <w:rPr>
                <w:rFonts w:hint="eastAsia" w:ascii="Times New Roman" w:hAnsi="Times New Roman"/>
                <w:color w:val="auto"/>
                <w:kern w:val="0"/>
                <w:szCs w:val="21"/>
              </w:rPr>
              <w:t>，强化建设单位环境保护主体责任，落实建设项目环境保护“三同时”制度，规范建设项目竣工后建设单位自主开展环境保护验收的程序和标准。建设单位是建设项目竣工环境保护验收的责任主体。根据</w:t>
            </w:r>
            <w:r>
              <w:rPr>
                <w:rFonts w:hint="eastAsia"/>
                <w:color w:val="auto"/>
                <w:kern w:val="0"/>
                <w:szCs w:val="21"/>
                <w:lang w:val="en-US" w:eastAsia="zh-CN"/>
              </w:rPr>
              <w:t>生态环境部</w:t>
            </w:r>
            <w:r>
              <w:rPr>
                <w:rFonts w:hint="eastAsia" w:ascii="Times New Roman" w:hAnsi="Times New Roman"/>
                <w:color w:val="auto"/>
                <w:kern w:val="0"/>
                <w:szCs w:val="21"/>
              </w:rPr>
              <w:t>《建设项目竣工环境保护验收技术指南 污染影响类》</w:t>
            </w:r>
            <w:r>
              <w:rPr>
                <w:rFonts w:hint="eastAsia"/>
                <w:color w:val="auto"/>
                <w:kern w:val="0"/>
                <w:szCs w:val="21"/>
                <w:lang w:eastAsia="zh-CN"/>
              </w:rPr>
              <w:t>（</w:t>
            </w:r>
            <w:r>
              <w:rPr>
                <w:rFonts w:hint="eastAsia" w:ascii="Times New Roman" w:hAnsi="Times New Roman"/>
                <w:color w:val="auto"/>
                <w:kern w:val="0"/>
                <w:szCs w:val="21"/>
              </w:rPr>
              <w:t>公告2018年第9号</w:t>
            </w:r>
            <w:r>
              <w:rPr>
                <w:rFonts w:hint="eastAsia"/>
                <w:color w:val="auto"/>
                <w:kern w:val="0"/>
                <w:szCs w:val="21"/>
                <w:lang w:eastAsia="zh-CN"/>
              </w:rPr>
              <w:t>）</w:t>
            </w:r>
            <w:r>
              <w:rPr>
                <w:rFonts w:hint="eastAsia" w:ascii="Times New Roman" w:hAnsi="Times New Roman"/>
                <w:color w:val="auto"/>
                <w:kern w:val="0"/>
                <w:szCs w:val="21"/>
              </w:rPr>
              <w:t>中有关要求：项目竣工后，建设单位应对该项目进行环保竣工验收，委托有资质的监测单位进行项目竣工环境保护验收监测，编制项目竣工环境保护验收监测报告。</w:t>
            </w:r>
          </w:p>
        </w:tc>
      </w:tr>
    </w:tbl>
    <w:p w14:paraId="23B38006">
      <w:pPr>
        <w:pStyle w:val="19"/>
        <w:numPr>
          <w:ilvl w:val="0"/>
          <w:numId w:val="7"/>
        </w:numPr>
        <w:spacing w:before="120" w:beforeLines="50" w:beforeAutospacing="0" w:after="120" w:afterLines="50" w:afterAutospacing="0"/>
        <w:ind w:left="0" w:leftChars="0" w:firstLine="420" w:firstLineChars="0"/>
        <w:jc w:val="center"/>
        <w:outlineLvl w:val="0"/>
        <w:rPr>
          <w:rFonts w:ascii="Times New Roman" w:hAnsi="Times New Roman"/>
          <w:b/>
          <w:snapToGrid w:val="0"/>
          <w:color w:val="auto"/>
          <w:sz w:val="30"/>
          <w:szCs w:val="30"/>
        </w:rPr>
      </w:pPr>
      <w:r>
        <w:rPr>
          <w:color w:val="auto"/>
        </w:rPr>
        <w:br w:type="page"/>
      </w:r>
      <w:r>
        <w:rPr>
          <w:rFonts w:hint="eastAsia" w:ascii="Times New Roman" w:hAnsi="Times New Roman" w:eastAsia="宋体" w:cs="Times New Roman"/>
          <w:b/>
          <w:snapToGrid w:val="0"/>
          <w:color w:val="auto"/>
          <w:sz w:val="30"/>
          <w:szCs w:val="30"/>
        </w:rPr>
        <w:t>结论</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155E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14:paraId="4E07FE4D">
            <w:pPr>
              <w:pStyle w:val="153"/>
              <w:adjustRightInd/>
              <w:snapToGrid/>
              <w:rPr>
                <w:color w:val="auto"/>
              </w:rPr>
            </w:pPr>
            <w:r>
              <w:rPr>
                <w:rFonts w:hint="eastAsia"/>
                <w:color w:val="auto"/>
                <w:lang w:eastAsia="zh-CN"/>
              </w:rPr>
              <w:t>宁德市广拓材料科技有限公司</w:t>
            </w:r>
            <w:r>
              <w:rPr>
                <w:rFonts w:hint="eastAsia"/>
                <w:color w:val="auto"/>
              </w:rPr>
              <w:t>投资建设的“</w:t>
            </w:r>
            <w:r>
              <w:rPr>
                <w:color w:val="auto"/>
              </w:rPr>
              <w:fldChar w:fldCharType="begin"/>
            </w:r>
            <w:r>
              <w:rPr>
                <w:color w:val="auto"/>
              </w:rPr>
              <w:instrText xml:space="preserve"> REF 项目名称 \h  \* MERGEFORMAT </w:instrText>
            </w:r>
            <w:r>
              <w:rPr>
                <w:color w:val="auto"/>
              </w:rPr>
              <w:fldChar w:fldCharType="separate"/>
            </w:r>
            <w:r>
              <w:rPr>
                <w:rFonts w:hint="eastAsia"/>
                <w:color w:val="auto"/>
                <w:lang w:eastAsia="zh-CN"/>
              </w:rPr>
              <w:t>生物质气化炉炭渣资源化综合利用项目</w:t>
            </w:r>
            <w:r>
              <w:rPr>
                <w:color w:val="auto"/>
              </w:rPr>
              <w:fldChar w:fldCharType="end"/>
            </w:r>
            <w:r>
              <w:rPr>
                <w:rFonts w:hint="eastAsia"/>
                <w:color w:val="auto"/>
              </w:rPr>
              <w:t>”</w:t>
            </w:r>
            <w:r>
              <w:rPr>
                <w:color w:val="auto"/>
              </w:rPr>
              <w:t>位于</w:t>
            </w:r>
            <w:r>
              <w:rPr>
                <w:rFonts w:hint="eastAsia"/>
                <w:color w:val="auto"/>
                <w:lang w:eastAsia="zh-CN"/>
              </w:rPr>
              <w:t>福建省福鼎市前岐镇照澜村罗六36号</w:t>
            </w:r>
            <w:r>
              <w:rPr>
                <w:color w:val="auto"/>
              </w:rPr>
              <w:t>，项目</w:t>
            </w:r>
            <w:r>
              <w:rPr>
                <w:rFonts w:hint="eastAsia"/>
                <w:color w:val="auto"/>
              </w:rPr>
              <w:t>建设</w:t>
            </w:r>
            <w:r>
              <w:rPr>
                <w:rFonts w:ascii="Times New Roman" w:hAnsi="Times New Roman" w:eastAsia="宋体" w:cs="Times New Roman"/>
                <w:color w:val="auto"/>
              </w:rPr>
              <w:t>符合国家产业政策</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选址符合当地规划要求</w:t>
            </w:r>
            <w:r>
              <w:rPr>
                <w:rFonts w:ascii="Times New Roman" w:hAnsi="Times New Roman" w:eastAsia="宋体" w:cs="Times New Roman"/>
                <w:color w:val="auto"/>
              </w:rPr>
              <w:t>，在采取本报告提出的各项环保措施后，生产过</w:t>
            </w:r>
            <w:r>
              <w:rPr>
                <w:color w:val="auto"/>
              </w:rPr>
              <w:t>程产生的污染物均能达标排放，不会改变区域的环境质量现状。项目建设具有较好的经济效益和社会效益。建设单位在严格执行环保“三同时”制度，严格落实本报告提出的各项环保措施后，项目建设对环境的影响是可接受的。因此，从环保的角度分析，本项目的建设是可行的。</w:t>
            </w:r>
          </w:p>
          <w:p w14:paraId="0F5FE087">
            <w:pPr>
              <w:spacing w:line="360" w:lineRule="auto"/>
              <w:rPr>
                <w:color w:val="auto"/>
                <w:sz w:val="24"/>
              </w:rPr>
            </w:pPr>
          </w:p>
          <w:p w14:paraId="2383EF56">
            <w:pPr>
              <w:spacing w:line="360" w:lineRule="auto"/>
              <w:rPr>
                <w:rFonts w:hint="eastAsia"/>
                <w:color w:val="auto"/>
                <w:sz w:val="24"/>
              </w:rPr>
            </w:pPr>
          </w:p>
          <w:p w14:paraId="40658F23">
            <w:pPr>
              <w:spacing w:line="360" w:lineRule="auto"/>
              <w:rPr>
                <w:rFonts w:hint="eastAsia"/>
                <w:color w:val="auto"/>
                <w:sz w:val="24"/>
              </w:rPr>
            </w:pPr>
          </w:p>
          <w:p w14:paraId="5994388E">
            <w:pPr>
              <w:spacing w:line="360" w:lineRule="auto"/>
              <w:jc w:val="right"/>
              <w:rPr>
                <w:rFonts w:hint="eastAsia" w:eastAsia="宋体"/>
                <w:b/>
                <w:color w:val="auto"/>
                <w:sz w:val="28"/>
                <w:lang w:eastAsia="zh-CN"/>
              </w:rPr>
            </w:pPr>
            <w:r>
              <w:rPr>
                <w:rFonts w:hint="eastAsia"/>
                <w:b/>
                <w:color w:val="auto"/>
                <w:sz w:val="28"/>
                <w:lang w:eastAsia="zh-CN"/>
              </w:rPr>
              <w:t>福建明达工程技术服务有限公司</w:t>
            </w:r>
          </w:p>
          <w:p w14:paraId="15F53DDA">
            <w:pPr>
              <w:spacing w:line="360" w:lineRule="auto"/>
              <w:jc w:val="right"/>
              <w:rPr>
                <w:b/>
                <w:color w:val="auto"/>
                <w:sz w:val="28"/>
              </w:rPr>
            </w:pPr>
            <w:r>
              <w:rPr>
                <w:b/>
                <w:color w:val="auto"/>
                <w:sz w:val="28"/>
              </w:rPr>
              <w:t>202</w:t>
            </w:r>
            <w:r>
              <w:rPr>
                <w:rFonts w:hint="eastAsia"/>
                <w:b/>
                <w:color w:val="auto"/>
                <w:sz w:val="28"/>
                <w:lang w:val="en-US" w:eastAsia="zh-CN"/>
              </w:rPr>
              <w:t>5</w:t>
            </w:r>
            <w:r>
              <w:rPr>
                <w:b/>
                <w:color w:val="auto"/>
                <w:sz w:val="28"/>
              </w:rPr>
              <w:t>年</w:t>
            </w:r>
            <w:r>
              <w:rPr>
                <w:rFonts w:hint="eastAsia"/>
                <w:b/>
                <w:color w:val="auto"/>
                <w:sz w:val="28"/>
                <w:lang w:val="en-US" w:eastAsia="zh-CN"/>
              </w:rPr>
              <w:t>8</w:t>
            </w:r>
            <w:r>
              <w:rPr>
                <w:b/>
                <w:color w:val="auto"/>
                <w:sz w:val="28"/>
              </w:rPr>
              <w:t>月</w:t>
            </w:r>
          </w:p>
          <w:p w14:paraId="4E8D73CB">
            <w:pPr>
              <w:spacing w:line="360" w:lineRule="auto"/>
              <w:rPr>
                <w:color w:val="auto"/>
                <w:sz w:val="24"/>
              </w:rPr>
            </w:pPr>
          </w:p>
          <w:p w14:paraId="316ACCBF">
            <w:pPr>
              <w:spacing w:line="360" w:lineRule="auto"/>
              <w:rPr>
                <w:color w:val="auto"/>
                <w:sz w:val="24"/>
              </w:rPr>
            </w:pPr>
          </w:p>
          <w:p w14:paraId="579431BD">
            <w:pPr>
              <w:spacing w:line="360" w:lineRule="auto"/>
              <w:rPr>
                <w:color w:val="auto"/>
                <w:sz w:val="24"/>
              </w:rPr>
            </w:pPr>
          </w:p>
          <w:p w14:paraId="5E63EB15">
            <w:pPr>
              <w:spacing w:line="360" w:lineRule="auto"/>
              <w:rPr>
                <w:color w:val="auto"/>
                <w:sz w:val="24"/>
              </w:rPr>
            </w:pPr>
          </w:p>
          <w:p w14:paraId="3A58619B">
            <w:pPr>
              <w:spacing w:line="360" w:lineRule="auto"/>
              <w:rPr>
                <w:color w:val="auto"/>
                <w:sz w:val="24"/>
              </w:rPr>
            </w:pPr>
          </w:p>
          <w:p w14:paraId="5BB0A5CA">
            <w:pPr>
              <w:spacing w:line="360" w:lineRule="auto"/>
              <w:rPr>
                <w:color w:val="auto"/>
                <w:sz w:val="24"/>
              </w:rPr>
            </w:pPr>
          </w:p>
          <w:p w14:paraId="6867425E">
            <w:pPr>
              <w:spacing w:line="360" w:lineRule="auto"/>
              <w:rPr>
                <w:color w:val="auto"/>
                <w:sz w:val="24"/>
              </w:rPr>
            </w:pPr>
          </w:p>
          <w:p w14:paraId="535DC5B2">
            <w:pPr>
              <w:spacing w:line="360" w:lineRule="auto"/>
              <w:rPr>
                <w:color w:val="auto"/>
                <w:sz w:val="24"/>
              </w:rPr>
            </w:pPr>
          </w:p>
          <w:p w14:paraId="32FC0354">
            <w:pPr>
              <w:spacing w:line="360" w:lineRule="auto"/>
              <w:rPr>
                <w:color w:val="auto"/>
                <w:sz w:val="24"/>
              </w:rPr>
            </w:pPr>
          </w:p>
          <w:p w14:paraId="35318E31">
            <w:pPr>
              <w:spacing w:line="360" w:lineRule="auto"/>
              <w:rPr>
                <w:color w:val="auto"/>
                <w:sz w:val="24"/>
              </w:rPr>
            </w:pPr>
          </w:p>
          <w:p w14:paraId="33A77E1C">
            <w:pPr>
              <w:spacing w:line="360" w:lineRule="auto"/>
              <w:rPr>
                <w:color w:val="auto"/>
                <w:sz w:val="24"/>
              </w:rPr>
            </w:pPr>
          </w:p>
          <w:p w14:paraId="129AF8FD">
            <w:pPr>
              <w:spacing w:line="360" w:lineRule="auto"/>
              <w:rPr>
                <w:color w:val="auto"/>
                <w:sz w:val="24"/>
              </w:rPr>
            </w:pPr>
          </w:p>
          <w:p w14:paraId="2A99444F">
            <w:pPr>
              <w:spacing w:line="360" w:lineRule="auto"/>
              <w:rPr>
                <w:color w:val="auto"/>
                <w:sz w:val="24"/>
              </w:rPr>
            </w:pPr>
          </w:p>
          <w:p w14:paraId="0242CCD2">
            <w:pPr>
              <w:spacing w:line="360" w:lineRule="auto"/>
              <w:rPr>
                <w:color w:val="auto"/>
                <w:sz w:val="24"/>
              </w:rPr>
            </w:pPr>
          </w:p>
          <w:p w14:paraId="65447F83">
            <w:pPr>
              <w:spacing w:line="360" w:lineRule="auto"/>
              <w:rPr>
                <w:color w:val="auto"/>
                <w:sz w:val="24"/>
              </w:rPr>
            </w:pPr>
          </w:p>
        </w:tc>
      </w:tr>
    </w:tbl>
    <w:p w14:paraId="491DE585">
      <w:pPr>
        <w:rPr>
          <w:color w:val="auto"/>
        </w:rPr>
      </w:pPr>
    </w:p>
    <w:p w14:paraId="0569F4D6">
      <w:pPr>
        <w:rPr>
          <w:rFonts w:ascii="Times New Roman" w:hAnsi="Times New Roman"/>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3C8C28F4">
      <w:pPr>
        <w:pStyle w:val="19"/>
        <w:keepNext w:val="0"/>
        <w:keepLines w:val="0"/>
        <w:pageBreakBefore w:val="0"/>
        <w:widowControl/>
        <w:kinsoku/>
        <w:wordWrap/>
        <w:overflowPunct/>
        <w:topLinePunct w:val="0"/>
        <w:autoSpaceDE/>
        <w:autoSpaceDN/>
        <w:bidi w:val="0"/>
        <w:adjustRightInd w:val="0"/>
        <w:snapToGrid w:val="0"/>
        <w:spacing w:before="0" w:beforeAutospacing="0" w:after="157" w:afterLines="50" w:afterAutospacing="0"/>
        <w:textAlignment w:val="auto"/>
        <w:outlineLvl w:val="0"/>
        <w:rPr>
          <w:rFonts w:ascii="Times New Roman" w:hAnsi="Times New Roman"/>
          <w:snapToGrid w:val="0"/>
          <w:color w:val="auto"/>
          <w:sz w:val="32"/>
          <w:szCs w:val="32"/>
        </w:rPr>
      </w:pPr>
      <w:r>
        <w:rPr>
          <w:rFonts w:ascii="Times New Roman" w:hAnsi="Times New Roman"/>
          <w:snapToGrid w:val="0"/>
          <w:color w:val="auto"/>
          <w:sz w:val="32"/>
          <w:szCs w:val="32"/>
        </w:rPr>
        <w:t>附表</w:t>
      </w:r>
    </w:p>
    <w:p w14:paraId="6C7DE8E7">
      <w:pPr>
        <w:pStyle w:val="19"/>
        <w:adjustRightInd w:val="0"/>
        <w:snapToGrid w:val="0"/>
        <w:spacing w:before="240" w:beforeLines="100" w:beforeAutospacing="0" w:after="0" w:afterAutospacing="0"/>
        <w:jc w:val="center"/>
        <w:outlineLvl w:val="0"/>
        <w:rPr>
          <w:rFonts w:ascii="Times New Roman" w:hAnsi="Times New Roman"/>
          <w:snapToGrid w:val="0"/>
          <w:color w:val="auto"/>
          <w:sz w:val="38"/>
          <w:szCs w:val="38"/>
        </w:rPr>
      </w:pPr>
      <w:r>
        <w:rPr>
          <w:rFonts w:ascii="Times New Roman" w:hAnsi="Times New Roman"/>
          <w:snapToGrid w:val="0"/>
          <w:color w:val="auto"/>
          <w:sz w:val="38"/>
          <w:szCs w:val="38"/>
        </w:rPr>
        <w:t>建设项目污染物排放量汇总表</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966"/>
        <w:gridCol w:w="1677"/>
        <w:gridCol w:w="1296"/>
        <w:gridCol w:w="1730"/>
        <w:gridCol w:w="1584"/>
        <w:gridCol w:w="1554"/>
        <w:gridCol w:w="1747"/>
        <w:gridCol w:w="1319"/>
      </w:tblGrid>
      <w:tr w14:paraId="54032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07" w:type="pct"/>
            <w:tcBorders>
              <w:tl2br w:val="single" w:color="auto" w:sz="4" w:space="0"/>
            </w:tcBorders>
            <w:noWrap w:val="0"/>
            <w:tcMar>
              <w:left w:w="28" w:type="dxa"/>
              <w:right w:w="28" w:type="dxa"/>
            </w:tcMar>
            <w:vAlign w:val="center"/>
          </w:tcPr>
          <w:p w14:paraId="701E0E4D">
            <w:pPr>
              <w:pStyle w:val="60"/>
              <w:keepNext w:val="0"/>
              <w:keepLines w:val="0"/>
              <w:pageBreakBefore w:val="0"/>
              <w:kinsoku/>
              <w:wordWrap/>
              <w:overflowPunct/>
              <w:topLinePunct w:val="0"/>
              <w:autoSpaceDE/>
              <w:autoSpaceDN/>
              <w:bidi w:val="0"/>
              <w:spacing w:beforeLines="0" w:afterLines="0" w:line="240" w:lineRule="auto"/>
              <w:ind w:firstLine="420"/>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项目</w:t>
            </w:r>
          </w:p>
          <w:p w14:paraId="09362B76">
            <w:pPr>
              <w:pStyle w:val="60"/>
              <w:keepNext w:val="0"/>
              <w:keepLines w:val="0"/>
              <w:pageBreakBefore w:val="0"/>
              <w:kinsoku/>
              <w:wordWrap/>
              <w:overflowPunct/>
              <w:topLinePunct w:val="0"/>
              <w:autoSpaceDE/>
              <w:autoSpaceDN/>
              <w:bidi w:val="0"/>
              <w:spacing w:beforeLines="0" w:afterLines="0" w:line="240" w:lineRule="auto"/>
              <w:ind w:left="0" w:leftChars="0" w:firstLine="0" w:firstLineChars="0"/>
              <w:jc w:val="both"/>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分类</w:t>
            </w:r>
          </w:p>
        </w:tc>
        <w:tc>
          <w:tcPr>
            <w:tcW w:w="701" w:type="pct"/>
            <w:noWrap w:val="0"/>
            <w:tcMar>
              <w:left w:w="28" w:type="dxa"/>
              <w:right w:w="28" w:type="dxa"/>
            </w:tcMar>
            <w:vAlign w:val="center"/>
          </w:tcPr>
          <w:p w14:paraId="42960517">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污染物名称</w:t>
            </w:r>
          </w:p>
        </w:tc>
        <w:tc>
          <w:tcPr>
            <w:tcW w:w="598" w:type="pct"/>
            <w:noWrap w:val="0"/>
            <w:tcMar>
              <w:left w:w="28" w:type="dxa"/>
              <w:right w:w="28" w:type="dxa"/>
            </w:tcMar>
            <w:vAlign w:val="center"/>
          </w:tcPr>
          <w:p w14:paraId="1E0B06EB">
            <w:pPr>
              <w:pStyle w:val="60"/>
              <w:keepNext w:val="0"/>
              <w:keepLines w:val="0"/>
              <w:pageBreakBefore w:val="0"/>
              <w:kinsoku/>
              <w:wordWrap/>
              <w:overflowPunct/>
              <w:topLinePunct w:val="0"/>
              <w:autoSpaceDE/>
              <w:autoSpaceDN/>
              <w:bidi w:val="0"/>
              <w:spacing w:beforeLines="0" w:afterLines="0" w:line="240" w:lineRule="auto"/>
              <w:ind w:firstLine="0"/>
              <w:jc w:val="both"/>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现有工程排放量（固体废物产生量）</w:t>
            </w:r>
            <w:r>
              <w:rPr>
                <w:rFonts w:hint="default" w:ascii="Times New Roman" w:hAnsi="Times New Roman" w:eastAsia="宋体" w:cs="Times New Roman"/>
                <w:color w:val="auto"/>
                <w:kern w:val="2"/>
                <w:sz w:val="21"/>
                <w:szCs w:val="21"/>
              </w:rPr>
              <w:t>①</w:t>
            </w:r>
          </w:p>
        </w:tc>
        <w:tc>
          <w:tcPr>
            <w:tcW w:w="462" w:type="pct"/>
            <w:noWrap w:val="0"/>
            <w:tcMar>
              <w:left w:w="28" w:type="dxa"/>
              <w:right w:w="28" w:type="dxa"/>
            </w:tcMar>
            <w:vAlign w:val="center"/>
          </w:tcPr>
          <w:p w14:paraId="4E4C58F5">
            <w:pPr>
              <w:pStyle w:val="60"/>
              <w:keepNext w:val="0"/>
              <w:keepLines w:val="0"/>
              <w:pageBreakBefore w:val="0"/>
              <w:kinsoku/>
              <w:wordWrap/>
              <w:overflowPunct/>
              <w:topLinePunct w:val="0"/>
              <w:autoSpaceDE/>
              <w:autoSpaceDN/>
              <w:bidi w:val="0"/>
              <w:spacing w:beforeLines="0" w:afterLines="0" w:line="240" w:lineRule="auto"/>
              <w:ind w:firstLine="0"/>
              <w:jc w:val="both"/>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现有工程许可排放量②</w:t>
            </w:r>
          </w:p>
        </w:tc>
        <w:tc>
          <w:tcPr>
            <w:tcW w:w="617" w:type="pct"/>
            <w:noWrap w:val="0"/>
            <w:tcMar>
              <w:left w:w="28" w:type="dxa"/>
              <w:right w:w="28" w:type="dxa"/>
            </w:tcMar>
            <w:vAlign w:val="center"/>
          </w:tcPr>
          <w:p w14:paraId="0B192514">
            <w:pPr>
              <w:pStyle w:val="60"/>
              <w:keepNext w:val="0"/>
              <w:keepLines w:val="0"/>
              <w:pageBreakBefore w:val="0"/>
              <w:kinsoku/>
              <w:wordWrap/>
              <w:overflowPunct/>
              <w:topLinePunct w:val="0"/>
              <w:autoSpaceDE/>
              <w:autoSpaceDN/>
              <w:bidi w:val="0"/>
              <w:spacing w:beforeLines="0" w:afterLines="0" w:line="240" w:lineRule="auto"/>
              <w:ind w:firstLine="0"/>
              <w:jc w:val="both"/>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在建工程排放量（固体废物产生量）</w:t>
            </w:r>
            <w:r>
              <w:rPr>
                <w:rFonts w:hint="default" w:ascii="Times New Roman" w:hAnsi="Times New Roman" w:eastAsia="宋体" w:cs="Times New Roman"/>
                <w:color w:val="auto"/>
                <w:kern w:val="2"/>
                <w:sz w:val="21"/>
                <w:szCs w:val="21"/>
              </w:rPr>
              <w:t>③</w:t>
            </w:r>
          </w:p>
        </w:tc>
        <w:tc>
          <w:tcPr>
            <w:tcW w:w="565" w:type="pct"/>
            <w:noWrap w:val="0"/>
            <w:tcMar>
              <w:left w:w="28" w:type="dxa"/>
              <w:right w:w="28" w:type="dxa"/>
            </w:tcMar>
            <w:vAlign w:val="center"/>
          </w:tcPr>
          <w:p w14:paraId="240B1562">
            <w:pPr>
              <w:pStyle w:val="60"/>
              <w:keepNext w:val="0"/>
              <w:keepLines w:val="0"/>
              <w:pageBreakBefore w:val="0"/>
              <w:kinsoku/>
              <w:wordWrap/>
              <w:overflowPunct/>
              <w:topLinePunct w:val="0"/>
              <w:autoSpaceDE/>
              <w:autoSpaceDN/>
              <w:bidi w:val="0"/>
              <w:spacing w:beforeLines="0" w:afterLines="0" w:line="240" w:lineRule="auto"/>
              <w:ind w:firstLine="0"/>
              <w:jc w:val="both"/>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本项目排放量（固体废物产生量）</w:t>
            </w:r>
            <w:r>
              <w:rPr>
                <w:rFonts w:hint="default" w:ascii="Times New Roman" w:hAnsi="Times New Roman" w:eastAsia="宋体" w:cs="Times New Roman"/>
                <w:color w:val="auto"/>
                <w:kern w:val="2"/>
                <w:sz w:val="21"/>
                <w:szCs w:val="21"/>
              </w:rPr>
              <w:t>④</w:t>
            </w:r>
          </w:p>
        </w:tc>
        <w:tc>
          <w:tcPr>
            <w:tcW w:w="554" w:type="pct"/>
            <w:noWrap w:val="0"/>
            <w:tcMar>
              <w:left w:w="28" w:type="dxa"/>
              <w:right w:w="28" w:type="dxa"/>
            </w:tcMar>
            <w:vAlign w:val="center"/>
          </w:tcPr>
          <w:p w14:paraId="4C8ED39F">
            <w:pPr>
              <w:pStyle w:val="60"/>
              <w:keepNext w:val="0"/>
              <w:keepLines w:val="0"/>
              <w:pageBreakBefore w:val="0"/>
              <w:kinsoku/>
              <w:wordWrap/>
              <w:overflowPunct/>
              <w:topLinePunct w:val="0"/>
              <w:autoSpaceDE/>
              <w:autoSpaceDN/>
              <w:bidi w:val="0"/>
              <w:spacing w:beforeLines="0" w:afterLines="0" w:line="240" w:lineRule="auto"/>
              <w:ind w:firstLine="0"/>
              <w:jc w:val="both"/>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以新带老削减量（新建项目不填）</w:t>
            </w:r>
            <w:r>
              <w:rPr>
                <w:rFonts w:hint="default" w:ascii="Times New Roman" w:hAnsi="Times New Roman" w:eastAsia="宋体" w:cs="Times New Roman"/>
                <w:color w:val="auto"/>
                <w:kern w:val="2"/>
                <w:sz w:val="21"/>
                <w:szCs w:val="21"/>
              </w:rPr>
              <w:t>⑤</w:t>
            </w:r>
          </w:p>
        </w:tc>
        <w:tc>
          <w:tcPr>
            <w:tcW w:w="623" w:type="pct"/>
            <w:noWrap w:val="0"/>
            <w:tcMar>
              <w:left w:w="28" w:type="dxa"/>
              <w:right w:w="28" w:type="dxa"/>
            </w:tcMar>
            <w:vAlign w:val="center"/>
          </w:tcPr>
          <w:p w14:paraId="13C00A29">
            <w:pPr>
              <w:pStyle w:val="60"/>
              <w:keepNext w:val="0"/>
              <w:keepLines w:val="0"/>
              <w:pageBreakBefore w:val="0"/>
              <w:kinsoku/>
              <w:wordWrap/>
              <w:overflowPunct/>
              <w:topLinePunct w:val="0"/>
              <w:autoSpaceDE/>
              <w:autoSpaceDN/>
              <w:bidi w:val="0"/>
              <w:spacing w:beforeLines="0" w:afterLines="0" w:line="240" w:lineRule="auto"/>
              <w:ind w:firstLine="0"/>
              <w:jc w:val="both"/>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本项目建成后全厂排放量（固体废物产生量）</w:t>
            </w:r>
            <w:r>
              <w:rPr>
                <w:rFonts w:hint="default" w:ascii="Times New Roman" w:hAnsi="Times New Roman" w:eastAsia="宋体" w:cs="Times New Roman"/>
                <w:color w:val="auto"/>
                <w:kern w:val="2"/>
                <w:sz w:val="21"/>
                <w:szCs w:val="21"/>
              </w:rPr>
              <w:t>⑥</w:t>
            </w:r>
          </w:p>
        </w:tc>
        <w:tc>
          <w:tcPr>
            <w:tcW w:w="470" w:type="pct"/>
            <w:noWrap w:val="0"/>
            <w:tcMar>
              <w:left w:w="28" w:type="dxa"/>
              <w:right w:w="28" w:type="dxa"/>
            </w:tcMar>
            <w:vAlign w:val="center"/>
          </w:tcPr>
          <w:p w14:paraId="02865566">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变化量</w:t>
            </w:r>
            <w:r>
              <w:rPr>
                <w:rFonts w:hint="default" w:ascii="Times New Roman" w:hAnsi="Times New Roman" w:eastAsia="宋体" w:cs="Times New Roman"/>
                <w:color w:val="auto"/>
                <w:kern w:val="2"/>
                <w:sz w:val="21"/>
                <w:szCs w:val="21"/>
              </w:rPr>
              <w:t>⑦</w:t>
            </w:r>
          </w:p>
        </w:tc>
      </w:tr>
      <w:tr w14:paraId="267AA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 w:type="pct"/>
            <w:vMerge w:val="restart"/>
            <w:noWrap w:val="0"/>
            <w:vAlign w:val="center"/>
          </w:tcPr>
          <w:p w14:paraId="562A7059">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701" w:type="pct"/>
            <w:noWrap w:val="0"/>
            <w:vAlign w:val="center"/>
          </w:tcPr>
          <w:p w14:paraId="0F0817BF">
            <w:pPr>
              <w:adjustRightInd w:val="0"/>
              <w:snapToGrid w:val="0"/>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颗粒物</w:t>
            </w:r>
          </w:p>
        </w:tc>
        <w:tc>
          <w:tcPr>
            <w:tcW w:w="598" w:type="pct"/>
            <w:shd w:val="clear" w:color="auto" w:fill="auto"/>
            <w:noWrap w:val="0"/>
            <w:vAlign w:val="center"/>
          </w:tcPr>
          <w:p w14:paraId="65A248A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462" w:type="pct"/>
            <w:shd w:val="clear" w:color="auto" w:fill="auto"/>
            <w:noWrap w:val="0"/>
            <w:vAlign w:val="center"/>
          </w:tcPr>
          <w:p w14:paraId="42787B1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617" w:type="pct"/>
            <w:shd w:val="clear" w:color="auto" w:fill="auto"/>
            <w:noWrap w:val="0"/>
            <w:vAlign w:val="center"/>
          </w:tcPr>
          <w:p w14:paraId="0F65E5E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565" w:type="pct"/>
            <w:shd w:val="clear" w:color="auto" w:fill="auto"/>
            <w:noWrap w:val="0"/>
            <w:vAlign w:val="center"/>
          </w:tcPr>
          <w:p w14:paraId="5B3DB9E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i w:val="0"/>
                <w:iCs w:val="0"/>
                <w:color w:val="auto"/>
                <w:kern w:val="2"/>
                <w:sz w:val="21"/>
                <w:szCs w:val="21"/>
                <w:u w:val="none"/>
                <w:lang w:val="en-US" w:eastAsia="zh-CN" w:bidi="ar-SA"/>
              </w:rPr>
              <w:t>8.583</w:t>
            </w:r>
            <w:r>
              <w:rPr>
                <w:rFonts w:ascii="Times New Roman" w:hAnsi="Times New Roman"/>
                <w:color w:val="auto"/>
                <w:kern w:val="0"/>
                <w:szCs w:val="21"/>
              </w:rPr>
              <w:t>t/a</w:t>
            </w:r>
          </w:p>
        </w:tc>
        <w:tc>
          <w:tcPr>
            <w:tcW w:w="554" w:type="pct"/>
            <w:shd w:val="clear" w:color="auto" w:fill="auto"/>
            <w:noWrap w:val="0"/>
            <w:vAlign w:val="center"/>
          </w:tcPr>
          <w:p w14:paraId="15F1805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623" w:type="pct"/>
            <w:shd w:val="clear" w:color="auto" w:fill="auto"/>
            <w:noWrap w:val="0"/>
            <w:vAlign w:val="center"/>
          </w:tcPr>
          <w:p w14:paraId="2D12A73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i w:val="0"/>
                <w:iCs w:val="0"/>
                <w:color w:val="auto"/>
                <w:kern w:val="2"/>
                <w:sz w:val="21"/>
                <w:szCs w:val="21"/>
                <w:u w:val="none"/>
                <w:lang w:val="en-US" w:eastAsia="zh-CN" w:bidi="ar-SA"/>
              </w:rPr>
              <w:t>8.583</w:t>
            </w:r>
            <w:r>
              <w:rPr>
                <w:rFonts w:ascii="Times New Roman" w:hAnsi="Times New Roman"/>
                <w:color w:val="auto"/>
                <w:kern w:val="0"/>
                <w:szCs w:val="21"/>
              </w:rPr>
              <w:t>t/a</w:t>
            </w:r>
          </w:p>
        </w:tc>
        <w:tc>
          <w:tcPr>
            <w:tcW w:w="470" w:type="pct"/>
            <w:noWrap w:val="0"/>
            <w:vAlign w:val="center"/>
          </w:tcPr>
          <w:p w14:paraId="314B8B19">
            <w:pPr>
              <w:adjustRightInd w:val="0"/>
              <w:snapToGrid w:val="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i w:val="0"/>
                <w:iCs w:val="0"/>
                <w:color w:val="auto"/>
                <w:kern w:val="2"/>
                <w:sz w:val="21"/>
                <w:szCs w:val="21"/>
                <w:u w:val="none"/>
                <w:lang w:val="en-US" w:eastAsia="zh-CN" w:bidi="ar-SA"/>
              </w:rPr>
              <w:t>+</w:t>
            </w:r>
            <w:r>
              <w:rPr>
                <w:rFonts w:hint="eastAsia" w:cs="Times New Roman"/>
                <w:i w:val="0"/>
                <w:iCs w:val="0"/>
                <w:color w:val="auto"/>
                <w:kern w:val="2"/>
                <w:sz w:val="21"/>
                <w:szCs w:val="21"/>
                <w:u w:val="none"/>
                <w:lang w:val="en-US" w:eastAsia="zh-CN" w:bidi="ar-SA"/>
              </w:rPr>
              <w:t>8.583</w:t>
            </w:r>
            <w:r>
              <w:rPr>
                <w:rFonts w:ascii="Times New Roman" w:hAnsi="Times New Roman"/>
                <w:color w:val="auto"/>
                <w:kern w:val="0"/>
                <w:szCs w:val="21"/>
              </w:rPr>
              <w:t>t/a</w:t>
            </w:r>
          </w:p>
        </w:tc>
      </w:tr>
      <w:tr w14:paraId="0F8C6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 w:type="pct"/>
            <w:vMerge w:val="continue"/>
            <w:noWrap w:val="0"/>
            <w:vAlign w:val="center"/>
          </w:tcPr>
          <w:p w14:paraId="0B929D02">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p>
        </w:tc>
        <w:tc>
          <w:tcPr>
            <w:tcW w:w="701" w:type="pct"/>
            <w:noWrap w:val="0"/>
            <w:vAlign w:val="center"/>
          </w:tcPr>
          <w:p w14:paraId="30A7DCF6">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二氧化硫</w:t>
            </w:r>
          </w:p>
        </w:tc>
        <w:tc>
          <w:tcPr>
            <w:tcW w:w="598" w:type="pct"/>
            <w:shd w:val="clear" w:color="auto" w:fill="auto"/>
            <w:noWrap w:val="0"/>
            <w:vAlign w:val="center"/>
          </w:tcPr>
          <w:p w14:paraId="21A7636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462" w:type="pct"/>
            <w:shd w:val="clear" w:color="auto" w:fill="auto"/>
            <w:noWrap w:val="0"/>
            <w:vAlign w:val="center"/>
          </w:tcPr>
          <w:p w14:paraId="18C40FC4">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617" w:type="pct"/>
            <w:shd w:val="clear" w:color="auto" w:fill="auto"/>
            <w:noWrap w:val="0"/>
            <w:vAlign w:val="center"/>
          </w:tcPr>
          <w:p w14:paraId="452D440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565" w:type="pct"/>
            <w:shd w:val="clear" w:color="auto" w:fill="auto"/>
            <w:noWrap w:val="0"/>
            <w:vAlign w:val="center"/>
          </w:tcPr>
          <w:p w14:paraId="0CF579E9">
            <w:pPr>
              <w:keepNext w:val="0"/>
              <w:keepLines w:val="0"/>
              <w:widowControl/>
              <w:suppressLineNumbers w:val="0"/>
              <w:jc w:val="center"/>
              <w:textAlignment w:val="center"/>
              <w:rPr>
                <w:rFonts w:hint="eastAsia"/>
                <w:color w:val="auto"/>
                <w:kern w:val="0"/>
                <w:szCs w:val="21"/>
                <w:lang w:val="en-US" w:eastAsia="zh-CN"/>
              </w:rPr>
            </w:pPr>
            <w:r>
              <w:rPr>
                <w:rFonts w:hint="default" w:ascii="Times New Roman" w:hAnsi="Times New Roman" w:cs="Times New Roman"/>
                <w:color w:val="auto"/>
                <w:szCs w:val="21"/>
                <w:highlight w:val="none"/>
                <w:lang w:val="en-US" w:eastAsia="zh-CN"/>
              </w:rPr>
              <w:t>0.091</w:t>
            </w:r>
            <w:r>
              <w:rPr>
                <w:rFonts w:ascii="Times New Roman" w:hAnsi="Times New Roman"/>
                <w:color w:val="auto"/>
                <w:kern w:val="0"/>
                <w:szCs w:val="21"/>
              </w:rPr>
              <w:t>t/a</w:t>
            </w:r>
          </w:p>
        </w:tc>
        <w:tc>
          <w:tcPr>
            <w:tcW w:w="554" w:type="pct"/>
            <w:shd w:val="clear" w:color="auto" w:fill="auto"/>
            <w:noWrap w:val="0"/>
            <w:vAlign w:val="center"/>
          </w:tcPr>
          <w:p w14:paraId="0D0D8EA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623" w:type="pct"/>
            <w:shd w:val="clear" w:color="auto" w:fill="auto"/>
            <w:noWrap w:val="0"/>
            <w:vAlign w:val="center"/>
          </w:tcPr>
          <w:p w14:paraId="17FCD47A">
            <w:pPr>
              <w:keepNext w:val="0"/>
              <w:keepLines w:val="0"/>
              <w:widowControl/>
              <w:suppressLineNumbers w:val="0"/>
              <w:jc w:val="center"/>
              <w:textAlignment w:val="center"/>
              <w:rPr>
                <w:rFonts w:hint="eastAsia"/>
                <w:color w:val="auto"/>
                <w:kern w:val="0"/>
                <w:szCs w:val="21"/>
                <w:lang w:val="en-US" w:eastAsia="zh-CN"/>
              </w:rPr>
            </w:pPr>
            <w:r>
              <w:rPr>
                <w:rFonts w:hint="default" w:ascii="Times New Roman" w:hAnsi="Times New Roman" w:cs="Times New Roman"/>
                <w:color w:val="auto"/>
                <w:szCs w:val="21"/>
                <w:highlight w:val="none"/>
                <w:lang w:val="en-US" w:eastAsia="zh-CN"/>
              </w:rPr>
              <w:t>0.091</w:t>
            </w:r>
            <w:r>
              <w:rPr>
                <w:rFonts w:ascii="Times New Roman" w:hAnsi="Times New Roman"/>
                <w:color w:val="auto"/>
                <w:kern w:val="0"/>
                <w:szCs w:val="21"/>
              </w:rPr>
              <w:t>t/a</w:t>
            </w:r>
          </w:p>
        </w:tc>
        <w:tc>
          <w:tcPr>
            <w:tcW w:w="470" w:type="pct"/>
            <w:noWrap w:val="0"/>
            <w:vAlign w:val="center"/>
          </w:tcPr>
          <w:p w14:paraId="3C3143CB">
            <w:pPr>
              <w:keepNext w:val="0"/>
              <w:keepLines w:val="0"/>
              <w:widowControl/>
              <w:suppressLineNumbers w:val="0"/>
              <w:jc w:val="center"/>
              <w:textAlignment w:val="center"/>
              <w:rPr>
                <w:rFonts w:hint="eastAsia"/>
                <w:color w:val="auto"/>
                <w:kern w:val="0"/>
                <w:szCs w:val="21"/>
                <w:lang w:val="en-US" w:eastAsia="zh-CN"/>
              </w:rPr>
            </w:pP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0.091</w:t>
            </w:r>
            <w:r>
              <w:rPr>
                <w:rFonts w:ascii="Times New Roman" w:hAnsi="Times New Roman"/>
                <w:color w:val="auto"/>
                <w:kern w:val="0"/>
                <w:szCs w:val="21"/>
              </w:rPr>
              <w:t>t/a</w:t>
            </w:r>
          </w:p>
        </w:tc>
      </w:tr>
      <w:tr w14:paraId="5DEB2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 w:type="pct"/>
            <w:vMerge w:val="continue"/>
            <w:noWrap w:val="0"/>
            <w:vAlign w:val="center"/>
          </w:tcPr>
          <w:p w14:paraId="2CBEE5D6">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p>
        </w:tc>
        <w:tc>
          <w:tcPr>
            <w:tcW w:w="701" w:type="pct"/>
            <w:noWrap w:val="0"/>
            <w:vAlign w:val="center"/>
          </w:tcPr>
          <w:p w14:paraId="675CAAA8">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氮氧化物</w:t>
            </w:r>
          </w:p>
        </w:tc>
        <w:tc>
          <w:tcPr>
            <w:tcW w:w="598" w:type="pct"/>
            <w:shd w:val="clear" w:color="auto" w:fill="auto"/>
            <w:noWrap w:val="0"/>
            <w:vAlign w:val="center"/>
          </w:tcPr>
          <w:p w14:paraId="241B83D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462" w:type="pct"/>
            <w:shd w:val="clear" w:color="auto" w:fill="auto"/>
            <w:noWrap w:val="0"/>
            <w:vAlign w:val="center"/>
          </w:tcPr>
          <w:p w14:paraId="25F2EF62">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617" w:type="pct"/>
            <w:shd w:val="clear" w:color="auto" w:fill="auto"/>
            <w:noWrap w:val="0"/>
            <w:vAlign w:val="center"/>
          </w:tcPr>
          <w:p w14:paraId="3B8FB83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565" w:type="pct"/>
            <w:shd w:val="clear" w:color="auto" w:fill="auto"/>
            <w:noWrap w:val="0"/>
            <w:vAlign w:val="center"/>
          </w:tcPr>
          <w:p w14:paraId="403DB93D">
            <w:pPr>
              <w:keepNext w:val="0"/>
              <w:keepLines w:val="0"/>
              <w:widowControl/>
              <w:suppressLineNumbers w:val="0"/>
              <w:jc w:val="center"/>
              <w:textAlignment w:val="center"/>
              <w:rPr>
                <w:rFonts w:hint="eastAsia"/>
                <w:color w:val="auto"/>
                <w:kern w:val="0"/>
                <w:szCs w:val="21"/>
                <w:lang w:val="en-US" w:eastAsia="zh-CN"/>
              </w:rPr>
            </w:pPr>
            <w:r>
              <w:rPr>
                <w:rFonts w:hint="default" w:ascii="Times New Roman" w:hAnsi="Times New Roman" w:cs="Times New Roman"/>
                <w:color w:val="auto"/>
                <w:szCs w:val="21"/>
                <w:highlight w:val="none"/>
                <w:lang w:val="en-US" w:eastAsia="zh-CN"/>
              </w:rPr>
              <w:t>0.685</w:t>
            </w:r>
            <w:r>
              <w:rPr>
                <w:rFonts w:ascii="Times New Roman" w:hAnsi="Times New Roman"/>
                <w:color w:val="auto"/>
                <w:kern w:val="0"/>
                <w:szCs w:val="21"/>
              </w:rPr>
              <w:t>t/a</w:t>
            </w:r>
          </w:p>
        </w:tc>
        <w:tc>
          <w:tcPr>
            <w:tcW w:w="554" w:type="pct"/>
            <w:shd w:val="clear" w:color="auto" w:fill="auto"/>
            <w:noWrap w:val="0"/>
            <w:vAlign w:val="center"/>
          </w:tcPr>
          <w:p w14:paraId="485B395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623" w:type="pct"/>
            <w:shd w:val="clear" w:color="auto" w:fill="auto"/>
            <w:noWrap w:val="0"/>
            <w:vAlign w:val="center"/>
          </w:tcPr>
          <w:p w14:paraId="7AFFB78F">
            <w:pPr>
              <w:keepNext w:val="0"/>
              <w:keepLines w:val="0"/>
              <w:widowControl/>
              <w:suppressLineNumbers w:val="0"/>
              <w:jc w:val="center"/>
              <w:textAlignment w:val="center"/>
              <w:rPr>
                <w:rFonts w:hint="eastAsia"/>
                <w:color w:val="auto"/>
                <w:kern w:val="0"/>
                <w:szCs w:val="21"/>
                <w:lang w:val="en-US" w:eastAsia="zh-CN"/>
              </w:rPr>
            </w:pPr>
            <w:r>
              <w:rPr>
                <w:rFonts w:hint="default" w:ascii="Times New Roman" w:hAnsi="Times New Roman" w:cs="Times New Roman"/>
                <w:color w:val="auto"/>
                <w:szCs w:val="21"/>
                <w:highlight w:val="none"/>
                <w:lang w:val="en-US" w:eastAsia="zh-CN"/>
              </w:rPr>
              <w:t>0.685</w:t>
            </w:r>
            <w:r>
              <w:rPr>
                <w:rFonts w:ascii="Times New Roman" w:hAnsi="Times New Roman"/>
                <w:color w:val="auto"/>
                <w:kern w:val="0"/>
                <w:szCs w:val="21"/>
              </w:rPr>
              <w:t>t/a</w:t>
            </w:r>
          </w:p>
        </w:tc>
        <w:tc>
          <w:tcPr>
            <w:tcW w:w="470" w:type="pct"/>
            <w:noWrap w:val="0"/>
            <w:vAlign w:val="center"/>
          </w:tcPr>
          <w:p w14:paraId="19819BB6">
            <w:pPr>
              <w:keepNext w:val="0"/>
              <w:keepLines w:val="0"/>
              <w:widowControl/>
              <w:suppressLineNumbers w:val="0"/>
              <w:jc w:val="center"/>
              <w:textAlignment w:val="center"/>
              <w:rPr>
                <w:rFonts w:hint="eastAsia"/>
                <w:color w:val="auto"/>
                <w:kern w:val="0"/>
                <w:szCs w:val="21"/>
                <w:lang w:val="en-US" w:eastAsia="zh-CN"/>
              </w:rPr>
            </w:pP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0.685</w:t>
            </w:r>
            <w:r>
              <w:rPr>
                <w:rFonts w:ascii="Times New Roman" w:hAnsi="Times New Roman"/>
                <w:color w:val="auto"/>
                <w:kern w:val="0"/>
                <w:szCs w:val="21"/>
              </w:rPr>
              <w:t>t/a</w:t>
            </w:r>
          </w:p>
        </w:tc>
      </w:tr>
      <w:tr w14:paraId="221AF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 w:type="pct"/>
            <w:vMerge w:val="restart"/>
            <w:noWrap w:val="0"/>
            <w:vAlign w:val="center"/>
          </w:tcPr>
          <w:p w14:paraId="4D2EBF1B">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一般固废</w:t>
            </w:r>
          </w:p>
        </w:tc>
        <w:tc>
          <w:tcPr>
            <w:tcW w:w="701" w:type="pct"/>
            <w:shd w:val="clear" w:color="auto" w:fill="auto"/>
            <w:noWrap w:val="0"/>
            <w:vAlign w:val="center"/>
          </w:tcPr>
          <w:p w14:paraId="2B0DAB5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废包装物</w:t>
            </w:r>
          </w:p>
        </w:tc>
        <w:tc>
          <w:tcPr>
            <w:tcW w:w="598" w:type="pct"/>
            <w:shd w:val="clear" w:color="auto" w:fill="auto"/>
            <w:noWrap w:val="0"/>
            <w:vAlign w:val="center"/>
          </w:tcPr>
          <w:p w14:paraId="4DA826E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462" w:type="pct"/>
            <w:shd w:val="clear" w:color="auto" w:fill="auto"/>
            <w:noWrap w:val="0"/>
            <w:vAlign w:val="center"/>
          </w:tcPr>
          <w:p w14:paraId="26774B2C">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617" w:type="pct"/>
            <w:shd w:val="clear" w:color="auto" w:fill="auto"/>
            <w:noWrap w:val="0"/>
            <w:vAlign w:val="center"/>
          </w:tcPr>
          <w:p w14:paraId="66D495C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565" w:type="pct"/>
            <w:shd w:val="clear" w:color="auto" w:fill="auto"/>
            <w:noWrap w:val="0"/>
            <w:vAlign w:val="center"/>
          </w:tcPr>
          <w:p w14:paraId="31A550A2">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0.5</w:t>
            </w:r>
            <w:r>
              <w:rPr>
                <w:rFonts w:hint="eastAsia" w:cs="Times New Roman"/>
                <w:color w:val="auto"/>
                <w:sz w:val="21"/>
                <w:szCs w:val="21"/>
                <w:lang w:val="en-US" w:eastAsia="zh-CN"/>
              </w:rPr>
              <w:t>t/a</w:t>
            </w:r>
          </w:p>
        </w:tc>
        <w:tc>
          <w:tcPr>
            <w:tcW w:w="554" w:type="pct"/>
            <w:shd w:val="clear" w:color="auto" w:fill="auto"/>
            <w:noWrap w:val="0"/>
            <w:vAlign w:val="center"/>
          </w:tcPr>
          <w:p w14:paraId="7871AE1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623" w:type="pct"/>
            <w:shd w:val="clear" w:color="auto" w:fill="auto"/>
            <w:noWrap w:val="0"/>
            <w:vAlign w:val="center"/>
          </w:tcPr>
          <w:p w14:paraId="7DC6CB0C">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0.5</w:t>
            </w:r>
            <w:r>
              <w:rPr>
                <w:rFonts w:hint="eastAsia" w:cs="Times New Roman"/>
                <w:color w:val="auto"/>
                <w:sz w:val="21"/>
                <w:szCs w:val="21"/>
                <w:lang w:val="en-US" w:eastAsia="zh-CN"/>
              </w:rPr>
              <w:t>t/a</w:t>
            </w:r>
          </w:p>
        </w:tc>
        <w:tc>
          <w:tcPr>
            <w:tcW w:w="470" w:type="pct"/>
            <w:shd w:val="clear" w:color="auto" w:fill="auto"/>
            <w:noWrap w:val="0"/>
            <w:vAlign w:val="center"/>
          </w:tcPr>
          <w:p w14:paraId="0E80E62C">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highlight w:val="none"/>
                <w:lang w:val="en-US" w:eastAsia="zh-CN"/>
              </w:rPr>
              <w:t>+0.5</w:t>
            </w:r>
            <w:r>
              <w:rPr>
                <w:rFonts w:hint="eastAsia" w:cs="Times New Roman"/>
                <w:color w:val="auto"/>
                <w:sz w:val="21"/>
                <w:szCs w:val="21"/>
                <w:lang w:val="en-US" w:eastAsia="zh-CN"/>
              </w:rPr>
              <w:t>t/a</w:t>
            </w:r>
          </w:p>
        </w:tc>
      </w:tr>
      <w:tr w14:paraId="5D7B3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 w:type="pct"/>
            <w:vMerge w:val="continue"/>
            <w:noWrap w:val="0"/>
            <w:vAlign w:val="center"/>
          </w:tcPr>
          <w:p w14:paraId="06E41CEC">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p>
        </w:tc>
        <w:tc>
          <w:tcPr>
            <w:tcW w:w="701" w:type="pct"/>
            <w:shd w:val="clear" w:color="auto" w:fill="auto"/>
            <w:noWrap w:val="0"/>
            <w:vAlign w:val="center"/>
          </w:tcPr>
          <w:p w14:paraId="28CFB39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废铁块</w:t>
            </w:r>
          </w:p>
        </w:tc>
        <w:tc>
          <w:tcPr>
            <w:tcW w:w="598" w:type="pct"/>
            <w:shd w:val="clear" w:color="auto" w:fill="auto"/>
            <w:noWrap w:val="0"/>
            <w:vAlign w:val="center"/>
          </w:tcPr>
          <w:p w14:paraId="403049C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462" w:type="pct"/>
            <w:shd w:val="clear" w:color="auto" w:fill="auto"/>
            <w:noWrap w:val="0"/>
            <w:vAlign w:val="center"/>
          </w:tcPr>
          <w:p w14:paraId="71F0326E">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617" w:type="pct"/>
            <w:shd w:val="clear" w:color="auto" w:fill="auto"/>
            <w:noWrap w:val="0"/>
            <w:vAlign w:val="center"/>
          </w:tcPr>
          <w:p w14:paraId="5536DFF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565" w:type="pct"/>
            <w:shd w:val="clear" w:color="auto" w:fill="auto"/>
            <w:noWrap w:val="0"/>
            <w:vAlign w:val="center"/>
          </w:tcPr>
          <w:p w14:paraId="4AF3A372">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1750</w:t>
            </w:r>
            <w:r>
              <w:rPr>
                <w:rFonts w:hint="eastAsia" w:cs="Times New Roman"/>
                <w:color w:val="auto"/>
                <w:sz w:val="21"/>
                <w:szCs w:val="21"/>
                <w:lang w:val="en-US" w:eastAsia="zh-CN"/>
              </w:rPr>
              <w:t>t/a</w:t>
            </w:r>
          </w:p>
        </w:tc>
        <w:tc>
          <w:tcPr>
            <w:tcW w:w="554" w:type="pct"/>
            <w:shd w:val="clear" w:color="auto" w:fill="auto"/>
            <w:noWrap w:val="0"/>
            <w:vAlign w:val="center"/>
          </w:tcPr>
          <w:p w14:paraId="343A1CE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623" w:type="pct"/>
            <w:shd w:val="clear" w:color="auto" w:fill="auto"/>
            <w:noWrap w:val="0"/>
            <w:vAlign w:val="center"/>
          </w:tcPr>
          <w:p w14:paraId="2A8389B6">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1750</w:t>
            </w:r>
            <w:r>
              <w:rPr>
                <w:rFonts w:hint="eastAsia" w:cs="Times New Roman"/>
                <w:color w:val="auto"/>
                <w:sz w:val="21"/>
                <w:szCs w:val="21"/>
                <w:lang w:val="en-US" w:eastAsia="zh-CN"/>
              </w:rPr>
              <w:t>t/a</w:t>
            </w:r>
          </w:p>
        </w:tc>
        <w:tc>
          <w:tcPr>
            <w:tcW w:w="470" w:type="pct"/>
            <w:shd w:val="clear" w:color="auto" w:fill="auto"/>
            <w:noWrap w:val="0"/>
            <w:vAlign w:val="center"/>
          </w:tcPr>
          <w:p w14:paraId="6A3633F4">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1750</w:t>
            </w:r>
            <w:r>
              <w:rPr>
                <w:rFonts w:hint="eastAsia" w:cs="Times New Roman"/>
                <w:color w:val="auto"/>
                <w:sz w:val="21"/>
                <w:szCs w:val="21"/>
                <w:lang w:val="en-US" w:eastAsia="zh-CN"/>
              </w:rPr>
              <w:t>t/a</w:t>
            </w:r>
          </w:p>
        </w:tc>
      </w:tr>
      <w:tr w14:paraId="76EF5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 w:type="pct"/>
            <w:vMerge w:val="continue"/>
            <w:noWrap w:val="0"/>
            <w:vAlign w:val="center"/>
          </w:tcPr>
          <w:p w14:paraId="5E7A6532">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p>
        </w:tc>
        <w:tc>
          <w:tcPr>
            <w:tcW w:w="701" w:type="pct"/>
            <w:shd w:val="clear" w:color="auto" w:fill="auto"/>
            <w:noWrap w:val="0"/>
            <w:vAlign w:val="center"/>
          </w:tcPr>
          <w:p w14:paraId="4C4561AD">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废石子</w:t>
            </w:r>
          </w:p>
        </w:tc>
        <w:tc>
          <w:tcPr>
            <w:tcW w:w="598" w:type="pct"/>
            <w:shd w:val="clear" w:color="auto" w:fill="auto"/>
            <w:noWrap w:val="0"/>
            <w:vAlign w:val="center"/>
          </w:tcPr>
          <w:p w14:paraId="5379B51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462" w:type="pct"/>
            <w:shd w:val="clear" w:color="auto" w:fill="auto"/>
            <w:noWrap w:val="0"/>
            <w:vAlign w:val="center"/>
          </w:tcPr>
          <w:p w14:paraId="5128818D">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617" w:type="pct"/>
            <w:shd w:val="clear" w:color="auto" w:fill="auto"/>
            <w:noWrap w:val="0"/>
            <w:vAlign w:val="center"/>
          </w:tcPr>
          <w:p w14:paraId="0B9139E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565" w:type="pct"/>
            <w:shd w:val="clear" w:color="auto" w:fill="auto"/>
            <w:noWrap w:val="0"/>
            <w:vAlign w:val="center"/>
          </w:tcPr>
          <w:p w14:paraId="557093FA">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1750</w:t>
            </w:r>
            <w:r>
              <w:rPr>
                <w:rFonts w:hint="eastAsia" w:cs="Times New Roman"/>
                <w:color w:val="auto"/>
                <w:sz w:val="21"/>
                <w:szCs w:val="21"/>
                <w:lang w:val="en-US" w:eastAsia="zh-CN"/>
              </w:rPr>
              <w:t>t/a</w:t>
            </w:r>
          </w:p>
        </w:tc>
        <w:tc>
          <w:tcPr>
            <w:tcW w:w="554" w:type="pct"/>
            <w:shd w:val="clear" w:color="auto" w:fill="auto"/>
            <w:noWrap w:val="0"/>
            <w:vAlign w:val="center"/>
          </w:tcPr>
          <w:p w14:paraId="29C051F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623" w:type="pct"/>
            <w:shd w:val="clear" w:color="auto" w:fill="auto"/>
            <w:noWrap w:val="0"/>
            <w:vAlign w:val="center"/>
          </w:tcPr>
          <w:p w14:paraId="664D814F">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1750</w:t>
            </w:r>
            <w:r>
              <w:rPr>
                <w:rFonts w:hint="eastAsia" w:cs="Times New Roman"/>
                <w:color w:val="auto"/>
                <w:sz w:val="21"/>
                <w:szCs w:val="21"/>
                <w:lang w:val="en-US" w:eastAsia="zh-CN"/>
              </w:rPr>
              <w:t>t/a</w:t>
            </w:r>
          </w:p>
        </w:tc>
        <w:tc>
          <w:tcPr>
            <w:tcW w:w="470" w:type="pct"/>
            <w:shd w:val="clear" w:color="auto" w:fill="auto"/>
            <w:noWrap w:val="0"/>
            <w:vAlign w:val="center"/>
          </w:tcPr>
          <w:p w14:paraId="3DBD6012">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1750</w:t>
            </w:r>
            <w:r>
              <w:rPr>
                <w:rFonts w:hint="eastAsia" w:cs="Times New Roman"/>
                <w:color w:val="auto"/>
                <w:sz w:val="21"/>
                <w:szCs w:val="21"/>
                <w:lang w:val="en-US" w:eastAsia="zh-CN"/>
              </w:rPr>
              <w:t>t/a</w:t>
            </w:r>
          </w:p>
        </w:tc>
      </w:tr>
      <w:tr w14:paraId="4CF1D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 w:type="pct"/>
            <w:vMerge w:val="continue"/>
            <w:noWrap w:val="0"/>
            <w:vAlign w:val="center"/>
          </w:tcPr>
          <w:p w14:paraId="4D09E023">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p>
        </w:tc>
        <w:tc>
          <w:tcPr>
            <w:tcW w:w="701" w:type="pct"/>
            <w:shd w:val="clear" w:color="auto" w:fill="auto"/>
            <w:noWrap w:val="0"/>
            <w:vAlign w:val="center"/>
          </w:tcPr>
          <w:p w14:paraId="5BE597CC">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废布袋</w:t>
            </w:r>
          </w:p>
        </w:tc>
        <w:tc>
          <w:tcPr>
            <w:tcW w:w="598" w:type="pct"/>
            <w:shd w:val="clear" w:color="auto" w:fill="auto"/>
            <w:noWrap w:val="0"/>
            <w:vAlign w:val="center"/>
          </w:tcPr>
          <w:p w14:paraId="63BD9A7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462" w:type="pct"/>
            <w:shd w:val="clear" w:color="auto" w:fill="auto"/>
            <w:noWrap w:val="0"/>
            <w:vAlign w:val="center"/>
          </w:tcPr>
          <w:p w14:paraId="2E8230F7">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617" w:type="pct"/>
            <w:shd w:val="clear" w:color="auto" w:fill="auto"/>
            <w:noWrap w:val="0"/>
            <w:vAlign w:val="center"/>
          </w:tcPr>
          <w:p w14:paraId="26B33CC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565" w:type="pct"/>
            <w:shd w:val="clear" w:color="auto" w:fill="auto"/>
            <w:noWrap w:val="0"/>
            <w:vAlign w:val="center"/>
          </w:tcPr>
          <w:p w14:paraId="7B476FE1">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r>
              <w:rPr>
                <w:rFonts w:hint="eastAsia" w:cs="Times New Roman"/>
                <w:color w:val="auto"/>
                <w:sz w:val="21"/>
                <w:szCs w:val="21"/>
                <w:lang w:val="en-US" w:eastAsia="zh-CN"/>
              </w:rPr>
              <w:t>t/a</w:t>
            </w:r>
          </w:p>
        </w:tc>
        <w:tc>
          <w:tcPr>
            <w:tcW w:w="554" w:type="pct"/>
            <w:shd w:val="clear" w:color="auto" w:fill="auto"/>
            <w:noWrap w:val="0"/>
            <w:vAlign w:val="center"/>
          </w:tcPr>
          <w:p w14:paraId="6FC2A33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623" w:type="pct"/>
            <w:shd w:val="clear" w:color="auto" w:fill="auto"/>
            <w:noWrap w:val="0"/>
            <w:vAlign w:val="center"/>
          </w:tcPr>
          <w:p w14:paraId="20C28CD0">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r>
              <w:rPr>
                <w:rFonts w:hint="eastAsia" w:cs="Times New Roman"/>
                <w:color w:val="auto"/>
                <w:sz w:val="21"/>
                <w:szCs w:val="21"/>
                <w:lang w:val="en-US" w:eastAsia="zh-CN"/>
              </w:rPr>
              <w:t>t/a</w:t>
            </w:r>
          </w:p>
        </w:tc>
        <w:tc>
          <w:tcPr>
            <w:tcW w:w="470" w:type="pct"/>
            <w:shd w:val="clear" w:color="auto" w:fill="auto"/>
            <w:noWrap w:val="0"/>
            <w:vAlign w:val="center"/>
          </w:tcPr>
          <w:p w14:paraId="0149D7AD">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highlight w:val="none"/>
                <w:lang w:val="en-US" w:eastAsia="zh-CN"/>
              </w:rPr>
              <w:t>+0.2</w:t>
            </w:r>
            <w:r>
              <w:rPr>
                <w:rFonts w:hint="eastAsia" w:cs="Times New Roman"/>
                <w:color w:val="auto"/>
                <w:sz w:val="21"/>
                <w:szCs w:val="21"/>
                <w:lang w:val="en-US" w:eastAsia="zh-CN"/>
              </w:rPr>
              <w:t>t/a</w:t>
            </w:r>
          </w:p>
        </w:tc>
      </w:tr>
      <w:tr w14:paraId="1CFF9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 w:type="pct"/>
            <w:vMerge w:val="continue"/>
            <w:noWrap w:val="0"/>
            <w:vAlign w:val="center"/>
          </w:tcPr>
          <w:p w14:paraId="62357EB8">
            <w:pPr>
              <w:pStyle w:val="60"/>
              <w:keepNext w:val="0"/>
              <w:keepLines w:val="0"/>
              <w:pageBreakBefore w:val="0"/>
              <w:kinsoku/>
              <w:wordWrap/>
              <w:overflowPunct/>
              <w:topLinePunct w:val="0"/>
              <w:autoSpaceDE/>
              <w:autoSpaceDN/>
              <w:bidi w:val="0"/>
              <w:spacing w:beforeLines="0" w:afterLines="0" w:line="240" w:lineRule="auto"/>
              <w:ind w:firstLine="0"/>
              <w:jc w:val="center"/>
              <w:textAlignment w:val="auto"/>
              <w:rPr>
                <w:rFonts w:hint="default" w:ascii="Times New Roman" w:hAnsi="Times New Roman" w:eastAsia="宋体" w:cs="Times New Roman"/>
                <w:snapToGrid w:val="0"/>
                <w:color w:val="auto"/>
                <w:kern w:val="21"/>
                <w:sz w:val="21"/>
                <w:szCs w:val="21"/>
              </w:rPr>
            </w:pPr>
          </w:p>
        </w:tc>
        <w:tc>
          <w:tcPr>
            <w:tcW w:w="701" w:type="pct"/>
            <w:shd w:val="clear" w:color="auto" w:fill="auto"/>
            <w:noWrap w:val="0"/>
            <w:vAlign w:val="center"/>
          </w:tcPr>
          <w:p w14:paraId="184DE1FB">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 w:val="21"/>
                <w:szCs w:val="21"/>
                <w:lang w:val="en-US" w:eastAsia="zh-CN"/>
              </w:rPr>
              <w:t>除尘设施收集粉尘</w:t>
            </w:r>
          </w:p>
        </w:tc>
        <w:tc>
          <w:tcPr>
            <w:tcW w:w="598" w:type="pct"/>
            <w:shd w:val="clear" w:color="auto" w:fill="auto"/>
            <w:noWrap w:val="0"/>
            <w:vAlign w:val="center"/>
          </w:tcPr>
          <w:p w14:paraId="66709BF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462" w:type="pct"/>
            <w:shd w:val="clear" w:color="auto" w:fill="auto"/>
            <w:noWrap w:val="0"/>
            <w:vAlign w:val="center"/>
          </w:tcPr>
          <w:p w14:paraId="6E646E1B">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617" w:type="pct"/>
            <w:shd w:val="clear" w:color="auto" w:fill="auto"/>
            <w:noWrap w:val="0"/>
            <w:vAlign w:val="center"/>
          </w:tcPr>
          <w:p w14:paraId="50F44C7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565" w:type="pct"/>
            <w:shd w:val="clear" w:color="auto" w:fill="auto"/>
            <w:noWrap w:val="0"/>
            <w:vAlign w:val="center"/>
          </w:tcPr>
          <w:p w14:paraId="69073F0C">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82.588</w:t>
            </w:r>
            <w:r>
              <w:rPr>
                <w:rFonts w:hint="eastAsia" w:cs="Times New Roman"/>
                <w:color w:val="auto"/>
                <w:sz w:val="21"/>
                <w:szCs w:val="21"/>
                <w:lang w:val="en-US" w:eastAsia="zh-CN"/>
              </w:rPr>
              <w:t>t/a</w:t>
            </w:r>
          </w:p>
        </w:tc>
        <w:tc>
          <w:tcPr>
            <w:tcW w:w="554" w:type="pct"/>
            <w:shd w:val="clear" w:color="auto" w:fill="auto"/>
            <w:noWrap w:val="0"/>
            <w:vAlign w:val="center"/>
          </w:tcPr>
          <w:p w14:paraId="3F71137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623" w:type="pct"/>
            <w:shd w:val="clear" w:color="auto" w:fill="auto"/>
            <w:noWrap w:val="0"/>
            <w:vAlign w:val="center"/>
          </w:tcPr>
          <w:p w14:paraId="7F47DB77">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82.588</w:t>
            </w:r>
            <w:r>
              <w:rPr>
                <w:rFonts w:hint="eastAsia" w:cs="Times New Roman"/>
                <w:color w:val="auto"/>
                <w:sz w:val="21"/>
                <w:szCs w:val="21"/>
                <w:lang w:val="en-US" w:eastAsia="zh-CN"/>
              </w:rPr>
              <w:t>t/a</w:t>
            </w:r>
          </w:p>
        </w:tc>
        <w:tc>
          <w:tcPr>
            <w:tcW w:w="470" w:type="pct"/>
            <w:shd w:val="clear" w:color="auto" w:fill="auto"/>
            <w:noWrap w:val="0"/>
            <w:vAlign w:val="center"/>
          </w:tcPr>
          <w:p w14:paraId="68925BA3">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82.588</w:t>
            </w:r>
            <w:r>
              <w:rPr>
                <w:rFonts w:hint="eastAsia" w:cs="Times New Roman"/>
                <w:color w:val="auto"/>
                <w:sz w:val="21"/>
                <w:szCs w:val="21"/>
                <w:lang w:val="en-US" w:eastAsia="zh-CN"/>
              </w:rPr>
              <w:t>t/a</w:t>
            </w:r>
          </w:p>
        </w:tc>
      </w:tr>
      <w:tr w14:paraId="31001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pct"/>
            <w:gridSpan w:val="2"/>
            <w:vAlign w:val="center"/>
          </w:tcPr>
          <w:p w14:paraId="5DC417F3">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生活垃圾</w:t>
            </w:r>
          </w:p>
        </w:tc>
        <w:tc>
          <w:tcPr>
            <w:tcW w:w="0" w:type="auto"/>
            <w:shd w:val="clear" w:color="auto" w:fill="auto"/>
            <w:vAlign w:val="center"/>
          </w:tcPr>
          <w:p w14:paraId="056C562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0" w:type="auto"/>
            <w:shd w:val="clear" w:color="auto" w:fill="auto"/>
            <w:vAlign w:val="center"/>
          </w:tcPr>
          <w:p w14:paraId="4A4A0F9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617" w:type="pct"/>
            <w:shd w:val="clear" w:color="auto" w:fill="auto"/>
            <w:vAlign w:val="center"/>
          </w:tcPr>
          <w:p w14:paraId="7D04A13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0" w:type="auto"/>
            <w:shd w:val="clear" w:color="auto" w:fill="auto"/>
            <w:vAlign w:val="center"/>
          </w:tcPr>
          <w:p w14:paraId="150A4C6C">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4.5</w:t>
            </w:r>
            <w:r>
              <w:rPr>
                <w:rFonts w:hint="eastAsia" w:cs="Times New Roman"/>
                <w:color w:val="auto"/>
                <w:sz w:val="21"/>
                <w:szCs w:val="21"/>
                <w:lang w:val="en-US" w:eastAsia="zh-CN"/>
              </w:rPr>
              <w:t>t/a</w:t>
            </w:r>
          </w:p>
        </w:tc>
        <w:tc>
          <w:tcPr>
            <w:tcW w:w="554" w:type="pct"/>
            <w:shd w:val="clear" w:color="auto" w:fill="auto"/>
            <w:vAlign w:val="center"/>
          </w:tcPr>
          <w:p w14:paraId="4A459C4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623" w:type="pct"/>
            <w:shd w:val="clear" w:color="auto" w:fill="auto"/>
            <w:vAlign w:val="center"/>
          </w:tcPr>
          <w:p w14:paraId="0257DBA1">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4.5</w:t>
            </w:r>
            <w:r>
              <w:rPr>
                <w:rFonts w:hint="eastAsia" w:cs="Times New Roman"/>
                <w:color w:val="auto"/>
                <w:sz w:val="21"/>
                <w:szCs w:val="21"/>
                <w:lang w:val="en-US" w:eastAsia="zh-CN"/>
              </w:rPr>
              <w:t>t/a</w:t>
            </w:r>
          </w:p>
        </w:tc>
        <w:tc>
          <w:tcPr>
            <w:tcW w:w="470" w:type="pct"/>
            <w:shd w:val="clear" w:color="auto" w:fill="auto"/>
            <w:vAlign w:val="center"/>
          </w:tcPr>
          <w:p w14:paraId="677AB430">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+4.5</w:t>
            </w:r>
            <w:r>
              <w:rPr>
                <w:rFonts w:hint="eastAsia" w:cs="Times New Roman"/>
                <w:color w:val="auto"/>
                <w:sz w:val="21"/>
                <w:szCs w:val="21"/>
                <w:lang w:val="en-US" w:eastAsia="zh-CN"/>
              </w:rPr>
              <w:t>t/a</w:t>
            </w:r>
          </w:p>
        </w:tc>
      </w:tr>
    </w:tbl>
    <w:p w14:paraId="7750E2A0">
      <w:pPr>
        <w:pStyle w:val="60"/>
        <w:spacing w:before="192" w:beforeLines="80" w:after="24"/>
        <w:jc w:val="left"/>
        <w:rPr>
          <w:rFonts w:ascii="Times New Roman" w:hAnsi="Times New Roman"/>
          <w:snapToGrid w:val="0"/>
          <w:color w:val="auto"/>
          <w:spacing w:val="-6"/>
          <w:kern w:val="21"/>
          <w:sz w:val="24"/>
          <w:szCs w:val="20"/>
        </w:rPr>
      </w:pPr>
      <w:r>
        <w:rPr>
          <w:rFonts w:ascii="Times New Roman" w:hAnsi="Times New Roman"/>
          <w:snapToGrid w:val="0"/>
          <w:color w:val="auto"/>
          <w:kern w:val="21"/>
          <w:sz w:val="24"/>
          <w:szCs w:val="20"/>
        </w:rPr>
        <w:t>注：</w:t>
      </w:r>
      <w:r>
        <w:rPr>
          <w:rFonts w:hint="eastAsia" w:hAnsi="宋体" w:cs="宋体"/>
          <w:color w:val="auto"/>
          <w:sz w:val="24"/>
          <w:szCs w:val="20"/>
        </w:rPr>
        <w:t>⑥</w:t>
      </w:r>
      <w:r>
        <w:rPr>
          <w:rFonts w:ascii="Times New Roman" w:hAnsi="Times New Roman"/>
          <w:snapToGrid w:val="0"/>
          <w:color w:val="auto"/>
          <w:spacing w:val="-16"/>
          <w:kern w:val="21"/>
          <w:sz w:val="24"/>
          <w:szCs w:val="20"/>
        </w:rPr>
        <w:t>=</w:t>
      </w:r>
      <w:r>
        <w:rPr>
          <w:rFonts w:hint="eastAsia" w:hAnsi="宋体" w:cs="宋体"/>
          <w:color w:val="auto"/>
          <w:sz w:val="24"/>
          <w:szCs w:val="20"/>
        </w:rPr>
        <w:t>①</w:t>
      </w:r>
      <w:r>
        <w:rPr>
          <w:rFonts w:ascii="Times New Roman" w:hAnsi="Times New Roman"/>
          <w:snapToGrid w:val="0"/>
          <w:color w:val="auto"/>
          <w:spacing w:val="-6"/>
          <w:kern w:val="21"/>
          <w:sz w:val="24"/>
          <w:szCs w:val="20"/>
        </w:rPr>
        <w:t>+</w:t>
      </w:r>
      <w:r>
        <w:rPr>
          <w:rFonts w:hint="eastAsia" w:hAnsi="宋体" w:cs="宋体"/>
          <w:color w:val="auto"/>
          <w:sz w:val="24"/>
          <w:szCs w:val="20"/>
        </w:rPr>
        <w:t>③</w:t>
      </w:r>
      <w:r>
        <w:rPr>
          <w:rFonts w:ascii="Times New Roman" w:hAnsi="Times New Roman"/>
          <w:snapToGrid w:val="0"/>
          <w:color w:val="auto"/>
          <w:spacing w:val="-6"/>
          <w:kern w:val="21"/>
          <w:sz w:val="24"/>
          <w:szCs w:val="20"/>
        </w:rPr>
        <w:t>+</w:t>
      </w:r>
      <w:r>
        <w:rPr>
          <w:rFonts w:hint="eastAsia" w:hAnsi="宋体" w:cs="宋体"/>
          <w:color w:val="auto"/>
          <w:sz w:val="24"/>
          <w:szCs w:val="20"/>
        </w:rPr>
        <w:t>④</w:t>
      </w:r>
      <w:r>
        <w:rPr>
          <w:rFonts w:ascii="Times New Roman" w:hAnsi="Times New Roman"/>
          <w:snapToGrid w:val="0"/>
          <w:color w:val="auto"/>
          <w:spacing w:val="-6"/>
          <w:kern w:val="21"/>
          <w:sz w:val="24"/>
          <w:szCs w:val="20"/>
        </w:rPr>
        <w:t>-</w:t>
      </w:r>
      <w:r>
        <w:rPr>
          <w:rFonts w:hint="eastAsia" w:hAnsi="宋体" w:cs="宋体"/>
          <w:color w:val="auto"/>
          <w:sz w:val="24"/>
          <w:szCs w:val="20"/>
        </w:rPr>
        <w:t>⑤</w:t>
      </w:r>
      <w:r>
        <w:rPr>
          <w:rFonts w:ascii="Times New Roman" w:hAnsi="Times New Roman"/>
          <w:snapToGrid w:val="0"/>
          <w:color w:val="auto"/>
          <w:spacing w:val="-16"/>
          <w:kern w:val="21"/>
          <w:sz w:val="24"/>
          <w:szCs w:val="20"/>
        </w:rPr>
        <w:t>；</w:t>
      </w:r>
      <w:r>
        <w:rPr>
          <w:rFonts w:hint="eastAsia" w:hAnsi="宋体" w:cs="宋体"/>
          <w:color w:val="auto"/>
          <w:sz w:val="24"/>
          <w:szCs w:val="20"/>
        </w:rPr>
        <w:t>⑦</w:t>
      </w:r>
      <w:r>
        <w:rPr>
          <w:rFonts w:ascii="Times New Roman" w:hAnsi="Times New Roman"/>
          <w:snapToGrid w:val="0"/>
          <w:color w:val="auto"/>
          <w:spacing w:val="-6"/>
          <w:kern w:val="21"/>
          <w:sz w:val="24"/>
          <w:szCs w:val="20"/>
        </w:rPr>
        <w:t>=</w:t>
      </w:r>
      <w:r>
        <w:rPr>
          <w:rFonts w:hint="eastAsia" w:hAnsi="宋体" w:cs="宋体"/>
          <w:color w:val="auto"/>
          <w:sz w:val="24"/>
          <w:szCs w:val="20"/>
        </w:rPr>
        <w:t>⑥</w:t>
      </w:r>
      <w:r>
        <w:rPr>
          <w:rFonts w:ascii="Times New Roman" w:hAnsi="Times New Roman"/>
          <w:snapToGrid w:val="0"/>
          <w:color w:val="auto"/>
          <w:spacing w:val="-16"/>
          <w:kern w:val="21"/>
          <w:sz w:val="24"/>
          <w:szCs w:val="20"/>
        </w:rPr>
        <w:t>-</w:t>
      </w:r>
      <w:r>
        <w:rPr>
          <w:rFonts w:hint="eastAsia" w:hAnsi="宋体" w:cs="宋体"/>
          <w:color w:val="auto"/>
          <w:sz w:val="24"/>
          <w:szCs w:val="20"/>
        </w:rPr>
        <w:t>①</w:t>
      </w:r>
      <w:r>
        <w:rPr>
          <w:rFonts w:ascii="Times New Roman" w:hAnsi="Times New Roman"/>
          <w:color w:val="auto"/>
          <w:sz w:val="24"/>
          <w:szCs w:val="20"/>
        </w:rPr>
        <w:t>。</w:t>
      </w:r>
    </w:p>
    <w:p w14:paraId="3574CE28">
      <w:pPr>
        <w:spacing w:line="360" w:lineRule="auto"/>
        <w:ind w:firstLine="560" w:firstLineChars="200"/>
        <w:rPr>
          <w:rFonts w:hint="eastAsia"/>
          <w:color w:val="auto"/>
          <w:sz w:val="28"/>
          <w:szCs w:val="22"/>
          <w:lang w:val="en-US" w:eastAsia="zh-CN"/>
        </w:rPr>
      </w:pPr>
    </w:p>
    <w:sectPr>
      <w:footerReference r:id="rId8" w:type="default"/>
      <w:pgSz w:w="16838" w:h="11906" w:orient="landscape"/>
      <w:pgMar w:top="1587" w:right="1440" w:bottom="1587"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lot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Wingdings 2">
    <w:panose1 w:val="05020102010507070707"/>
    <w:charset w:val="02"/>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7989C">
    <w:pPr>
      <w:pStyle w:val="18"/>
      <w:ind w:right="360"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BEE17">
    <w:pPr>
      <w:pStyle w:val="18"/>
      <w:framePr w:wrap="around" w:vAnchor="text" w:hAnchor="margin" w:xAlign="center" w:y="1"/>
      <w:rPr>
        <w:rStyle w:val="36"/>
      </w:rPr>
    </w:pPr>
    <w:r>
      <w:fldChar w:fldCharType="begin"/>
    </w:r>
    <w:r>
      <w:rPr>
        <w:rStyle w:val="36"/>
      </w:rPr>
      <w:instrText xml:space="preserve">PAGE  </w:instrText>
    </w:r>
    <w:r>
      <w:fldChar w:fldCharType="end"/>
    </w:r>
  </w:p>
  <w:p w14:paraId="1460D7EB">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3552">
    <w:pPr>
      <w:pStyle w:val="18"/>
      <w:jc w:val="center"/>
    </w:pPr>
    <w:r>
      <w:fldChar w:fldCharType="begin"/>
    </w:r>
    <w:r>
      <w:instrText xml:space="preserve">PAGE   \* MERGEFORMAT</w:instrText>
    </w:r>
    <w:r>
      <w:fldChar w:fldCharType="separate"/>
    </w:r>
    <w:r>
      <w:rPr>
        <w:lang w:val="zh-CN"/>
      </w:rPr>
      <w:t>60</w:t>
    </w:r>
    <w:r>
      <w:fldChar w:fldCharType="end"/>
    </w:r>
  </w:p>
  <w:p w14:paraId="0D6B85AA">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549C">
    <w:pPr>
      <w:pStyle w:val="18"/>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530F90">
                          <w:pPr>
                            <w:pStyle w:val="18"/>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sz w:val="18"/>
                            </w:rPr>
                            <w:t>1</w:t>
                          </w:r>
                          <w:r>
                            <w:rPr>
                              <w:rFonts w:ascii="Times New Roman" w:hAnsi="Times New Roman"/>
                              <w:sz w:val="18"/>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fOJ+EBAADBAwAADgAAAGRycy9lMm9Eb2MueG1srVPNjtMwEL4j8Q6W&#10;7zRph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V/zZkTlgZ+/vH9/PP3+dc3&#10;Ni8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PV84n4QEAAMEDAAAOAAAA&#10;AAAAAAEAIAAAAB4BAABkcnMvZTJvRG9jLnhtbFBLBQYAAAAABgAGAFkBAABxBQAAAAA=&#10;">
              <v:fill on="f" focussize="0,0"/>
              <v:stroke on="f"/>
              <v:imagedata o:title=""/>
              <o:lock v:ext="edit" aspectratio="f"/>
              <v:textbox inset="0mm,0mm,0mm,0mm" style="mso-fit-shape-to-text:t;">
                <w:txbxContent>
                  <w:p w14:paraId="67530F90">
                    <w:pPr>
                      <w:pStyle w:val="18"/>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sz w:val="18"/>
                      </w:rPr>
                      <w:t>1</w:t>
                    </w:r>
                    <w:r>
                      <w:rPr>
                        <w:rFonts w:ascii="Times New Roman" w:hAnsi="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95E30">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B694BF">
                          <w:pPr>
                            <w:pStyle w:val="18"/>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sz w:val="18"/>
                            </w:rPr>
                            <w:t>1</w:t>
                          </w:r>
                          <w:r>
                            <w:rPr>
                              <w:rFonts w:ascii="Times New Roman" w:hAnsi="Times New Roman"/>
                              <w:sz w:val="18"/>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C5uIBAADDAwAADgAAAGRycy9lMm9Eb2MueG1srVPNjtMwEL4j8Q6W&#10;7zRpkFZV1HS1UC1CQoC07AO4jt1Y8p/GbpPyAPAGnLhw57n6HIydpAvLZQ97ScYz42/m+2a8vh6M&#10;JkcBQTnb0OWipERY7lpl9w29/3L7akVJiMy2TDsrGnoSgV5vXr5Y974WleucbgUQBLGh7n1Duxh9&#10;XRSBd8KwsHBeWAxKB4ZFPMK+aIH1iG50UZXlVdE7aD04LkJA73YM0gkRngLopFRcbB0/GGHjiApC&#10;s4iUQqd8oJvcrZSCx09SBhGJbigyjfmLRdDepW+xWbN6D8x3ik8tsKe08IiTYcpi0QvUlkVGDqD+&#10;gzKKgwtOxgV3phiJZEWQxbJ8pM1dx7zIXFDq4C+ih+eD5R+Pn4GoFjfhdUWJZQZHfv7x/fzz9/nX&#10;N7Isq6ukUe9Djal3HpPj8MYNmD/7AzoT9UGCSX8kRTCOCp8uCoshEp4urarVqsQQx9h8QPzi4bqH&#10;EN8JZ0gyGgo4wqwsO34IcUydU1I1626V1nmM2v7jQMzkKVLvY4/JisNumAjtXHtCPvgWsE7n4Csl&#10;PW5CQy0uPiX6vUWh09LMBszGbjaY5XixoZGS0Xwbx+U6eFD7Lq9bair4m0PETjOB1MZYe+oOZ5sl&#10;mPYwLc/f55z18PY2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xXC5uIBAADDAwAADgAA&#10;AAAAAAABACAAAAAeAQAAZHJzL2Uyb0RvYy54bWxQSwUGAAAAAAYABgBZAQAAcgUAAAAA&#10;">
              <v:fill on="f" focussize="0,0"/>
              <v:stroke on="f"/>
              <v:imagedata o:title=""/>
              <o:lock v:ext="edit" aspectratio="f"/>
              <v:textbox inset="0mm,0mm,0mm,0mm" style="mso-fit-shape-to-text:t;">
                <w:txbxContent>
                  <w:p w14:paraId="1CB694BF">
                    <w:pPr>
                      <w:pStyle w:val="18"/>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sz w:val="18"/>
                      </w:rPr>
                      <w:t>1</w:t>
                    </w:r>
                    <w:r>
                      <w:rPr>
                        <w:rFonts w:ascii="Times New Roman" w:hAnsi="Times New Roman"/>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5642">
    <w:pPr>
      <w:pStyle w:val="18"/>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4F54E">
                          <w:pPr>
                            <w:pStyle w:val="18"/>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sz w:val="18"/>
                            </w:rPr>
                            <w:t>50</w:t>
                          </w:r>
                          <w:r>
                            <w:rPr>
                              <w:rFonts w:ascii="Times New Roman" w:hAnsi="Times New Roman"/>
                              <w:sz w:val="18"/>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1cgeIBAADDAwAADgAAAGRycy9lMm9Eb2MueG1srVPNjtMwEL4j8Q6W&#10;7zRpV0KlaroCqkVICJAWHsB1nMaS/zTjNikPAG/AiQt3nqvPwdhJuuzuZQ9ckvHM+Jv5vhmvr3tr&#10;2FEBau8qPp+VnCknfa3dvuJfv9y8WHKGUbhaGO9UxU8K+fXm+bN1F1Zq4VtvagWMQByuulDxNsaw&#10;KgqUrbICZz4oR8HGgxWRjrAvahAdoVtTLMryZdF5qAN4qRDJux2CfESEpwD6ptFSbb08WOXigArK&#10;iEiUsNUB+SZ32zRKxk9NgyoyU3FiGvOXipC9S99isxarPYjQajm2IJ7SwgNOVmhHRS9QWxEFO4B+&#10;BGW1BI++iTPpbTEQyYoQi3n5QJvbVgSVuZDUGC6i4/+DlR+Pn4Hpmjbh6oozJyyN/Pzzx/nXn/Pv&#10;72xeLl4ljbqAK0q9DZQc+ze+p/zJj+RM1PsGbPoTKUZxUvh0UVj1kcl0ablYLksKSYpNB8Iv7q4H&#10;wPhOecuSUXGgEWZlxfEDxiF1SknVnL/RxuQxGnfPQZjJU6Tehx6TFftdPxLa+fpEfOgtUJ3WwzfO&#10;OtqEijtafM7Me0dCp6WZDJiM3WQIJ+lixSNng/k2Dst1CKD3bV631BSG14dInWYCqY2h9tgdzTZL&#10;MO5hWp5/zznr7u1t/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BR1cgeIBAADDAwAADgAA&#10;AAAAAAABACAAAAAeAQAAZHJzL2Uyb0RvYy54bWxQSwUGAAAAAAYABgBZAQAAcgUAAAAA&#10;">
              <v:fill on="f" focussize="0,0"/>
              <v:stroke on="f"/>
              <v:imagedata o:title=""/>
              <o:lock v:ext="edit" aspectratio="f"/>
              <v:textbox inset="0mm,0mm,0mm,0mm" style="mso-fit-shape-to-text:t;">
                <w:txbxContent>
                  <w:p w14:paraId="14E4F54E">
                    <w:pPr>
                      <w:pStyle w:val="18"/>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sz w:val="18"/>
                      </w:rPr>
                      <w:t>50</w:t>
                    </w:r>
                    <w:r>
                      <w:rPr>
                        <w:rFonts w:ascii="Times New Roman" w:hAnsi="Times New Roman"/>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3DCD0"/>
    <w:multiLevelType w:val="multilevel"/>
    <w:tmpl w:val="BCA3DCD0"/>
    <w:lvl w:ilvl="0" w:tentative="0">
      <w:start w:val="1"/>
      <w:numFmt w:val="chineseCounting"/>
      <w:suff w:val="nothing"/>
      <w:lvlText w:val="%1、"/>
      <w:lvlJc w:val="left"/>
      <w:pPr>
        <w:tabs>
          <w:tab w:val="left" w:pos="420"/>
        </w:tabs>
        <w:ind w:left="432" w:hanging="432"/>
      </w:pPr>
      <w:rPr>
        <w:rFonts w:hint="eastAsia" w:ascii="黑体" w:hAnsi="黑体" w:eastAsia="黑体" w:cs="黑体"/>
        <w:b/>
        <w:bCs/>
        <w:sz w:val="32"/>
        <w:szCs w:val="32"/>
      </w:rPr>
    </w:lvl>
    <w:lvl w:ilvl="1" w:tentative="0">
      <w:start w:val="1"/>
      <w:numFmt w:val="decimal"/>
      <w:isLgl/>
      <w:suff w:val="space"/>
      <w:lvlText w:val="%1.%2"/>
      <w:lvlJc w:val="left"/>
      <w:pPr>
        <w:tabs>
          <w:tab w:val="left" w:pos="420"/>
        </w:tabs>
        <w:ind w:left="0" w:firstLine="0"/>
      </w:pPr>
      <w:rPr>
        <w:rFonts w:hint="eastAsia" w:ascii="Times New Roman" w:hAnsi="Times New Roman" w:eastAsia="宋体" w:cs="宋体"/>
        <w:b/>
        <w:bCs/>
        <w:sz w:val="30"/>
        <w:szCs w:val="30"/>
      </w:rPr>
    </w:lvl>
    <w:lvl w:ilvl="2" w:tentative="0">
      <w:start w:val="1"/>
      <w:numFmt w:val="decimal"/>
      <w:isLgl/>
      <w:suff w:val="space"/>
      <w:lvlText w:val="%1.%2.%3"/>
      <w:lvlJc w:val="left"/>
      <w:pPr>
        <w:tabs>
          <w:tab w:val="left" w:pos="0"/>
        </w:tabs>
        <w:ind w:left="720" w:hanging="720"/>
      </w:pPr>
      <w:rPr>
        <w:rFonts w:hint="eastAsia" w:ascii="Times New Roman" w:hAnsi="Times New Roman" w:eastAsia="宋体" w:cs="宋体"/>
        <w:b/>
        <w:bCs/>
        <w:sz w:val="24"/>
        <w:szCs w:val="28"/>
      </w:rPr>
    </w:lvl>
    <w:lvl w:ilvl="3" w:tentative="0">
      <w:start w:val="1"/>
      <w:numFmt w:val="decimal"/>
      <w:isLgl/>
      <w:suff w:val="space"/>
      <w:lvlText w:val="%1.%2.%3.%4"/>
      <w:lvlJc w:val="left"/>
      <w:pPr>
        <w:tabs>
          <w:tab w:val="left" w:pos="0"/>
        </w:tabs>
        <w:ind w:left="864" w:hanging="864"/>
      </w:pPr>
      <w:rPr>
        <w:rFonts w:hint="eastAsia" w:ascii="Times New Roman" w:hAnsi="Times New Roman" w:eastAsia="宋体" w:cs="宋体"/>
        <w:sz w:val="24"/>
        <w:szCs w:val="24"/>
      </w:rPr>
    </w:lvl>
    <w:lvl w:ilvl="4" w:tentative="0">
      <w:start w:val="1"/>
      <w:numFmt w:val="decimal"/>
      <w:isLgl/>
      <w:suff w:val="nothing"/>
      <w:lvlText w:val="（%5）"/>
      <w:lvlJc w:val="left"/>
      <w:pPr>
        <w:tabs>
          <w:tab w:val="left" w:pos="420"/>
        </w:tabs>
        <w:ind w:left="0" w:firstLine="0"/>
      </w:pPr>
      <w:rPr>
        <w:rFonts w:hint="eastAsia" w:ascii="Times New Roman" w:hAnsi="Times New Roman" w:eastAsia="宋体" w:cs="宋体"/>
        <w:sz w:val="24"/>
        <w:szCs w:val="24"/>
      </w:rPr>
    </w:lvl>
    <w:lvl w:ilvl="5" w:tentative="0">
      <w:start w:val="1"/>
      <w:numFmt w:val="decimalEnclosedCircleChinese"/>
      <w:suff w:val="nothing"/>
      <w:lvlText w:val="%6"/>
      <w:lvlJc w:val="left"/>
      <w:pPr>
        <w:tabs>
          <w:tab w:val="left" w:pos="420"/>
        </w:tabs>
        <w:ind w:left="1151" w:hanging="1151"/>
      </w:pPr>
      <w:rPr>
        <w:rFonts w:hint="eastAsia" w:ascii="Times New Roman" w:hAnsi="Times New Roman" w:eastAsia="宋体" w:cs="宋体"/>
      </w:rPr>
    </w:lvl>
    <w:lvl w:ilvl="6" w:tentative="0">
      <w:start w:val="1"/>
      <w:numFmt w:val="upperLetter"/>
      <w:lvlText w:val="%7."/>
      <w:lvlJc w:val="left"/>
      <w:pPr>
        <w:tabs>
          <w:tab w:val="left" w:pos="420"/>
        </w:tabs>
        <w:ind w:left="1296" w:hanging="1296"/>
      </w:pPr>
      <w:rPr>
        <w:rFonts w:hint="eastAsia" w:ascii="Times New Roman" w:hAnsi="Times New Roman" w:eastAsia="宋体" w:cs="宋体"/>
      </w:rPr>
    </w:lvl>
    <w:lvl w:ilvl="7" w:tentative="0">
      <w:start w:val="1"/>
      <w:numFmt w:val="decimal"/>
      <w:lvlRestart w:val="2"/>
      <w:pStyle w:val="207"/>
      <w:isLgl/>
      <w:suff w:val="space"/>
      <w:lvlText w:val="表%1.%2-%8"/>
      <w:lvlJc w:val="left"/>
      <w:pPr>
        <w:tabs>
          <w:tab w:val="left" w:pos="0"/>
        </w:tabs>
        <w:ind w:left="1582" w:hanging="1582"/>
      </w:pPr>
      <w:rPr>
        <w:rFonts w:hint="default" w:ascii="Times New Roman" w:hAnsi="Times New Roman" w:eastAsia="宋体" w:cs="Times New Roman"/>
        <w:sz w:val="24"/>
        <w:szCs w:val="36"/>
      </w:rPr>
    </w:lvl>
    <w:lvl w:ilvl="8" w:tentative="0">
      <w:start w:val="1"/>
      <w:numFmt w:val="decimal"/>
      <w:lvlRestart w:val="2"/>
      <w:isLgl/>
      <w:suff w:val="space"/>
      <w:lvlText w:val="图%1.%2-%9"/>
      <w:lvlJc w:val="left"/>
      <w:pPr>
        <w:tabs>
          <w:tab w:val="left" w:pos="420"/>
        </w:tabs>
        <w:ind w:left="1583" w:hanging="1583"/>
      </w:pPr>
      <w:rPr>
        <w:rFonts w:hint="eastAsia" w:ascii="Times New Roman" w:hAnsi="Times New Roman" w:eastAsia="宋体" w:cs="宋体"/>
      </w:rPr>
    </w:lvl>
  </w:abstractNum>
  <w:abstractNum w:abstractNumId="1">
    <w:nsid w:val="F6DFD277"/>
    <w:multiLevelType w:val="multilevel"/>
    <w:tmpl w:val="F6DFD277"/>
    <w:lvl w:ilvl="0" w:tentative="0">
      <w:start w:val="1"/>
      <w:numFmt w:val="chineseCounting"/>
      <w:suff w:val="space"/>
      <w:lvlText w:val="%1、"/>
      <w:lvlJc w:val="center"/>
      <w:pPr>
        <w:tabs>
          <w:tab w:val="left" w:pos="0"/>
        </w:tabs>
        <w:ind w:left="0" w:firstLine="0"/>
      </w:pPr>
      <w:rPr>
        <w:rFonts w:hint="eastAsia" w:ascii="宋体" w:hAnsi="宋体" w:eastAsia="宋体" w:cs="宋体"/>
        <w:b/>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eastAsia" w:ascii="Times New Roman" w:hAnsi="Times New Roman" w:eastAsia="宋体" w:cs="宋体"/>
        <w:sz w:val="30"/>
        <w:szCs w:val="30"/>
      </w:rPr>
    </w:lvl>
    <w:lvl w:ilvl="2" w:tentative="0">
      <w:start w:val="1"/>
      <w:numFmt w:val="decimal"/>
      <w:isLgl/>
      <w:suff w:val="space"/>
      <w:lvlText w:val="%1.%2.%3"/>
      <w:lvlJc w:val="left"/>
      <w:pPr>
        <w:tabs>
          <w:tab w:val="left" w:pos="0"/>
        </w:tabs>
        <w:ind w:left="0" w:firstLine="0"/>
      </w:pPr>
      <w:rPr>
        <w:rFonts w:hint="eastAsia" w:ascii="Times New Roman" w:hAnsi="Times New Roman" w:eastAsia="宋体" w:cs="宋体"/>
      </w:rPr>
    </w:lvl>
    <w:lvl w:ilvl="3" w:tentative="0">
      <w:start w:val="1"/>
      <w:numFmt w:val="decimal"/>
      <w:suff w:val="space"/>
      <w:lvlText w:val="%1.%2.%3.%4"/>
      <w:lvlJc w:val="left"/>
      <w:pPr>
        <w:ind w:left="0" w:firstLine="0"/>
      </w:pPr>
      <w:rPr>
        <w:rFonts w:hint="eastAsia" w:ascii="宋体" w:hAnsi="宋体" w:eastAsia="宋体" w:cs="宋体"/>
        <w:b/>
        <w:sz w:val="24"/>
      </w:rPr>
    </w:lvl>
    <w:lvl w:ilvl="4" w:tentative="0">
      <w:start w:val="1"/>
      <w:numFmt w:val="decimal"/>
      <w:lvlRestart w:val="2"/>
      <w:suff w:val="space"/>
      <w:lvlText w:val="表%1.%2-%5"/>
      <w:lvlJc w:val="center"/>
      <w:pPr>
        <w:ind w:left="1" w:firstLine="0"/>
      </w:pPr>
      <w:rPr>
        <w:rFonts w:hint="eastAsia"/>
      </w:rPr>
    </w:lvl>
    <w:lvl w:ilvl="5" w:tentative="0">
      <w:start w:val="1"/>
      <w:numFmt w:val="decimal"/>
      <w:lvlRestart w:val="2"/>
      <w:isLgl/>
      <w:suff w:val="space"/>
      <w:lvlText w:val="图%1.%2-%6"/>
      <w:lvlJc w:val="left"/>
      <w:pPr>
        <w:tabs>
          <w:tab w:val="left" w:pos="420"/>
        </w:tabs>
        <w:ind w:left="0" w:firstLine="0"/>
      </w:pPr>
      <w:rPr>
        <w:rFonts w:hint="eastAsia" w:ascii="Times New Roman" w:hAnsi="Times New Roman" w:eastAsia="宋体" w:cs="宋体"/>
        <w:b/>
        <w:sz w:val="24"/>
      </w:rPr>
    </w:lvl>
    <w:lvl w:ilvl="6" w:tentative="0">
      <w:start w:val="1"/>
      <w:numFmt w:val="decimal"/>
      <w:lvlRestart w:val="2"/>
      <w:pStyle w:val="246"/>
      <w:isLgl/>
      <w:suff w:val="space"/>
      <w:lvlText w:val="表%1.%2-%7"/>
      <w:lvlJc w:val="left"/>
      <w:pPr>
        <w:tabs>
          <w:tab w:val="left" w:pos="420"/>
        </w:tabs>
        <w:ind w:left="0" w:firstLine="0"/>
      </w:pPr>
      <w:rPr>
        <w:rFonts w:hint="eastAsia" w:ascii="Times New Roman" w:hAnsi="Times New Roman" w:eastAsia="宋体" w:cs="宋体"/>
        <w:b/>
        <w:sz w:val="24"/>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CD436D4"/>
    <w:multiLevelType w:val="multilevel"/>
    <w:tmpl w:val="1CD436D4"/>
    <w:lvl w:ilvl="0" w:tentative="0">
      <w:start w:val="1"/>
      <w:numFmt w:val="decimal"/>
      <w:pStyle w:val="65"/>
      <w:lvlText w:val="表2-%1"/>
      <w:lvlJc w:val="left"/>
      <w:pPr>
        <w:ind w:left="3398" w:hanging="420"/>
      </w:pPr>
      <w:rPr>
        <w:rFonts w:hint="default" w:ascii="Times New Roman" w:hAnsi="Times New Roman" w:eastAsia="宋体" w:cs="Times New Roman"/>
        <w:b/>
        <w:i w:val="0"/>
        <w:color w:val="auto"/>
        <w:sz w:val="24"/>
        <w:shd w:val="clear" w:color="auto" w:fill="auto"/>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3">
    <w:nsid w:val="41D60093"/>
    <w:multiLevelType w:val="multilevel"/>
    <w:tmpl w:val="41D60093"/>
    <w:lvl w:ilvl="0" w:tentative="0">
      <w:start w:val="1"/>
      <w:numFmt w:val="decimal"/>
      <w:suff w:val="space"/>
      <w:lvlText w:val="表%1"/>
      <w:lvlJc w:val="left"/>
      <w:pPr>
        <w:ind w:left="0" w:firstLine="0"/>
      </w:pPr>
      <w:rPr>
        <w:rFonts w:hint="default" w:ascii="Times New Roman" w:hAnsi="Times New Roman" w:cs="Times New Roman"/>
        <w:b/>
        <w:color w:val="auto"/>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F270AE"/>
    <w:multiLevelType w:val="multilevel"/>
    <w:tmpl w:val="42F270AE"/>
    <w:lvl w:ilvl="0" w:tentative="0">
      <w:start w:val="1"/>
      <w:numFmt w:val="chineseCountingThousand"/>
      <w:pStyle w:val="239"/>
      <w:lvlText w:val="%1、"/>
      <w:lvlJc w:val="left"/>
      <w:pPr>
        <w:tabs>
          <w:tab w:val="left" w:pos="720"/>
        </w:tabs>
        <w:ind w:left="0" w:firstLine="0"/>
      </w:pPr>
      <w:rPr>
        <w:rFonts w:hint="eastAsia"/>
      </w:rPr>
    </w:lvl>
    <w:lvl w:ilvl="1" w:tentative="0">
      <w:start w:val="1"/>
      <w:numFmt w:val="chineseCountingThousand"/>
      <w:suff w:val="space"/>
      <w:lvlText w:val="（%2）"/>
      <w:lvlJc w:val="left"/>
      <w:pPr>
        <w:ind w:left="0" w:firstLine="567"/>
      </w:pPr>
      <w:rPr>
        <w:rFonts w:hint="eastAsia"/>
      </w:rPr>
    </w:lvl>
    <w:lvl w:ilvl="2" w:tentative="0">
      <w:start w:val="1"/>
      <w:numFmt w:val="decimal"/>
      <w:lvlText w:val="%3."/>
      <w:lvlJc w:val="left"/>
      <w:pPr>
        <w:tabs>
          <w:tab w:val="left" w:pos="927"/>
        </w:tabs>
        <w:ind w:left="0" w:firstLine="567"/>
      </w:pPr>
      <w:rPr>
        <w:rFonts w:hint="eastAsia"/>
      </w:rPr>
    </w:lvl>
    <w:lvl w:ilvl="3" w:tentative="0">
      <w:start w:val="1"/>
      <w:numFmt w:val="decimal"/>
      <w:lvlText w:val="（%4）"/>
      <w:lvlJc w:val="left"/>
      <w:pPr>
        <w:tabs>
          <w:tab w:val="left" w:pos="1287"/>
        </w:tabs>
        <w:ind w:left="0" w:firstLine="567"/>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5">
    <w:nsid w:val="56EB7FE5"/>
    <w:multiLevelType w:val="singleLevel"/>
    <w:tmpl w:val="56EB7FE5"/>
    <w:lvl w:ilvl="0" w:tentative="0">
      <w:start w:val="1"/>
      <w:numFmt w:val="chineseCounting"/>
      <w:suff w:val="nothing"/>
      <w:lvlText w:val="%1、"/>
      <w:lvlJc w:val="left"/>
      <w:pPr>
        <w:ind w:left="0" w:firstLine="420"/>
      </w:pPr>
      <w:rPr>
        <w:rFonts w:hint="eastAsia" w:ascii="宋体" w:hAnsi="宋体" w:eastAsia="宋体" w:cs="宋体"/>
        <w:sz w:val="30"/>
        <w:szCs w:val="30"/>
      </w:rPr>
    </w:lvl>
  </w:abstractNum>
  <w:abstractNum w:abstractNumId="6">
    <w:nsid w:val="6D196F0D"/>
    <w:multiLevelType w:val="multilevel"/>
    <w:tmpl w:val="6D196F0D"/>
    <w:lvl w:ilvl="0" w:tentative="0">
      <w:start w:val="1"/>
      <w:numFmt w:val="chineseCounting"/>
      <w:suff w:val="nothing"/>
      <w:lvlText w:val="%1、"/>
      <w:lvlJc w:val="left"/>
      <w:pPr>
        <w:tabs>
          <w:tab w:val="left" w:pos="0"/>
        </w:tabs>
        <w:ind w:left="432" w:hanging="432"/>
      </w:pPr>
      <w:rPr>
        <w:rFonts w:hint="eastAsia" w:ascii="宋体" w:hAnsi="宋体" w:eastAsia="宋体" w:cs="宋体"/>
        <w:b/>
        <w:bCs/>
        <w:sz w:val="32"/>
        <w:szCs w:val="32"/>
      </w:rPr>
    </w:lvl>
    <w:lvl w:ilvl="1" w:tentative="0">
      <w:start w:val="1"/>
      <w:numFmt w:val="decimal"/>
      <w:isLgl/>
      <w:suff w:val="space"/>
      <w:lvlText w:val="%1.%2"/>
      <w:lvlJc w:val="left"/>
      <w:pPr>
        <w:tabs>
          <w:tab w:val="left" w:pos="420"/>
        </w:tabs>
        <w:ind w:left="0" w:firstLine="0"/>
      </w:pPr>
      <w:rPr>
        <w:rFonts w:hint="default" w:ascii="Times New Roman" w:hAnsi="Times New Roman" w:eastAsia="宋体" w:cs="Times New Roman"/>
        <w:b/>
        <w:bCs/>
        <w:sz w:val="30"/>
        <w:szCs w:val="30"/>
      </w:rPr>
    </w:lvl>
    <w:lvl w:ilvl="2" w:tentative="0">
      <w:start w:val="1"/>
      <w:numFmt w:val="decimal"/>
      <w:isLgl/>
      <w:suff w:val="space"/>
      <w:lvlText w:val="%1.%2.%3"/>
      <w:lvlJc w:val="left"/>
      <w:pPr>
        <w:tabs>
          <w:tab w:val="left" w:pos="0"/>
        </w:tabs>
        <w:ind w:left="720" w:hanging="720"/>
      </w:pPr>
      <w:rPr>
        <w:rFonts w:hint="default" w:ascii="Times New Roman" w:hAnsi="Times New Roman" w:eastAsia="宋体" w:cs="Times New Roman"/>
        <w:b/>
        <w:bCs/>
        <w:sz w:val="24"/>
        <w:szCs w:val="28"/>
      </w:rPr>
    </w:lvl>
    <w:lvl w:ilvl="3" w:tentative="0">
      <w:start w:val="1"/>
      <w:numFmt w:val="decimal"/>
      <w:isLgl/>
      <w:suff w:val="space"/>
      <w:lvlText w:val="%1.%2.%3.%4"/>
      <w:lvlJc w:val="left"/>
      <w:pPr>
        <w:tabs>
          <w:tab w:val="left" w:pos="0"/>
        </w:tabs>
        <w:ind w:left="864" w:hanging="864"/>
      </w:pPr>
      <w:rPr>
        <w:rFonts w:hint="default" w:ascii="Times New Roman" w:hAnsi="Times New Roman" w:eastAsia="宋体" w:cs="Times New Roman"/>
        <w:sz w:val="24"/>
        <w:szCs w:val="24"/>
      </w:rPr>
    </w:lvl>
    <w:lvl w:ilvl="4" w:tentative="0">
      <w:start w:val="1"/>
      <w:numFmt w:val="decimal"/>
      <w:isLgl/>
      <w:suff w:val="nothing"/>
      <w:lvlText w:val="   （%5）"/>
      <w:lvlJc w:val="left"/>
      <w:pPr>
        <w:tabs>
          <w:tab w:val="left" w:pos="420"/>
        </w:tabs>
        <w:ind w:left="0" w:firstLine="0"/>
      </w:pPr>
      <w:rPr>
        <w:rFonts w:hint="eastAsia" w:ascii="宋体" w:hAnsi="宋体" w:eastAsia="宋体" w:cs="宋体"/>
        <w:sz w:val="24"/>
        <w:szCs w:val="24"/>
      </w:rPr>
    </w:lvl>
    <w:lvl w:ilvl="5" w:tentative="0">
      <w:start w:val="1"/>
      <w:numFmt w:val="decimalEnclosedCircleChinese"/>
      <w:suff w:val="nothing"/>
      <w:lvlText w:val="%6"/>
      <w:lvlJc w:val="left"/>
      <w:pPr>
        <w:tabs>
          <w:tab w:val="left" w:pos="420"/>
        </w:tabs>
        <w:ind w:left="1151" w:hanging="1151"/>
      </w:pPr>
      <w:rPr>
        <w:rFonts w:hint="eastAsia" w:ascii="宋体" w:hAnsi="宋体" w:eastAsia="宋体" w:cs="宋体"/>
      </w:rPr>
    </w:lvl>
    <w:lvl w:ilvl="6" w:tentative="0">
      <w:start w:val="1"/>
      <w:numFmt w:val="upperLetter"/>
      <w:lvlText w:val="%7."/>
      <w:lvlJc w:val="center"/>
      <w:pPr>
        <w:tabs>
          <w:tab w:val="left" w:pos="0"/>
        </w:tabs>
        <w:ind w:left="0" w:leftChars="0" w:firstLine="0" w:firstLineChars="0"/>
      </w:pPr>
      <w:rPr>
        <w:rFonts w:hint="eastAsia" w:ascii="宋体" w:hAnsi="宋体" w:eastAsia="宋体" w:cs="宋体"/>
      </w:rPr>
    </w:lvl>
    <w:lvl w:ilvl="7" w:tentative="0">
      <w:start w:val="1"/>
      <w:numFmt w:val="decimal"/>
      <w:lvlRestart w:val="2"/>
      <w:isLgl/>
      <w:suff w:val="space"/>
      <w:lvlText w:val="表%1.%2-%8"/>
      <w:lvlJc w:val="center"/>
      <w:pPr>
        <w:tabs>
          <w:tab w:val="left" w:pos="0"/>
        </w:tabs>
        <w:ind w:left="420" w:leftChars="0" w:firstLine="0" w:firstLineChars="0"/>
      </w:pPr>
      <w:rPr>
        <w:rFonts w:hint="eastAsia" w:ascii="Times New Roman" w:hAnsi="Times New Roman" w:eastAsia="宋体" w:cs="宋体"/>
      </w:rPr>
    </w:lvl>
    <w:lvl w:ilvl="8" w:tentative="0">
      <w:start w:val="1"/>
      <w:numFmt w:val="decimal"/>
      <w:lvlRestart w:val="2"/>
      <w:pStyle w:val="241"/>
      <w:isLgl/>
      <w:suff w:val="space"/>
      <w:lvlText w:val="图%1.%2-%9"/>
      <w:lvlJc w:val="left"/>
      <w:pPr>
        <w:tabs>
          <w:tab w:val="left" w:pos="420"/>
        </w:tabs>
        <w:ind w:left="1583" w:hanging="1583"/>
      </w:pPr>
      <w:rPr>
        <w:rFonts w:hint="eastAsia" w:ascii="Times New Roman" w:hAnsi="Times New Roman" w:eastAsia="宋体" w:cs="宋体"/>
      </w:rPr>
    </w:lvl>
  </w:abstractNum>
  <w:abstractNum w:abstractNumId="7">
    <w:nsid w:val="79F162B5"/>
    <w:multiLevelType w:val="multilevel"/>
    <w:tmpl w:val="79F162B5"/>
    <w:lvl w:ilvl="0" w:tentative="0">
      <w:start w:val="1"/>
      <w:numFmt w:val="decimal"/>
      <w:pStyle w:val="9"/>
      <w:lvlText w:val="表2-%1"/>
      <w:lvlJc w:val="left"/>
      <w:pPr>
        <w:ind w:left="420" w:hanging="420"/>
      </w:pPr>
      <w:rPr>
        <w:rFonts w:hint="default" w:ascii="Times New Roman" w:hAnsi="Times New Roman" w:cs="Times New Roman"/>
        <w:b/>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MGE5OTdhYWMxYTQ5ZDBhNDFjZTc4OWUwYmQ2ZjcifQ=="/>
    <w:docVar w:name="KSO_WPS_MARK_KEY" w:val="34e2f671-b227-45d8-8d85-1f191293383a"/>
  </w:docVars>
  <w:rsids>
    <w:rsidRoot w:val="00172A27"/>
    <w:rsid w:val="00000C2F"/>
    <w:rsid w:val="000012EF"/>
    <w:rsid w:val="00002B14"/>
    <w:rsid w:val="000032CA"/>
    <w:rsid w:val="000040BB"/>
    <w:rsid w:val="000044CA"/>
    <w:rsid w:val="00005115"/>
    <w:rsid w:val="00005888"/>
    <w:rsid w:val="000060B3"/>
    <w:rsid w:val="00006132"/>
    <w:rsid w:val="00006F19"/>
    <w:rsid w:val="00006F78"/>
    <w:rsid w:val="00007E87"/>
    <w:rsid w:val="00010B39"/>
    <w:rsid w:val="000114ED"/>
    <w:rsid w:val="000119B1"/>
    <w:rsid w:val="00012127"/>
    <w:rsid w:val="00012573"/>
    <w:rsid w:val="00013BD6"/>
    <w:rsid w:val="00016148"/>
    <w:rsid w:val="00016E8E"/>
    <w:rsid w:val="000216C5"/>
    <w:rsid w:val="00021EC7"/>
    <w:rsid w:val="0002264A"/>
    <w:rsid w:val="000234E4"/>
    <w:rsid w:val="00023522"/>
    <w:rsid w:val="000236A5"/>
    <w:rsid w:val="000316DC"/>
    <w:rsid w:val="00031D5C"/>
    <w:rsid w:val="000323F3"/>
    <w:rsid w:val="000336C1"/>
    <w:rsid w:val="00033AD1"/>
    <w:rsid w:val="00034C19"/>
    <w:rsid w:val="0003767E"/>
    <w:rsid w:val="000379B9"/>
    <w:rsid w:val="00037C6E"/>
    <w:rsid w:val="00040D94"/>
    <w:rsid w:val="0004364B"/>
    <w:rsid w:val="00047860"/>
    <w:rsid w:val="00047C54"/>
    <w:rsid w:val="000500A6"/>
    <w:rsid w:val="00050A02"/>
    <w:rsid w:val="00050E71"/>
    <w:rsid w:val="00051D0B"/>
    <w:rsid w:val="000537EF"/>
    <w:rsid w:val="0005516D"/>
    <w:rsid w:val="000574DD"/>
    <w:rsid w:val="000575E3"/>
    <w:rsid w:val="000579A5"/>
    <w:rsid w:val="00060E0D"/>
    <w:rsid w:val="000611FF"/>
    <w:rsid w:val="00061AA8"/>
    <w:rsid w:val="00061B1F"/>
    <w:rsid w:val="000635C8"/>
    <w:rsid w:val="00065515"/>
    <w:rsid w:val="00065894"/>
    <w:rsid w:val="0006777F"/>
    <w:rsid w:val="000713AD"/>
    <w:rsid w:val="000724A1"/>
    <w:rsid w:val="000733C4"/>
    <w:rsid w:val="00074783"/>
    <w:rsid w:val="000759C7"/>
    <w:rsid w:val="00075CC2"/>
    <w:rsid w:val="000760D4"/>
    <w:rsid w:val="0007614C"/>
    <w:rsid w:val="0007623B"/>
    <w:rsid w:val="000770B3"/>
    <w:rsid w:val="000779F6"/>
    <w:rsid w:val="0008070B"/>
    <w:rsid w:val="000810AC"/>
    <w:rsid w:val="0008144C"/>
    <w:rsid w:val="00081A02"/>
    <w:rsid w:val="00082231"/>
    <w:rsid w:val="00082F07"/>
    <w:rsid w:val="00083CDD"/>
    <w:rsid w:val="000843CF"/>
    <w:rsid w:val="000850E4"/>
    <w:rsid w:val="00087049"/>
    <w:rsid w:val="00092D38"/>
    <w:rsid w:val="0009351E"/>
    <w:rsid w:val="0009377B"/>
    <w:rsid w:val="000937AE"/>
    <w:rsid w:val="00095A8C"/>
    <w:rsid w:val="000A1DDA"/>
    <w:rsid w:val="000A20C9"/>
    <w:rsid w:val="000A34F5"/>
    <w:rsid w:val="000A748A"/>
    <w:rsid w:val="000B041E"/>
    <w:rsid w:val="000B058F"/>
    <w:rsid w:val="000B293A"/>
    <w:rsid w:val="000B4467"/>
    <w:rsid w:val="000B4DB9"/>
    <w:rsid w:val="000B6D13"/>
    <w:rsid w:val="000C09AC"/>
    <w:rsid w:val="000C6927"/>
    <w:rsid w:val="000C6958"/>
    <w:rsid w:val="000C6B77"/>
    <w:rsid w:val="000C767F"/>
    <w:rsid w:val="000D1AC7"/>
    <w:rsid w:val="000D1CB6"/>
    <w:rsid w:val="000D2ABA"/>
    <w:rsid w:val="000D3770"/>
    <w:rsid w:val="000D49DD"/>
    <w:rsid w:val="000D5344"/>
    <w:rsid w:val="000D5A44"/>
    <w:rsid w:val="000D5CE0"/>
    <w:rsid w:val="000D66DE"/>
    <w:rsid w:val="000D7252"/>
    <w:rsid w:val="000E3ED2"/>
    <w:rsid w:val="000E4B2E"/>
    <w:rsid w:val="000E4FF7"/>
    <w:rsid w:val="000E66C9"/>
    <w:rsid w:val="000F0C2F"/>
    <w:rsid w:val="000F2863"/>
    <w:rsid w:val="000F29AE"/>
    <w:rsid w:val="000F4532"/>
    <w:rsid w:val="000F465B"/>
    <w:rsid w:val="000F4C4F"/>
    <w:rsid w:val="000F5645"/>
    <w:rsid w:val="000F79A1"/>
    <w:rsid w:val="000F7F67"/>
    <w:rsid w:val="00100FEE"/>
    <w:rsid w:val="00102A0B"/>
    <w:rsid w:val="00102DE5"/>
    <w:rsid w:val="0010663B"/>
    <w:rsid w:val="00106F43"/>
    <w:rsid w:val="0010760D"/>
    <w:rsid w:val="00110D7F"/>
    <w:rsid w:val="0011152E"/>
    <w:rsid w:val="001121CC"/>
    <w:rsid w:val="00113B02"/>
    <w:rsid w:val="00114907"/>
    <w:rsid w:val="00120211"/>
    <w:rsid w:val="001216A5"/>
    <w:rsid w:val="0012274C"/>
    <w:rsid w:val="00122F88"/>
    <w:rsid w:val="00123FF1"/>
    <w:rsid w:val="00124203"/>
    <w:rsid w:val="00125575"/>
    <w:rsid w:val="00126738"/>
    <w:rsid w:val="00127E4F"/>
    <w:rsid w:val="00130254"/>
    <w:rsid w:val="001304B1"/>
    <w:rsid w:val="00130780"/>
    <w:rsid w:val="00131F42"/>
    <w:rsid w:val="001357F1"/>
    <w:rsid w:val="00135DDE"/>
    <w:rsid w:val="00140FA8"/>
    <w:rsid w:val="00142FEB"/>
    <w:rsid w:val="0014327E"/>
    <w:rsid w:val="00143A2D"/>
    <w:rsid w:val="00143CF6"/>
    <w:rsid w:val="00145A41"/>
    <w:rsid w:val="00145AAD"/>
    <w:rsid w:val="00145AD8"/>
    <w:rsid w:val="0014601B"/>
    <w:rsid w:val="00151675"/>
    <w:rsid w:val="00154D82"/>
    <w:rsid w:val="00156586"/>
    <w:rsid w:val="0015724B"/>
    <w:rsid w:val="00157435"/>
    <w:rsid w:val="001608DA"/>
    <w:rsid w:val="00162475"/>
    <w:rsid w:val="00164617"/>
    <w:rsid w:val="001677EE"/>
    <w:rsid w:val="00171044"/>
    <w:rsid w:val="0017111C"/>
    <w:rsid w:val="001732C5"/>
    <w:rsid w:val="00173776"/>
    <w:rsid w:val="001746FB"/>
    <w:rsid w:val="0017504D"/>
    <w:rsid w:val="00175317"/>
    <w:rsid w:val="00175701"/>
    <w:rsid w:val="0017671A"/>
    <w:rsid w:val="00177422"/>
    <w:rsid w:val="00177738"/>
    <w:rsid w:val="001802A0"/>
    <w:rsid w:val="00181215"/>
    <w:rsid w:val="00181B79"/>
    <w:rsid w:val="00182702"/>
    <w:rsid w:val="001829F7"/>
    <w:rsid w:val="00182F0C"/>
    <w:rsid w:val="0018342A"/>
    <w:rsid w:val="00183FDE"/>
    <w:rsid w:val="00184590"/>
    <w:rsid w:val="001848AD"/>
    <w:rsid w:val="001849AD"/>
    <w:rsid w:val="001854EE"/>
    <w:rsid w:val="00185626"/>
    <w:rsid w:val="00186C35"/>
    <w:rsid w:val="001870D1"/>
    <w:rsid w:val="0018781E"/>
    <w:rsid w:val="00187C70"/>
    <w:rsid w:val="00190396"/>
    <w:rsid w:val="001920B9"/>
    <w:rsid w:val="0019262D"/>
    <w:rsid w:val="00194271"/>
    <w:rsid w:val="00194343"/>
    <w:rsid w:val="00194B41"/>
    <w:rsid w:val="00196B96"/>
    <w:rsid w:val="001979CB"/>
    <w:rsid w:val="001A08AE"/>
    <w:rsid w:val="001A1B35"/>
    <w:rsid w:val="001A1E76"/>
    <w:rsid w:val="001A48A2"/>
    <w:rsid w:val="001A6F61"/>
    <w:rsid w:val="001B1802"/>
    <w:rsid w:val="001B2867"/>
    <w:rsid w:val="001B3A84"/>
    <w:rsid w:val="001B484E"/>
    <w:rsid w:val="001B493A"/>
    <w:rsid w:val="001B66E7"/>
    <w:rsid w:val="001B72B8"/>
    <w:rsid w:val="001C1D92"/>
    <w:rsid w:val="001C22CE"/>
    <w:rsid w:val="001C2D56"/>
    <w:rsid w:val="001C3121"/>
    <w:rsid w:val="001C5B70"/>
    <w:rsid w:val="001C64AF"/>
    <w:rsid w:val="001C6903"/>
    <w:rsid w:val="001C69B3"/>
    <w:rsid w:val="001C6B02"/>
    <w:rsid w:val="001D2561"/>
    <w:rsid w:val="001D3965"/>
    <w:rsid w:val="001D42B5"/>
    <w:rsid w:val="001D5595"/>
    <w:rsid w:val="001D67FC"/>
    <w:rsid w:val="001D7874"/>
    <w:rsid w:val="001D7F22"/>
    <w:rsid w:val="001E2F69"/>
    <w:rsid w:val="001E3222"/>
    <w:rsid w:val="001E41C7"/>
    <w:rsid w:val="001E4562"/>
    <w:rsid w:val="001E4E3D"/>
    <w:rsid w:val="001E52CD"/>
    <w:rsid w:val="001E6878"/>
    <w:rsid w:val="001E6ABA"/>
    <w:rsid w:val="001E7506"/>
    <w:rsid w:val="001F010C"/>
    <w:rsid w:val="001F0F17"/>
    <w:rsid w:val="001F3347"/>
    <w:rsid w:val="001F69E4"/>
    <w:rsid w:val="001F7197"/>
    <w:rsid w:val="002053F9"/>
    <w:rsid w:val="00207E39"/>
    <w:rsid w:val="00210123"/>
    <w:rsid w:val="00211AEF"/>
    <w:rsid w:val="002125B4"/>
    <w:rsid w:val="002147DF"/>
    <w:rsid w:val="0021536E"/>
    <w:rsid w:val="002155B8"/>
    <w:rsid w:val="002177D0"/>
    <w:rsid w:val="00221475"/>
    <w:rsid w:val="00221481"/>
    <w:rsid w:val="00224839"/>
    <w:rsid w:val="002249B2"/>
    <w:rsid w:val="00226574"/>
    <w:rsid w:val="0022668A"/>
    <w:rsid w:val="00226F1D"/>
    <w:rsid w:val="002278EC"/>
    <w:rsid w:val="0023280E"/>
    <w:rsid w:val="00232D1E"/>
    <w:rsid w:val="002341F2"/>
    <w:rsid w:val="002377D1"/>
    <w:rsid w:val="002403D2"/>
    <w:rsid w:val="002449B5"/>
    <w:rsid w:val="00244A5E"/>
    <w:rsid w:val="002506BC"/>
    <w:rsid w:val="0025185B"/>
    <w:rsid w:val="00252F1A"/>
    <w:rsid w:val="00254345"/>
    <w:rsid w:val="00255CB6"/>
    <w:rsid w:val="00256416"/>
    <w:rsid w:val="00256F14"/>
    <w:rsid w:val="00257C64"/>
    <w:rsid w:val="00262AF0"/>
    <w:rsid w:val="00262D11"/>
    <w:rsid w:val="00264557"/>
    <w:rsid w:val="0026535D"/>
    <w:rsid w:val="00266E13"/>
    <w:rsid w:val="0026762C"/>
    <w:rsid w:val="00267C79"/>
    <w:rsid w:val="00270A1E"/>
    <w:rsid w:val="00270F67"/>
    <w:rsid w:val="002714C9"/>
    <w:rsid w:val="00271AA3"/>
    <w:rsid w:val="00271BB9"/>
    <w:rsid w:val="00273434"/>
    <w:rsid w:val="00273600"/>
    <w:rsid w:val="002740F8"/>
    <w:rsid w:val="00276E8B"/>
    <w:rsid w:val="00276FB4"/>
    <w:rsid w:val="002805AB"/>
    <w:rsid w:val="002809B2"/>
    <w:rsid w:val="00284204"/>
    <w:rsid w:val="00285A1A"/>
    <w:rsid w:val="00287EAA"/>
    <w:rsid w:val="00287F84"/>
    <w:rsid w:val="00291773"/>
    <w:rsid w:val="00291CB0"/>
    <w:rsid w:val="00297578"/>
    <w:rsid w:val="002A168C"/>
    <w:rsid w:val="002A3DC7"/>
    <w:rsid w:val="002A432E"/>
    <w:rsid w:val="002A6982"/>
    <w:rsid w:val="002A6F46"/>
    <w:rsid w:val="002B02D0"/>
    <w:rsid w:val="002B1AB7"/>
    <w:rsid w:val="002B1BED"/>
    <w:rsid w:val="002B2F5B"/>
    <w:rsid w:val="002B2F64"/>
    <w:rsid w:val="002B4100"/>
    <w:rsid w:val="002B49E2"/>
    <w:rsid w:val="002B6632"/>
    <w:rsid w:val="002B6A7B"/>
    <w:rsid w:val="002B7B00"/>
    <w:rsid w:val="002B7C44"/>
    <w:rsid w:val="002C05B9"/>
    <w:rsid w:val="002C23CE"/>
    <w:rsid w:val="002C2B17"/>
    <w:rsid w:val="002C3463"/>
    <w:rsid w:val="002C3B02"/>
    <w:rsid w:val="002C48B3"/>
    <w:rsid w:val="002C64AC"/>
    <w:rsid w:val="002C7365"/>
    <w:rsid w:val="002D11E1"/>
    <w:rsid w:val="002D3841"/>
    <w:rsid w:val="002D3DD0"/>
    <w:rsid w:val="002D486B"/>
    <w:rsid w:val="002D48AC"/>
    <w:rsid w:val="002D4DA4"/>
    <w:rsid w:val="002D4F8A"/>
    <w:rsid w:val="002D6480"/>
    <w:rsid w:val="002E1F3A"/>
    <w:rsid w:val="002E298A"/>
    <w:rsid w:val="002E2B82"/>
    <w:rsid w:val="002E2E31"/>
    <w:rsid w:val="002E328A"/>
    <w:rsid w:val="002E4476"/>
    <w:rsid w:val="002E4D3B"/>
    <w:rsid w:val="002E4FF3"/>
    <w:rsid w:val="002E6506"/>
    <w:rsid w:val="002F1989"/>
    <w:rsid w:val="002F1E34"/>
    <w:rsid w:val="002F349D"/>
    <w:rsid w:val="00301978"/>
    <w:rsid w:val="00301F9F"/>
    <w:rsid w:val="00302FCB"/>
    <w:rsid w:val="0030332C"/>
    <w:rsid w:val="003051C2"/>
    <w:rsid w:val="00305D28"/>
    <w:rsid w:val="00306A5D"/>
    <w:rsid w:val="00307639"/>
    <w:rsid w:val="0030770E"/>
    <w:rsid w:val="00307DC8"/>
    <w:rsid w:val="00310517"/>
    <w:rsid w:val="00312194"/>
    <w:rsid w:val="00312296"/>
    <w:rsid w:val="00312B71"/>
    <w:rsid w:val="00314DAE"/>
    <w:rsid w:val="00314F0E"/>
    <w:rsid w:val="00316180"/>
    <w:rsid w:val="0031717C"/>
    <w:rsid w:val="003200ED"/>
    <w:rsid w:val="00320AFB"/>
    <w:rsid w:val="00321248"/>
    <w:rsid w:val="00321D8E"/>
    <w:rsid w:val="003220AB"/>
    <w:rsid w:val="00325928"/>
    <w:rsid w:val="00325C6A"/>
    <w:rsid w:val="00332863"/>
    <w:rsid w:val="00332AEE"/>
    <w:rsid w:val="0033684D"/>
    <w:rsid w:val="00336C8B"/>
    <w:rsid w:val="00337274"/>
    <w:rsid w:val="00337B42"/>
    <w:rsid w:val="00340B31"/>
    <w:rsid w:val="00341B42"/>
    <w:rsid w:val="0034348F"/>
    <w:rsid w:val="003437AB"/>
    <w:rsid w:val="0034491C"/>
    <w:rsid w:val="00344A84"/>
    <w:rsid w:val="003518F8"/>
    <w:rsid w:val="0035252B"/>
    <w:rsid w:val="00352752"/>
    <w:rsid w:val="00352F5A"/>
    <w:rsid w:val="003544B3"/>
    <w:rsid w:val="0035581E"/>
    <w:rsid w:val="00355E25"/>
    <w:rsid w:val="00356570"/>
    <w:rsid w:val="00356653"/>
    <w:rsid w:val="0035743F"/>
    <w:rsid w:val="003577FF"/>
    <w:rsid w:val="00357BE2"/>
    <w:rsid w:val="00360C5D"/>
    <w:rsid w:val="003615DD"/>
    <w:rsid w:val="0036170C"/>
    <w:rsid w:val="00365A1C"/>
    <w:rsid w:val="00366E0F"/>
    <w:rsid w:val="00366E20"/>
    <w:rsid w:val="00366E40"/>
    <w:rsid w:val="00373380"/>
    <w:rsid w:val="00373AFB"/>
    <w:rsid w:val="003758EE"/>
    <w:rsid w:val="003776D2"/>
    <w:rsid w:val="00381A72"/>
    <w:rsid w:val="00382595"/>
    <w:rsid w:val="00383734"/>
    <w:rsid w:val="003845F6"/>
    <w:rsid w:val="00384676"/>
    <w:rsid w:val="00384E2A"/>
    <w:rsid w:val="00387893"/>
    <w:rsid w:val="00390857"/>
    <w:rsid w:val="00391486"/>
    <w:rsid w:val="00391503"/>
    <w:rsid w:val="00392759"/>
    <w:rsid w:val="00394719"/>
    <w:rsid w:val="003960A5"/>
    <w:rsid w:val="00396295"/>
    <w:rsid w:val="003A298D"/>
    <w:rsid w:val="003A2F13"/>
    <w:rsid w:val="003A3643"/>
    <w:rsid w:val="003A3BC4"/>
    <w:rsid w:val="003A4BF3"/>
    <w:rsid w:val="003A56FE"/>
    <w:rsid w:val="003A63AC"/>
    <w:rsid w:val="003A6D60"/>
    <w:rsid w:val="003B212C"/>
    <w:rsid w:val="003B41A1"/>
    <w:rsid w:val="003B420D"/>
    <w:rsid w:val="003B4665"/>
    <w:rsid w:val="003C54AC"/>
    <w:rsid w:val="003C624C"/>
    <w:rsid w:val="003C6C16"/>
    <w:rsid w:val="003C7B63"/>
    <w:rsid w:val="003D330A"/>
    <w:rsid w:val="003D3726"/>
    <w:rsid w:val="003D39DF"/>
    <w:rsid w:val="003D43B7"/>
    <w:rsid w:val="003D59E8"/>
    <w:rsid w:val="003D721E"/>
    <w:rsid w:val="003D72D8"/>
    <w:rsid w:val="003D794D"/>
    <w:rsid w:val="003E0443"/>
    <w:rsid w:val="003E1690"/>
    <w:rsid w:val="003E3058"/>
    <w:rsid w:val="003E76A9"/>
    <w:rsid w:val="003F0549"/>
    <w:rsid w:val="003F0809"/>
    <w:rsid w:val="003F0859"/>
    <w:rsid w:val="003F32B0"/>
    <w:rsid w:val="003F6A8C"/>
    <w:rsid w:val="003F755C"/>
    <w:rsid w:val="004011BB"/>
    <w:rsid w:val="00401F98"/>
    <w:rsid w:val="0040202B"/>
    <w:rsid w:val="004049C0"/>
    <w:rsid w:val="00406F01"/>
    <w:rsid w:val="00410B60"/>
    <w:rsid w:val="00412F9B"/>
    <w:rsid w:val="004144AA"/>
    <w:rsid w:val="00416D50"/>
    <w:rsid w:val="00416FD5"/>
    <w:rsid w:val="00417772"/>
    <w:rsid w:val="00420E6A"/>
    <w:rsid w:val="004212F8"/>
    <w:rsid w:val="0042240F"/>
    <w:rsid w:val="0042274A"/>
    <w:rsid w:val="00423ECE"/>
    <w:rsid w:val="00425060"/>
    <w:rsid w:val="00425A9E"/>
    <w:rsid w:val="00426D6B"/>
    <w:rsid w:val="00426E80"/>
    <w:rsid w:val="0042758E"/>
    <w:rsid w:val="004277E1"/>
    <w:rsid w:val="004302D3"/>
    <w:rsid w:val="004315FF"/>
    <w:rsid w:val="00431AD5"/>
    <w:rsid w:val="00431E6C"/>
    <w:rsid w:val="004323F5"/>
    <w:rsid w:val="00433CE7"/>
    <w:rsid w:val="00433E16"/>
    <w:rsid w:val="00441F40"/>
    <w:rsid w:val="00442E5B"/>
    <w:rsid w:val="00443553"/>
    <w:rsid w:val="004444C5"/>
    <w:rsid w:val="00444D41"/>
    <w:rsid w:val="00445E1C"/>
    <w:rsid w:val="00446220"/>
    <w:rsid w:val="00446C81"/>
    <w:rsid w:val="00446CEA"/>
    <w:rsid w:val="00450AE4"/>
    <w:rsid w:val="004516BC"/>
    <w:rsid w:val="00452738"/>
    <w:rsid w:val="00452C00"/>
    <w:rsid w:val="00453634"/>
    <w:rsid w:val="004552C0"/>
    <w:rsid w:val="00455A61"/>
    <w:rsid w:val="00456091"/>
    <w:rsid w:val="00456369"/>
    <w:rsid w:val="0045729F"/>
    <w:rsid w:val="00460342"/>
    <w:rsid w:val="00461204"/>
    <w:rsid w:val="004617F5"/>
    <w:rsid w:val="00461FA4"/>
    <w:rsid w:val="00462FF5"/>
    <w:rsid w:val="00463278"/>
    <w:rsid w:val="00464A16"/>
    <w:rsid w:val="00466321"/>
    <w:rsid w:val="004667E0"/>
    <w:rsid w:val="00467B41"/>
    <w:rsid w:val="0047052D"/>
    <w:rsid w:val="004708D6"/>
    <w:rsid w:val="00471526"/>
    <w:rsid w:val="00472995"/>
    <w:rsid w:val="00473135"/>
    <w:rsid w:val="00474CFC"/>
    <w:rsid w:val="00475C5F"/>
    <w:rsid w:val="004811F1"/>
    <w:rsid w:val="00481283"/>
    <w:rsid w:val="004814B2"/>
    <w:rsid w:val="00484153"/>
    <w:rsid w:val="004848EC"/>
    <w:rsid w:val="00484B9B"/>
    <w:rsid w:val="004855F6"/>
    <w:rsid w:val="0048661E"/>
    <w:rsid w:val="00487EF8"/>
    <w:rsid w:val="00490ADC"/>
    <w:rsid w:val="00490BBB"/>
    <w:rsid w:val="004925B6"/>
    <w:rsid w:val="00493268"/>
    <w:rsid w:val="00494670"/>
    <w:rsid w:val="00495229"/>
    <w:rsid w:val="00495C86"/>
    <w:rsid w:val="0049799A"/>
    <w:rsid w:val="004A076F"/>
    <w:rsid w:val="004A0C47"/>
    <w:rsid w:val="004A0F41"/>
    <w:rsid w:val="004A3823"/>
    <w:rsid w:val="004A68E6"/>
    <w:rsid w:val="004A7A29"/>
    <w:rsid w:val="004A7C6F"/>
    <w:rsid w:val="004A7D62"/>
    <w:rsid w:val="004B2AC1"/>
    <w:rsid w:val="004B4AB9"/>
    <w:rsid w:val="004B5EE4"/>
    <w:rsid w:val="004C0881"/>
    <w:rsid w:val="004C35E5"/>
    <w:rsid w:val="004C3E71"/>
    <w:rsid w:val="004C4AA3"/>
    <w:rsid w:val="004C7DF8"/>
    <w:rsid w:val="004D19CF"/>
    <w:rsid w:val="004D23ED"/>
    <w:rsid w:val="004D645C"/>
    <w:rsid w:val="004D6C82"/>
    <w:rsid w:val="004D7E25"/>
    <w:rsid w:val="004E2DA0"/>
    <w:rsid w:val="004E36DA"/>
    <w:rsid w:val="004E4F67"/>
    <w:rsid w:val="004E659F"/>
    <w:rsid w:val="004E6946"/>
    <w:rsid w:val="004F06F5"/>
    <w:rsid w:val="004F0E3B"/>
    <w:rsid w:val="004F1482"/>
    <w:rsid w:val="004F1AD8"/>
    <w:rsid w:val="004F305F"/>
    <w:rsid w:val="004F33DC"/>
    <w:rsid w:val="004F7646"/>
    <w:rsid w:val="00503842"/>
    <w:rsid w:val="005039CB"/>
    <w:rsid w:val="0050558F"/>
    <w:rsid w:val="0050627D"/>
    <w:rsid w:val="00506286"/>
    <w:rsid w:val="00507C55"/>
    <w:rsid w:val="00510813"/>
    <w:rsid w:val="00510B26"/>
    <w:rsid w:val="00511990"/>
    <w:rsid w:val="00511DE0"/>
    <w:rsid w:val="00513831"/>
    <w:rsid w:val="00514870"/>
    <w:rsid w:val="00514B9B"/>
    <w:rsid w:val="00515807"/>
    <w:rsid w:val="00515F16"/>
    <w:rsid w:val="00516877"/>
    <w:rsid w:val="00517F02"/>
    <w:rsid w:val="00521903"/>
    <w:rsid w:val="00524303"/>
    <w:rsid w:val="005258A2"/>
    <w:rsid w:val="005279BE"/>
    <w:rsid w:val="00532091"/>
    <w:rsid w:val="00534194"/>
    <w:rsid w:val="00535E7A"/>
    <w:rsid w:val="00537C34"/>
    <w:rsid w:val="005401AE"/>
    <w:rsid w:val="005411AE"/>
    <w:rsid w:val="0054242B"/>
    <w:rsid w:val="00542E07"/>
    <w:rsid w:val="0054482B"/>
    <w:rsid w:val="00544966"/>
    <w:rsid w:val="00545424"/>
    <w:rsid w:val="00547C16"/>
    <w:rsid w:val="005523E8"/>
    <w:rsid w:val="00552975"/>
    <w:rsid w:val="00552FC4"/>
    <w:rsid w:val="00554A7B"/>
    <w:rsid w:val="0055572C"/>
    <w:rsid w:val="00555EBB"/>
    <w:rsid w:val="00557788"/>
    <w:rsid w:val="00560E2D"/>
    <w:rsid w:val="0056106A"/>
    <w:rsid w:val="00561EEF"/>
    <w:rsid w:val="00564E68"/>
    <w:rsid w:val="00565820"/>
    <w:rsid w:val="00566C1E"/>
    <w:rsid w:val="00571D31"/>
    <w:rsid w:val="005720AE"/>
    <w:rsid w:val="0057294C"/>
    <w:rsid w:val="00573128"/>
    <w:rsid w:val="005735C1"/>
    <w:rsid w:val="005737F1"/>
    <w:rsid w:val="00573E66"/>
    <w:rsid w:val="005742D7"/>
    <w:rsid w:val="00575CD1"/>
    <w:rsid w:val="00576805"/>
    <w:rsid w:val="00580EFF"/>
    <w:rsid w:val="00581A16"/>
    <w:rsid w:val="005826EA"/>
    <w:rsid w:val="0058363F"/>
    <w:rsid w:val="00584359"/>
    <w:rsid w:val="00585AAC"/>
    <w:rsid w:val="00585DD1"/>
    <w:rsid w:val="005867A7"/>
    <w:rsid w:val="00590053"/>
    <w:rsid w:val="0059170D"/>
    <w:rsid w:val="00594D77"/>
    <w:rsid w:val="00594EB1"/>
    <w:rsid w:val="00595CEE"/>
    <w:rsid w:val="005969E4"/>
    <w:rsid w:val="00597533"/>
    <w:rsid w:val="005A06B7"/>
    <w:rsid w:val="005A0B4D"/>
    <w:rsid w:val="005A1759"/>
    <w:rsid w:val="005A2126"/>
    <w:rsid w:val="005A314E"/>
    <w:rsid w:val="005A45C3"/>
    <w:rsid w:val="005A583E"/>
    <w:rsid w:val="005A6284"/>
    <w:rsid w:val="005A67FC"/>
    <w:rsid w:val="005A6890"/>
    <w:rsid w:val="005A68A7"/>
    <w:rsid w:val="005A7237"/>
    <w:rsid w:val="005B08E5"/>
    <w:rsid w:val="005B2FCC"/>
    <w:rsid w:val="005B39F4"/>
    <w:rsid w:val="005B527B"/>
    <w:rsid w:val="005B6ECC"/>
    <w:rsid w:val="005B7BCD"/>
    <w:rsid w:val="005C19E3"/>
    <w:rsid w:val="005C1BBF"/>
    <w:rsid w:val="005C2032"/>
    <w:rsid w:val="005C7D1B"/>
    <w:rsid w:val="005D0410"/>
    <w:rsid w:val="005D2F16"/>
    <w:rsid w:val="005D36AB"/>
    <w:rsid w:val="005D63FF"/>
    <w:rsid w:val="005D65FB"/>
    <w:rsid w:val="005E09B0"/>
    <w:rsid w:val="005E3E03"/>
    <w:rsid w:val="005E4DEB"/>
    <w:rsid w:val="005E6965"/>
    <w:rsid w:val="005F12AF"/>
    <w:rsid w:val="005F2531"/>
    <w:rsid w:val="005F4BE1"/>
    <w:rsid w:val="005F64A8"/>
    <w:rsid w:val="005F669D"/>
    <w:rsid w:val="005F6B6D"/>
    <w:rsid w:val="005F7964"/>
    <w:rsid w:val="00601B5C"/>
    <w:rsid w:val="00603AC4"/>
    <w:rsid w:val="00604B7C"/>
    <w:rsid w:val="00604E0E"/>
    <w:rsid w:val="00610597"/>
    <w:rsid w:val="00613D28"/>
    <w:rsid w:val="00615648"/>
    <w:rsid w:val="006163B2"/>
    <w:rsid w:val="00617CC3"/>
    <w:rsid w:val="006206FE"/>
    <w:rsid w:val="006244A1"/>
    <w:rsid w:val="0062683F"/>
    <w:rsid w:val="00631D5B"/>
    <w:rsid w:val="00631F74"/>
    <w:rsid w:val="00632A98"/>
    <w:rsid w:val="006354CC"/>
    <w:rsid w:val="006370FA"/>
    <w:rsid w:val="006377A6"/>
    <w:rsid w:val="00637A3D"/>
    <w:rsid w:val="0064039B"/>
    <w:rsid w:val="00640553"/>
    <w:rsid w:val="00641191"/>
    <w:rsid w:val="006411EF"/>
    <w:rsid w:val="00641987"/>
    <w:rsid w:val="006425F7"/>
    <w:rsid w:val="006464F7"/>
    <w:rsid w:val="00646B8F"/>
    <w:rsid w:val="00647B4F"/>
    <w:rsid w:val="00651AD8"/>
    <w:rsid w:val="006521C8"/>
    <w:rsid w:val="006559F0"/>
    <w:rsid w:val="0065662F"/>
    <w:rsid w:val="00657C12"/>
    <w:rsid w:val="0066242B"/>
    <w:rsid w:val="006632A1"/>
    <w:rsid w:val="0066532F"/>
    <w:rsid w:val="00665BF5"/>
    <w:rsid w:val="00666644"/>
    <w:rsid w:val="00666787"/>
    <w:rsid w:val="00666E8F"/>
    <w:rsid w:val="00667585"/>
    <w:rsid w:val="0067029B"/>
    <w:rsid w:val="006703FE"/>
    <w:rsid w:val="00670C93"/>
    <w:rsid w:val="0067240C"/>
    <w:rsid w:val="006748B8"/>
    <w:rsid w:val="00675481"/>
    <w:rsid w:val="00675C16"/>
    <w:rsid w:val="00676359"/>
    <w:rsid w:val="0067661E"/>
    <w:rsid w:val="00676E01"/>
    <w:rsid w:val="006775C3"/>
    <w:rsid w:val="00684E00"/>
    <w:rsid w:val="006856D4"/>
    <w:rsid w:val="006903EA"/>
    <w:rsid w:val="0069136C"/>
    <w:rsid w:val="0069290A"/>
    <w:rsid w:val="00692DC8"/>
    <w:rsid w:val="006963F2"/>
    <w:rsid w:val="0069775A"/>
    <w:rsid w:val="00697813"/>
    <w:rsid w:val="006A0463"/>
    <w:rsid w:val="006A18C2"/>
    <w:rsid w:val="006A1D17"/>
    <w:rsid w:val="006A2D67"/>
    <w:rsid w:val="006A3BEA"/>
    <w:rsid w:val="006A3EE8"/>
    <w:rsid w:val="006A4B70"/>
    <w:rsid w:val="006A72BF"/>
    <w:rsid w:val="006A7F85"/>
    <w:rsid w:val="006B03F2"/>
    <w:rsid w:val="006B37DC"/>
    <w:rsid w:val="006B46E2"/>
    <w:rsid w:val="006B48F3"/>
    <w:rsid w:val="006B4F68"/>
    <w:rsid w:val="006B5311"/>
    <w:rsid w:val="006B58D2"/>
    <w:rsid w:val="006B5A11"/>
    <w:rsid w:val="006B6258"/>
    <w:rsid w:val="006B6E00"/>
    <w:rsid w:val="006C0241"/>
    <w:rsid w:val="006C0592"/>
    <w:rsid w:val="006C09CD"/>
    <w:rsid w:val="006C1ED0"/>
    <w:rsid w:val="006C272E"/>
    <w:rsid w:val="006C3BF4"/>
    <w:rsid w:val="006C4845"/>
    <w:rsid w:val="006C50F0"/>
    <w:rsid w:val="006C5479"/>
    <w:rsid w:val="006C5624"/>
    <w:rsid w:val="006D13B5"/>
    <w:rsid w:val="006D15DD"/>
    <w:rsid w:val="006D3963"/>
    <w:rsid w:val="006D412B"/>
    <w:rsid w:val="006D41B2"/>
    <w:rsid w:val="006D425A"/>
    <w:rsid w:val="006D462E"/>
    <w:rsid w:val="006D6933"/>
    <w:rsid w:val="006D74C9"/>
    <w:rsid w:val="006D757F"/>
    <w:rsid w:val="006D7BDA"/>
    <w:rsid w:val="006E057D"/>
    <w:rsid w:val="006E05BE"/>
    <w:rsid w:val="006E0B42"/>
    <w:rsid w:val="006E12FF"/>
    <w:rsid w:val="006E34AD"/>
    <w:rsid w:val="006E607E"/>
    <w:rsid w:val="006E64BB"/>
    <w:rsid w:val="006F28B5"/>
    <w:rsid w:val="006F2A45"/>
    <w:rsid w:val="006F5783"/>
    <w:rsid w:val="006F6CD2"/>
    <w:rsid w:val="006F6D2E"/>
    <w:rsid w:val="006F6E04"/>
    <w:rsid w:val="006F7266"/>
    <w:rsid w:val="006F7754"/>
    <w:rsid w:val="006F7D02"/>
    <w:rsid w:val="00700123"/>
    <w:rsid w:val="007038ED"/>
    <w:rsid w:val="00704EF4"/>
    <w:rsid w:val="00705B3C"/>
    <w:rsid w:val="00706C5D"/>
    <w:rsid w:val="00707497"/>
    <w:rsid w:val="00707706"/>
    <w:rsid w:val="00712734"/>
    <w:rsid w:val="00714CBF"/>
    <w:rsid w:val="007168DE"/>
    <w:rsid w:val="00717F6A"/>
    <w:rsid w:val="00720026"/>
    <w:rsid w:val="00720C47"/>
    <w:rsid w:val="007242D7"/>
    <w:rsid w:val="00727A4F"/>
    <w:rsid w:val="00730E3D"/>
    <w:rsid w:val="00732922"/>
    <w:rsid w:val="00733800"/>
    <w:rsid w:val="00734329"/>
    <w:rsid w:val="007362A7"/>
    <w:rsid w:val="007363A2"/>
    <w:rsid w:val="00737B11"/>
    <w:rsid w:val="00740B96"/>
    <w:rsid w:val="00741BC0"/>
    <w:rsid w:val="00741DC9"/>
    <w:rsid w:val="007422B1"/>
    <w:rsid w:val="007430DE"/>
    <w:rsid w:val="007434ED"/>
    <w:rsid w:val="00744362"/>
    <w:rsid w:val="0074677F"/>
    <w:rsid w:val="00750091"/>
    <w:rsid w:val="007512F2"/>
    <w:rsid w:val="00751604"/>
    <w:rsid w:val="0075162E"/>
    <w:rsid w:val="00751712"/>
    <w:rsid w:val="007530CC"/>
    <w:rsid w:val="00754034"/>
    <w:rsid w:val="007540CF"/>
    <w:rsid w:val="00756556"/>
    <w:rsid w:val="00761412"/>
    <w:rsid w:val="007618C4"/>
    <w:rsid w:val="00763190"/>
    <w:rsid w:val="007634B5"/>
    <w:rsid w:val="00764CB9"/>
    <w:rsid w:val="007657E3"/>
    <w:rsid w:val="00765C8D"/>
    <w:rsid w:val="007662C8"/>
    <w:rsid w:val="00767980"/>
    <w:rsid w:val="00770B19"/>
    <w:rsid w:val="00771355"/>
    <w:rsid w:val="00772011"/>
    <w:rsid w:val="0077454B"/>
    <w:rsid w:val="0077463F"/>
    <w:rsid w:val="007767D9"/>
    <w:rsid w:val="00777189"/>
    <w:rsid w:val="007810D4"/>
    <w:rsid w:val="00782D0F"/>
    <w:rsid w:val="007836EA"/>
    <w:rsid w:val="00783E91"/>
    <w:rsid w:val="00784CDA"/>
    <w:rsid w:val="00784D01"/>
    <w:rsid w:val="00785FB9"/>
    <w:rsid w:val="0078605F"/>
    <w:rsid w:val="00786F1E"/>
    <w:rsid w:val="00787BEB"/>
    <w:rsid w:val="00787F81"/>
    <w:rsid w:val="007902CD"/>
    <w:rsid w:val="007906C4"/>
    <w:rsid w:val="0079089F"/>
    <w:rsid w:val="00792075"/>
    <w:rsid w:val="0079223B"/>
    <w:rsid w:val="007940EA"/>
    <w:rsid w:val="007967E8"/>
    <w:rsid w:val="007968D3"/>
    <w:rsid w:val="00796C7D"/>
    <w:rsid w:val="00796CE9"/>
    <w:rsid w:val="00797694"/>
    <w:rsid w:val="00797960"/>
    <w:rsid w:val="007A2170"/>
    <w:rsid w:val="007A22BF"/>
    <w:rsid w:val="007A3323"/>
    <w:rsid w:val="007A3813"/>
    <w:rsid w:val="007A5C02"/>
    <w:rsid w:val="007A62B0"/>
    <w:rsid w:val="007A7427"/>
    <w:rsid w:val="007A7EC6"/>
    <w:rsid w:val="007B09B2"/>
    <w:rsid w:val="007B0EB1"/>
    <w:rsid w:val="007B437E"/>
    <w:rsid w:val="007B48F4"/>
    <w:rsid w:val="007B6E69"/>
    <w:rsid w:val="007B72B8"/>
    <w:rsid w:val="007B774B"/>
    <w:rsid w:val="007B7A58"/>
    <w:rsid w:val="007C121C"/>
    <w:rsid w:val="007C21B2"/>
    <w:rsid w:val="007C21B5"/>
    <w:rsid w:val="007C4766"/>
    <w:rsid w:val="007C47FA"/>
    <w:rsid w:val="007C5D2E"/>
    <w:rsid w:val="007C5DB5"/>
    <w:rsid w:val="007C7237"/>
    <w:rsid w:val="007C7527"/>
    <w:rsid w:val="007D1EB6"/>
    <w:rsid w:val="007D5595"/>
    <w:rsid w:val="007D7983"/>
    <w:rsid w:val="007D7E29"/>
    <w:rsid w:val="007E1874"/>
    <w:rsid w:val="007E2460"/>
    <w:rsid w:val="007E2EF7"/>
    <w:rsid w:val="007E3802"/>
    <w:rsid w:val="007E4BD2"/>
    <w:rsid w:val="007E7931"/>
    <w:rsid w:val="007F163E"/>
    <w:rsid w:val="007F2948"/>
    <w:rsid w:val="007F6BA0"/>
    <w:rsid w:val="00801393"/>
    <w:rsid w:val="00801F00"/>
    <w:rsid w:val="00802778"/>
    <w:rsid w:val="00802F88"/>
    <w:rsid w:val="008041C1"/>
    <w:rsid w:val="0080435F"/>
    <w:rsid w:val="008050D0"/>
    <w:rsid w:val="0080599B"/>
    <w:rsid w:val="00805E3C"/>
    <w:rsid w:val="00810CE5"/>
    <w:rsid w:val="00812812"/>
    <w:rsid w:val="0081293E"/>
    <w:rsid w:val="0081382C"/>
    <w:rsid w:val="00814402"/>
    <w:rsid w:val="00815465"/>
    <w:rsid w:val="00817CEC"/>
    <w:rsid w:val="00817E9A"/>
    <w:rsid w:val="00825DF3"/>
    <w:rsid w:val="0082765D"/>
    <w:rsid w:val="00827E66"/>
    <w:rsid w:val="008303B3"/>
    <w:rsid w:val="008306BD"/>
    <w:rsid w:val="00830C81"/>
    <w:rsid w:val="00831095"/>
    <w:rsid w:val="008315C0"/>
    <w:rsid w:val="00831A80"/>
    <w:rsid w:val="00831DF2"/>
    <w:rsid w:val="00833743"/>
    <w:rsid w:val="00833AB2"/>
    <w:rsid w:val="008340A4"/>
    <w:rsid w:val="00834506"/>
    <w:rsid w:val="00834EC0"/>
    <w:rsid w:val="00841882"/>
    <w:rsid w:val="0084265A"/>
    <w:rsid w:val="00843046"/>
    <w:rsid w:val="008441A7"/>
    <w:rsid w:val="00846535"/>
    <w:rsid w:val="0084681D"/>
    <w:rsid w:val="00847BF2"/>
    <w:rsid w:val="00847E1D"/>
    <w:rsid w:val="00850801"/>
    <w:rsid w:val="00852843"/>
    <w:rsid w:val="008544D8"/>
    <w:rsid w:val="00856FCD"/>
    <w:rsid w:val="00857563"/>
    <w:rsid w:val="0086007D"/>
    <w:rsid w:val="00860AB8"/>
    <w:rsid w:val="00861147"/>
    <w:rsid w:val="008620A8"/>
    <w:rsid w:val="0086225C"/>
    <w:rsid w:val="00864051"/>
    <w:rsid w:val="008655FC"/>
    <w:rsid w:val="00865690"/>
    <w:rsid w:val="0086580F"/>
    <w:rsid w:val="00866024"/>
    <w:rsid w:val="00870D28"/>
    <w:rsid w:val="0087135F"/>
    <w:rsid w:val="00872D94"/>
    <w:rsid w:val="008735CB"/>
    <w:rsid w:val="00873663"/>
    <w:rsid w:val="00874EEF"/>
    <w:rsid w:val="00876BB2"/>
    <w:rsid w:val="00876F5C"/>
    <w:rsid w:val="00880364"/>
    <w:rsid w:val="0088118D"/>
    <w:rsid w:val="008819CA"/>
    <w:rsid w:val="0088227A"/>
    <w:rsid w:val="00883772"/>
    <w:rsid w:val="00886C7C"/>
    <w:rsid w:val="008878B2"/>
    <w:rsid w:val="00891592"/>
    <w:rsid w:val="00891E9E"/>
    <w:rsid w:val="0089209E"/>
    <w:rsid w:val="00892D1F"/>
    <w:rsid w:val="00892FC0"/>
    <w:rsid w:val="00893505"/>
    <w:rsid w:val="008A2F68"/>
    <w:rsid w:val="008A5374"/>
    <w:rsid w:val="008A5F3A"/>
    <w:rsid w:val="008B17D1"/>
    <w:rsid w:val="008B2C66"/>
    <w:rsid w:val="008B3433"/>
    <w:rsid w:val="008B356C"/>
    <w:rsid w:val="008B4D15"/>
    <w:rsid w:val="008B4FA6"/>
    <w:rsid w:val="008B5282"/>
    <w:rsid w:val="008B5293"/>
    <w:rsid w:val="008B5353"/>
    <w:rsid w:val="008B5577"/>
    <w:rsid w:val="008B64E5"/>
    <w:rsid w:val="008B7C17"/>
    <w:rsid w:val="008B7DBF"/>
    <w:rsid w:val="008C0720"/>
    <w:rsid w:val="008C1F0B"/>
    <w:rsid w:val="008C2044"/>
    <w:rsid w:val="008C2D01"/>
    <w:rsid w:val="008C40E6"/>
    <w:rsid w:val="008C444A"/>
    <w:rsid w:val="008C49E1"/>
    <w:rsid w:val="008C6143"/>
    <w:rsid w:val="008C6C96"/>
    <w:rsid w:val="008C7288"/>
    <w:rsid w:val="008C73BE"/>
    <w:rsid w:val="008D0F7A"/>
    <w:rsid w:val="008D1431"/>
    <w:rsid w:val="008D3256"/>
    <w:rsid w:val="008D412A"/>
    <w:rsid w:val="008D5C11"/>
    <w:rsid w:val="008D6625"/>
    <w:rsid w:val="008D68E4"/>
    <w:rsid w:val="008D7420"/>
    <w:rsid w:val="008E0129"/>
    <w:rsid w:val="008E0506"/>
    <w:rsid w:val="008E05EB"/>
    <w:rsid w:val="008E05EF"/>
    <w:rsid w:val="008E0A29"/>
    <w:rsid w:val="008E0CFF"/>
    <w:rsid w:val="008E23B0"/>
    <w:rsid w:val="008E2875"/>
    <w:rsid w:val="008E3767"/>
    <w:rsid w:val="008E3F7C"/>
    <w:rsid w:val="008E45E4"/>
    <w:rsid w:val="008E54A3"/>
    <w:rsid w:val="008E5D6B"/>
    <w:rsid w:val="008E6C07"/>
    <w:rsid w:val="008E76F0"/>
    <w:rsid w:val="008F15FE"/>
    <w:rsid w:val="008F1B31"/>
    <w:rsid w:val="008F2D29"/>
    <w:rsid w:val="008F4277"/>
    <w:rsid w:val="008F4741"/>
    <w:rsid w:val="008F5187"/>
    <w:rsid w:val="008F5B02"/>
    <w:rsid w:val="008F60D8"/>
    <w:rsid w:val="00902727"/>
    <w:rsid w:val="0090312B"/>
    <w:rsid w:val="00911A4A"/>
    <w:rsid w:val="009122DF"/>
    <w:rsid w:val="00912781"/>
    <w:rsid w:val="009149E9"/>
    <w:rsid w:val="00914B3A"/>
    <w:rsid w:val="00916696"/>
    <w:rsid w:val="0091736D"/>
    <w:rsid w:val="009206C6"/>
    <w:rsid w:val="00920B91"/>
    <w:rsid w:val="00920DF6"/>
    <w:rsid w:val="0092348E"/>
    <w:rsid w:val="00924355"/>
    <w:rsid w:val="00924D44"/>
    <w:rsid w:val="00925DBF"/>
    <w:rsid w:val="009273DD"/>
    <w:rsid w:val="00930164"/>
    <w:rsid w:val="0093037A"/>
    <w:rsid w:val="00930FFF"/>
    <w:rsid w:val="009313C0"/>
    <w:rsid w:val="00935414"/>
    <w:rsid w:val="00936307"/>
    <w:rsid w:val="00937EBD"/>
    <w:rsid w:val="009410EF"/>
    <w:rsid w:val="0094154D"/>
    <w:rsid w:val="00945FD2"/>
    <w:rsid w:val="00950A6B"/>
    <w:rsid w:val="0095155F"/>
    <w:rsid w:val="00951E66"/>
    <w:rsid w:val="0095373B"/>
    <w:rsid w:val="00954429"/>
    <w:rsid w:val="009554CE"/>
    <w:rsid w:val="009563CE"/>
    <w:rsid w:val="00957692"/>
    <w:rsid w:val="00957E54"/>
    <w:rsid w:val="00960E4A"/>
    <w:rsid w:val="0096315A"/>
    <w:rsid w:val="009631C9"/>
    <w:rsid w:val="009641DE"/>
    <w:rsid w:val="00964B35"/>
    <w:rsid w:val="00965810"/>
    <w:rsid w:val="009662AC"/>
    <w:rsid w:val="00967D3A"/>
    <w:rsid w:val="009706B6"/>
    <w:rsid w:val="009707FB"/>
    <w:rsid w:val="00973A4C"/>
    <w:rsid w:val="00976328"/>
    <w:rsid w:val="0097680D"/>
    <w:rsid w:val="00976BAE"/>
    <w:rsid w:val="00977B8F"/>
    <w:rsid w:val="00977C1A"/>
    <w:rsid w:val="009801DE"/>
    <w:rsid w:val="0098159E"/>
    <w:rsid w:val="009820C0"/>
    <w:rsid w:val="00982438"/>
    <w:rsid w:val="0098296C"/>
    <w:rsid w:val="00983339"/>
    <w:rsid w:val="0098404C"/>
    <w:rsid w:val="009841AC"/>
    <w:rsid w:val="00984A98"/>
    <w:rsid w:val="00985283"/>
    <w:rsid w:val="0098572C"/>
    <w:rsid w:val="00986166"/>
    <w:rsid w:val="009866FD"/>
    <w:rsid w:val="00987491"/>
    <w:rsid w:val="009902CA"/>
    <w:rsid w:val="00992322"/>
    <w:rsid w:val="00992AC5"/>
    <w:rsid w:val="009933C0"/>
    <w:rsid w:val="00994A7C"/>
    <w:rsid w:val="00995992"/>
    <w:rsid w:val="0099700B"/>
    <w:rsid w:val="009A03E5"/>
    <w:rsid w:val="009A0F3B"/>
    <w:rsid w:val="009A1BB4"/>
    <w:rsid w:val="009A22C9"/>
    <w:rsid w:val="009A2628"/>
    <w:rsid w:val="009A29D8"/>
    <w:rsid w:val="009A3200"/>
    <w:rsid w:val="009A365C"/>
    <w:rsid w:val="009A4A7A"/>
    <w:rsid w:val="009A5C81"/>
    <w:rsid w:val="009A640D"/>
    <w:rsid w:val="009A643F"/>
    <w:rsid w:val="009B038F"/>
    <w:rsid w:val="009B07A2"/>
    <w:rsid w:val="009B0897"/>
    <w:rsid w:val="009B0CB6"/>
    <w:rsid w:val="009B4AE3"/>
    <w:rsid w:val="009B63E1"/>
    <w:rsid w:val="009B7BD9"/>
    <w:rsid w:val="009C43F9"/>
    <w:rsid w:val="009C4443"/>
    <w:rsid w:val="009C5316"/>
    <w:rsid w:val="009C6F5B"/>
    <w:rsid w:val="009C7DD5"/>
    <w:rsid w:val="009D0E95"/>
    <w:rsid w:val="009D1071"/>
    <w:rsid w:val="009D3EFB"/>
    <w:rsid w:val="009D44B9"/>
    <w:rsid w:val="009D5A52"/>
    <w:rsid w:val="009E21B7"/>
    <w:rsid w:val="009E227D"/>
    <w:rsid w:val="009E2592"/>
    <w:rsid w:val="009E5019"/>
    <w:rsid w:val="009E7329"/>
    <w:rsid w:val="009F007D"/>
    <w:rsid w:val="009F1B02"/>
    <w:rsid w:val="009F2C1F"/>
    <w:rsid w:val="009F4E64"/>
    <w:rsid w:val="009F6BAC"/>
    <w:rsid w:val="009F78F8"/>
    <w:rsid w:val="00A03288"/>
    <w:rsid w:val="00A04F1B"/>
    <w:rsid w:val="00A0501B"/>
    <w:rsid w:val="00A07BE2"/>
    <w:rsid w:val="00A07FF6"/>
    <w:rsid w:val="00A105A0"/>
    <w:rsid w:val="00A10A73"/>
    <w:rsid w:val="00A1162E"/>
    <w:rsid w:val="00A12741"/>
    <w:rsid w:val="00A12E99"/>
    <w:rsid w:val="00A1331A"/>
    <w:rsid w:val="00A13338"/>
    <w:rsid w:val="00A14947"/>
    <w:rsid w:val="00A161AF"/>
    <w:rsid w:val="00A16E8F"/>
    <w:rsid w:val="00A211AA"/>
    <w:rsid w:val="00A2385C"/>
    <w:rsid w:val="00A26FAF"/>
    <w:rsid w:val="00A27965"/>
    <w:rsid w:val="00A309F2"/>
    <w:rsid w:val="00A32A83"/>
    <w:rsid w:val="00A34B5F"/>
    <w:rsid w:val="00A34B88"/>
    <w:rsid w:val="00A368DB"/>
    <w:rsid w:val="00A41D1C"/>
    <w:rsid w:val="00A423AA"/>
    <w:rsid w:val="00A42F7D"/>
    <w:rsid w:val="00A43AB6"/>
    <w:rsid w:val="00A46302"/>
    <w:rsid w:val="00A53EC6"/>
    <w:rsid w:val="00A55C0F"/>
    <w:rsid w:val="00A5651B"/>
    <w:rsid w:val="00A570A8"/>
    <w:rsid w:val="00A61247"/>
    <w:rsid w:val="00A6244D"/>
    <w:rsid w:val="00A62538"/>
    <w:rsid w:val="00A62DA5"/>
    <w:rsid w:val="00A63180"/>
    <w:rsid w:val="00A73BF4"/>
    <w:rsid w:val="00A73C63"/>
    <w:rsid w:val="00A76245"/>
    <w:rsid w:val="00A762D7"/>
    <w:rsid w:val="00A8025A"/>
    <w:rsid w:val="00A80879"/>
    <w:rsid w:val="00A80AAB"/>
    <w:rsid w:val="00A820DA"/>
    <w:rsid w:val="00A82C97"/>
    <w:rsid w:val="00A856D1"/>
    <w:rsid w:val="00A858D0"/>
    <w:rsid w:val="00A85B25"/>
    <w:rsid w:val="00A8713F"/>
    <w:rsid w:val="00A875FE"/>
    <w:rsid w:val="00A90BA1"/>
    <w:rsid w:val="00A92E55"/>
    <w:rsid w:val="00A94682"/>
    <w:rsid w:val="00A97688"/>
    <w:rsid w:val="00A97A9A"/>
    <w:rsid w:val="00AA033F"/>
    <w:rsid w:val="00AA0671"/>
    <w:rsid w:val="00AA1804"/>
    <w:rsid w:val="00AA19E2"/>
    <w:rsid w:val="00AA2531"/>
    <w:rsid w:val="00AA3CEC"/>
    <w:rsid w:val="00AA4543"/>
    <w:rsid w:val="00AB1E09"/>
    <w:rsid w:val="00AB289B"/>
    <w:rsid w:val="00AB3258"/>
    <w:rsid w:val="00AB3790"/>
    <w:rsid w:val="00AB5258"/>
    <w:rsid w:val="00AB5330"/>
    <w:rsid w:val="00AB65F6"/>
    <w:rsid w:val="00AB7747"/>
    <w:rsid w:val="00AB7899"/>
    <w:rsid w:val="00AB7ECB"/>
    <w:rsid w:val="00AC0756"/>
    <w:rsid w:val="00AC0A80"/>
    <w:rsid w:val="00AC14CE"/>
    <w:rsid w:val="00AC1735"/>
    <w:rsid w:val="00AC185F"/>
    <w:rsid w:val="00AC2A56"/>
    <w:rsid w:val="00AC2C4B"/>
    <w:rsid w:val="00AC33BD"/>
    <w:rsid w:val="00AC3C8A"/>
    <w:rsid w:val="00AC4291"/>
    <w:rsid w:val="00AC4BD2"/>
    <w:rsid w:val="00AC5EFD"/>
    <w:rsid w:val="00AD055E"/>
    <w:rsid w:val="00AD3FDD"/>
    <w:rsid w:val="00AD47A7"/>
    <w:rsid w:val="00AD5091"/>
    <w:rsid w:val="00AD61D8"/>
    <w:rsid w:val="00AD75E0"/>
    <w:rsid w:val="00AE20DC"/>
    <w:rsid w:val="00AE34D3"/>
    <w:rsid w:val="00AE3DC7"/>
    <w:rsid w:val="00AE48D9"/>
    <w:rsid w:val="00AE5451"/>
    <w:rsid w:val="00AE76FD"/>
    <w:rsid w:val="00AF0CBF"/>
    <w:rsid w:val="00AF1773"/>
    <w:rsid w:val="00AF22E1"/>
    <w:rsid w:val="00AF257F"/>
    <w:rsid w:val="00AF27E4"/>
    <w:rsid w:val="00AF33CF"/>
    <w:rsid w:val="00AF4D50"/>
    <w:rsid w:val="00AF50F9"/>
    <w:rsid w:val="00AF5B48"/>
    <w:rsid w:val="00AF6179"/>
    <w:rsid w:val="00AF787C"/>
    <w:rsid w:val="00AF7B13"/>
    <w:rsid w:val="00B00A1F"/>
    <w:rsid w:val="00B013D9"/>
    <w:rsid w:val="00B028E2"/>
    <w:rsid w:val="00B03924"/>
    <w:rsid w:val="00B0528F"/>
    <w:rsid w:val="00B05F13"/>
    <w:rsid w:val="00B118F4"/>
    <w:rsid w:val="00B1295A"/>
    <w:rsid w:val="00B12E48"/>
    <w:rsid w:val="00B14ECE"/>
    <w:rsid w:val="00B15EC2"/>
    <w:rsid w:val="00B1703F"/>
    <w:rsid w:val="00B17FB0"/>
    <w:rsid w:val="00B20421"/>
    <w:rsid w:val="00B20A45"/>
    <w:rsid w:val="00B20FF2"/>
    <w:rsid w:val="00B21287"/>
    <w:rsid w:val="00B215BB"/>
    <w:rsid w:val="00B217B5"/>
    <w:rsid w:val="00B22C5C"/>
    <w:rsid w:val="00B230A7"/>
    <w:rsid w:val="00B24F30"/>
    <w:rsid w:val="00B260E9"/>
    <w:rsid w:val="00B261B1"/>
    <w:rsid w:val="00B26537"/>
    <w:rsid w:val="00B2663B"/>
    <w:rsid w:val="00B2731B"/>
    <w:rsid w:val="00B27E4E"/>
    <w:rsid w:val="00B30E05"/>
    <w:rsid w:val="00B31ABF"/>
    <w:rsid w:val="00B32D33"/>
    <w:rsid w:val="00B33BE3"/>
    <w:rsid w:val="00B34499"/>
    <w:rsid w:val="00B407CD"/>
    <w:rsid w:val="00B40F80"/>
    <w:rsid w:val="00B43A08"/>
    <w:rsid w:val="00B45CB4"/>
    <w:rsid w:val="00B50B36"/>
    <w:rsid w:val="00B51B53"/>
    <w:rsid w:val="00B51CF9"/>
    <w:rsid w:val="00B527FB"/>
    <w:rsid w:val="00B53B5D"/>
    <w:rsid w:val="00B558D9"/>
    <w:rsid w:val="00B6055E"/>
    <w:rsid w:val="00B60801"/>
    <w:rsid w:val="00B62ADC"/>
    <w:rsid w:val="00B62DC6"/>
    <w:rsid w:val="00B62DF0"/>
    <w:rsid w:val="00B6317D"/>
    <w:rsid w:val="00B63632"/>
    <w:rsid w:val="00B679F5"/>
    <w:rsid w:val="00B67F2B"/>
    <w:rsid w:val="00B72EA0"/>
    <w:rsid w:val="00B73C30"/>
    <w:rsid w:val="00B74A69"/>
    <w:rsid w:val="00B7723F"/>
    <w:rsid w:val="00B77AE4"/>
    <w:rsid w:val="00B80534"/>
    <w:rsid w:val="00B80D26"/>
    <w:rsid w:val="00B80E08"/>
    <w:rsid w:val="00B81077"/>
    <w:rsid w:val="00B81930"/>
    <w:rsid w:val="00B8433C"/>
    <w:rsid w:val="00B85575"/>
    <w:rsid w:val="00B87491"/>
    <w:rsid w:val="00B8786C"/>
    <w:rsid w:val="00B94AE7"/>
    <w:rsid w:val="00BA29E9"/>
    <w:rsid w:val="00BA30E9"/>
    <w:rsid w:val="00BA5D00"/>
    <w:rsid w:val="00BA6B76"/>
    <w:rsid w:val="00BA7142"/>
    <w:rsid w:val="00BB0C3E"/>
    <w:rsid w:val="00BB20CF"/>
    <w:rsid w:val="00BB237C"/>
    <w:rsid w:val="00BB256F"/>
    <w:rsid w:val="00BB35E5"/>
    <w:rsid w:val="00BB41A3"/>
    <w:rsid w:val="00BB47C8"/>
    <w:rsid w:val="00BB53B2"/>
    <w:rsid w:val="00BB54D8"/>
    <w:rsid w:val="00BB74A3"/>
    <w:rsid w:val="00BB78EB"/>
    <w:rsid w:val="00BC32DC"/>
    <w:rsid w:val="00BC35B6"/>
    <w:rsid w:val="00BC37F5"/>
    <w:rsid w:val="00BC4600"/>
    <w:rsid w:val="00BC4F8F"/>
    <w:rsid w:val="00BC5568"/>
    <w:rsid w:val="00BC5B72"/>
    <w:rsid w:val="00BC61D8"/>
    <w:rsid w:val="00BC7664"/>
    <w:rsid w:val="00BC7A68"/>
    <w:rsid w:val="00BD001E"/>
    <w:rsid w:val="00BD0D56"/>
    <w:rsid w:val="00BD0D60"/>
    <w:rsid w:val="00BD1B51"/>
    <w:rsid w:val="00BD3B19"/>
    <w:rsid w:val="00BD4006"/>
    <w:rsid w:val="00BD40CB"/>
    <w:rsid w:val="00BD4596"/>
    <w:rsid w:val="00BD4694"/>
    <w:rsid w:val="00BE0121"/>
    <w:rsid w:val="00BE1405"/>
    <w:rsid w:val="00BE174B"/>
    <w:rsid w:val="00BE312D"/>
    <w:rsid w:val="00BE3ACE"/>
    <w:rsid w:val="00BE41FB"/>
    <w:rsid w:val="00BE4966"/>
    <w:rsid w:val="00BE56A5"/>
    <w:rsid w:val="00BE6735"/>
    <w:rsid w:val="00BE7CED"/>
    <w:rsid w:val="00BF1C20"/>
    <w:rsid w:val="00BF2110"/>
    <w:rsid w:val="00BF27DF"/>
    <w:rsid w:val="00BF2DDB"/>
    <w:rsid w:val="00BF2F7B"/>
    <w:rsid w:val="00BF380A"/>
    <w:rsid w:val="00BF3C6B"/>
    <w:rsid w:val="00BF65E4"/>
    <w:rsid w:val="00BF7133"/>
    <w:rsid w:val="00BF728F"/>
    <w:rsid w:val="00BF797D"/>
    <w:rsid w:val="00C0052D"/>
    <w:rsid w:val="00C02F23"/>
    <w:rsid w:val="00C0321C"/>
    <w:rsid w:val="00C0433E"/>
    <w:rsid w:val="00C0454F"/>
    <w:rsid w:val="00C04B0C"/>
    <w:rsid w:val="00C075D5"/>
    <w:rsid w:val="00C10428"/>
    <w:rsid w:val="00C10578"/>
    <w:rsid w:val="00C11E1D"/>
    <w:rsid w:val="00C1314C"/>
    <w:rsid w:val="00C135BC"/>
    <w:rsid w:val="00C1409A"/>
    <w:rsid w:val="00C15C95"/>
    <w:rsid w:val="00C16098"/>
    <w:rsid w:val="00C1626B"/>
    <w:rsid w:val="00C16889"/>
    <w:rsid w:val="00C16DCA"/>
    <w:rsid w:val="00C17B39"/>
    <w:rsid w:val="00C2596A"/>
    <w:rsid w:val="00C27537"/>
    <w:rsid w:val="00C27B0D"/>
    <w:rsid w:val="00C31803"/>
    <w:rsid w:val="00C31A07"/>
    <w:rsid w:val="00C328FE"/>
    <w:rsid w:val="00C33507"/>
    <w:rsid w:val="00C336E1"/>
    <w:rsid w:val="00C33F1D"/>
    <w:rsid w:val="00C34636"/>
    <w:rsid w:val="00C35CC9"/>
    <w:rsid w:val="00C361A7"/>
    <w:rsid w:val="00C36BA6"/>
    <w:rsid w:val="00C411CF"/>
    <w:rsid w:val="00C424D3"/>
    <w:rsid w:val="00C4409D"/>
    <w:rsid w:val="00C445C2"/>
    <w:rsid w:val="00C44E57"/>
    <w:rsid w:val="00C44E72"/>
    <w:rsid w:val="00C453B9"/>
    <w:rsid w:val="00C45462"/>
    <w:rsid w:val="00C4560D"/>
    <w:rsid w:val="00C45A06"/>
    <w:rsid w:val="00C47E5B"/>
    <w:rsid w:val="00C50DD8"/>
    <w:rsid w:val="00C57370"/>
    <w:rsid w:val="00C61E4B"/>
    <w:rsid w:val="00C63A47"/>
    <w:rsid w:val="00C64AB9"/>
    <w:rsid w:val="00C64BFF"/>
    <w:rsid w:val="00C65D54"/>
    <w:rsid w:val="00C65FC6"/>
    <w:rsid w:val="00C66201"/>
    <w:rsid w:val="00C666D0"/>
    <w:rsid w:val="00C66F9A"/>
    <w:rsid w:val="00C700F6"/>
    <w:rsid w:val="00C704E9"/>
    <w:rsid w:val="00C717C8"/>
    <w:rsid w:val="00C74156"/>
    <w:rsid w:val="00C74808"/>
    <w:rsid w:val="00C75CA9"/>
    <w:rsid w:val="00C763C9"/>
    <w:rsid w:val="00C80057"/>
    <w:rsid w:val="00C800FE"/>
    <w:rsid w:val="00C801B3"/>
    <w:rsid w:val="00C801CD"/>
    <w:rsid w:val="00C80BD2"/>
    <w:rsid w:val="00C82232"/>
    <w:rsid w:val="00C82913"/>
    <w:rsid w:val="00C82AFF"/>
    <w:rsid w:val="00C83476"/>
    <w:rsid w:val="00C83C63"/>
    <w:rsid w:val="00C866FD"/>
    <w:rsid w:val="00C87D9C"/>
    <w:rsid w:val="00C9148D"/>
    <w:rsid w:val="00C94758"/>
    <w:rsid w:val="00C957C6"/>
    <w:rsid w:val="00C95B69"/>
    <w:rsid w:val="00C95D25"/>
    <w:rsid w:val="00C972B1"/>
    <w:rsid w:val="00CA1FD9"/>
    <w:rsid w:val="00CA20F9"/>
    <w:rsid w:val="00CA2CCE"/>
    <w:rsid w:val="00CA4323"/>
    <w:rsid w:val="00CA43FD"/>
    <w:rsid w:val="00CA5365"/>
    <w:rsid w:val="00CA6E34"/>
    <w:rsid w:val="00CA6F57"/>
    <w:rsid w:val="00CA7EF8"/>
    <w:rsid w:val="00CB0762"/>
    <w:rsid w:val="00CB0EF0"/>
    <w:rsid w:val="00CB11E5"/>
    <w:rsid w:val="00CB23B3"/>
    <w:rsid w:val="00CB2948"/>
    <w:rsid w:val="00CB3BBA"/>
    <w:rsid w:val="00CB3E68"/>
    <w:rsid w:val="00CB4EDC"/>
    <w:rsid w:val="00CB5BC0"/>
    <w:rsid w:val="00CC15EA"/>
    <w:rsid w:val="00CC1F60"/>
    <w:rsid w:val="00CC398E"/>
    <w:rsid w:val="00CC489B"/>
    <w:rsid w:val="00CC4C1A"/>
    <w:rsid w:val="00CC6090"/>
    <w:rsid w:val="00CD2363"/>
    <w:rsid w:val="00CD2901"/>
    <w:rsid w:val="00CD2BCD"/>
    <w:rsid w:val="00CD3A4C"/>
    <w:rsid w:val="00CD4A9D"/>
    <w:rsid w:val="00CD6464"/>
    <w:rsid w:val="00CE10E9"/>
    <w:rsid w:val="00CE2910"/>
    <w:rsid w:val="00CE3BF6"/>
    <w:rsid w:val="00CE5393"/>
    <w:rsid w:val="00CE7082"/>
    <w:rsid w:val="00CF24DB"/>
    <w:rsid w:val="00CF36BE"/>
    <w:rsid w:val="00CF3F7D"/>
    <w:rsid w:val="00CF4086"/>
    <w:rsid w:val="00CF5C0E"/>
    <w:rsid w:val="00CF6000"/>
    <w:rsid w:val="00D003F3"/>
    <w:rsid w:val="00D0364F"/>
    <w:rsid w:val="00D04F1A"/>
    <w:rsid w:val="00D05A3B"/>
    <w:rsid w:val="00D0625E"/>
    <w:rsid w:val="00D06834"/>
    <w:rsid w:val="00D103CA"/>
    <w:rsid w:val="00D10BE1"/>
    <w:rsid w:val="00D11272"/>
    <w:rsid w:val="00D123AA"/>
    <w:rsid w:val="00D13AFE"/>
    <w:rsid w:val="00D1471F"/>
    <w:rsid w:val="00D14F37"/>
    <w:rsid w:val="00D16102"/>
    <w:rsid w:val="00D167CB"/>
    <w:rsid w:val="00D16867"/>
    <w:rsid w:val="00D17936"/>
    <w:rsid w:val="00D20BB5"/>
    <w:rsid w:val="00D226E5"/>
    <w:rsid w:val="00D25FFA"/>
    <w:rsid w:val="00D277B1"/>
    <w:rsid w:val="00D301BC"/>
    <w:rsid w:val="00D304E5"/>
    <w:rsid w:val="00D308ED"/>
    <w:rsid w:val="00D30B55"/>
    <w:rsid w:val="00D31D0B"/>
    <w:rsid w:val="00D34959"/>
    <w:rsid w:val="00D35887"/>
    <w:rsid w:val="00D35956"/>
    <w:rsid w:val="00D36D86"/>
    <w:rsid w:val="00D37B95"/>
    <w:rsid w:val="00D37C5A"/>
    <w:rsid w:val="00D419A4"/>
    <w:rsid w:val="00D41CDF"/>
    <w:rsid w:val="00D428AA"/>
    <w:rsid w:val="00D43A11"/>
    <w:rsid w:val="00D46DBB"/>
    <w:rsid w:val="00D4785A"/>
    <w:rsid w:val="00D50387"/>
    <w:rsid w:val="00D50A34"/>
    <w:rsid w:val="00D50F11"/>
    <w:rsid w:val="00D5241C"/>
    <w:rsid w:val="00D52622"/>
    <w:rsid w:val="00D5281A"/>
    <w:rsid w:val="00D53EFA"/>
    <w:rsid w:val="00D54CC8"/>
    <w:rsid w:val="00D55CF7"/>
    <w:rsid w:val="00D55DBC"/>
    <w:rsid w:val="00D5727E"/>
    <w:rsid w:val="00D57C36"/>
    <w:rsid w:val="00D57E8F"/>
    <w:rsid w:val="00D60AEC"/>
    <w:rsid w:val="00D61808"/>
    <w:rsid w:val="00D62117"/>
    <w:rsid w:val="00D627C9"/>
    <w:rsid w:val="00D63A11"/>
    <w:rsid w:val="00D64007"/>
    <w:rsid w:val="00D644D7"/>
    <w:rsid w:val="00D64566"/>
    <w:rsid w:val="00D64B3C"/>
    <w:rsid w:val="00D663BA"/>
    <w:rsid w:val="00D72F74"/>
    <w:rsid w:val="00D731E6"/>
    <w:rsid w:val="00D760B0"/>
    <w:rsid w:val="00D76DC7"/>
    <w:rsid w:val="00D8140D"/>
    <w:rsid w:val="00D81DDA"/>
    <w:rsid w:val="00D81FAC"/>
    <w:rsid w:val="00D84242"/>
    <w:rsid w:val="00D86489"/>
    <w:rsid w:val="00D913FE"/>
    <w:rsid w:val="00D92BCD"/>
    <w:rsid w:val="00D94072"/>
    <w:rsid w:val="00D94A7C"/>
    <w:rsid w:val="00D94B31"/>
    <w:rsid w:val="00D95896"/>
    <w:rsid w:val="00D96833"/>
    <w:rsid w:val="00DA0C1B"/>
    <w:rsid w:val="00DA122F"/>
    <w:rsid w:val="00DA24B1"/>
    <w:rsid w:val="00DA3925"/>
    <w:rsid w:val="00DA6707"/>
    <w:rsid w:val="00DB0478"/>
    <w:rsid w:val="00DB2983"/>
    <w:rsid w:val="00DB38AF"/>
    <w:rsid w:val="00DB467D"/>
    <w:rsid w:val="00DB48DA"/>
    <w:rsid w:val="00DB5983"/>
    <w:rsid w:val="00DB62EB"/>
    <w:rsid w:val="00DB72A2"/>
    <w:rsid w:val="00DB7E78"/>
    <w:rsid w:val="00DC0563"/>
    <w:rsid w:val="00DC0C42"/>
    <w:rsid w:val="00DC1257"/>
    <w:rsid w:val="00DC31FE"/>
    <w:rsid w:val="00DC32D6"/>
    <w:rsid w:val="00DC3623"/>
    <w:rsid w:val="00DC3DC0"/>
    <w:rsid w:val="00DC46FD"/>
    <w:rsid w:val="00DC5B2B"/>
    <w:rsid w:val="00DD1712"/>
    <w:rsid w:val="00DD1EAB"/>
    <w:rsid w:val="00DD318D"/>
    <w:rsid w:val="00DD4D0B"/>
    <w:rsid w:val="00DD4E14"/>
    <w:rsid w:val="00DD4F9F"/>
    <w:rsid w:val="00DD5713"/>
    <w:rsid w:val="00DD6300"/>
    <w:rsid w:val="00DE1C0B"/>
    <w:rsid w:val="00DE2659"/>
    <w:rsid w:val="00DE3704"/>
    <w:rsid w:val="00DE3BC3"/>
    <w:rsid w:val="00DE691D"/>
    <w:rsid w:val="00DE6E5F"/>
    <w:rsid w:val="00DF0950"/>
    <w:rsid w:val="00DF2E12"/>
    <w:rsid w:val="00DF3D3D"/>
    <w:rsid w:val="00DF4512"/>
    <w:rsid w:val="00DF472C"/>
    <w:rsid w:val="00DF514A"/>
    <w:rsid w:val="00DF5C34"/>
    <w:rsid w:val="00DF63B0"/>
    <w:rsid w:val="00DF6690"/>
    <w:rsid w:val="00DF6804"/>
    <w:rsid w:val="00DF781C"/>
    <w:rsid w:val="00DF7AFB"/>
    <w:rsid w:val="00E00640"/>
    <w:rsid w:val="00E00F9A"/>
    <w:rsid w:val="00E0358D"/>
    <w:rsid w:val="00E03B86"/>
    <w:rsid w:val="00E042B7"/>
    <w:rsid w:val="00E04323"/>
    <w:rsid w:val="00E070A2"/>
    <w:rsid w:val="00E114BD"/>
    <w:rsid w:val="00E11820"/>
    <w:rsid w:val="00E1282E"/>
    <w:rsid w:val="00E15176"/>
    <w:rsid w:val="00E15234"/>
    <w:rsid w:val="00E15ED2"/>
    <w:rsid w:val="00E16103"/>
    <w:rsid w:val="00E17214"/>
    <w:rsid w:val="00E20877"/>
    <w:rsid w:val="00E23E65"/>
    <w:rsid w:val="00E2656A"/>
    <w:rsid w:val="00E30B9B"/>
    <w:rsid w:val="00E35E79"/>
    <w:rsid w:val="00E375CD"/>
    <w:rsid w:val="00E412D0"/>
    <w:rsid w:val="00E42445"/>
    <w:rsid w:val="00E44CCB"/>
    <w:rsid w:val="00E46856"/>
    <w:rsid w:val="00E46DED"/>
    <w:rsid w:val="00E472D2"/>
    <w:rsid w:val="00E5309A"/>
    <w:rsid w:val="00E53A16"/>
    <w:rsid w:val="00E554AE"/>
    <w:rsid w:val="00E55796"/>
    <w:rsid w:val="00E56296"/>
    <w:rsid w:val="00E56322"/>
    <w:rsid w:val="00E60982"/>
    <w:rsid w:val="00E60FA9"/>
    <w:rsid w:val="00E62C62"/>
    <w:rsid w:val="00E654C1"/>
    <w:rsid w:val="00E65B0F"/>
    <w:rsid w:val="00E65D97"/>
    <w:rsid w:val="00E6642B"/>
    <w:rsid w:val="00E66491"/>
    <w:rsid w:val="00E6774B"/>
    <w:rsid w:val="00E7063C"/>
    <w:rsid w:val="00E70744"/>
    <w:rsid w:val="00E70D96"/>
    <w:rsid w:val="00E72337"/>
    <w:rsid w:val="00E72A5A"/>
    <w:rsid w:val="00E73354"/>
    <w:rsid w:val="00E73913"/>
    <w:rsid w:val="00E73DB9"/>
    <w:rsid w:val="00E77AE0"/>
    <w:rsid w:val="00E80746"/>
    <w:rsid w:val="00E81672"/>
    <w:rsid w:val="00E81A37"/>
    <w:rsid w:val="00E829FF"/>
    <w:rsid w:val="00E83AB4"/>
    <w:rsid w:val="00E85551"/>
    <w:rsid w:val="00E8617B"/>
    <w:rsid w:val="00E873EB"/>
    <w:rsid w:val="00E878D9"/>
    <w:rsid w:val="00E9111C"/>
    <w:rsid w:val="00E91C47"/>
    <w:rsid w:val="00E91D7F"/>
    <w:rsid w:val="00E9242D"/>
    <w:rsid w:val="00E92A0D"/>
    <w:rsid w:val="00E934F4"/>
    <w:rsid w:val="00E96607"/>
    <w:rsid w:val="00E97969"/>
    <w:rsid w:val="00EA0E37"/>
    <w:rsid w:val="00EA1B9E"/>
    <w:rsid w:val="00EA3FDA"/>
    <w:rsid w:val="00EA521E"/>
    <w:rsid w:val="00EA55D6"/>
    <w:rsid w:val="00EA609E"/>
    <w:rsid w:val="00EA6F29"/>
    <w:rsid w:val="00EA7837"/>
    <w:rsid w:val="00EB018F"/>
    <w:rsid w:val="00EB40D5"/>
    <w:rsid w:val="00EB4FFB"/>
    <w:rsid w:val="00EB5255"/>
    <w:rsid w:val="00EB5B10"/>
    <w:rsid w:val="00EB5C47"/>
    <w:rsid w:val="00EB5E8A"/>
    <w:rsid w:val="00EB60B2"/>
    <w:rsid w:val="00EB71F1"/>
    <w:rsid w:val="00EC2FE3"/>
    <w:rsid w:val="00EC5820"/>
    <w:rsid w:val="00EC5D90"/>
    <w:rsid w:val="00EC68CF"/>
    <w:rsid w:val="00EC76B7"/>
    <w:rsid w:val="00ED0639"/>
    <w:rsid w:val="00ED0A1C"/>
    <w:rsid w:val="00ED0CBF"/>
    <w:rsid w:val="00ED29EA"/>
    <w:rsid w:val="00ED2A86"/>
    <w:rsid w:val="00ED3DB4"/>
    <w:rsid w:val="00ED7244"/>
    <w:rsid w:val="00ED79D4"/>
    <w:rsid w:val="00EE0271"/>
    <w:rsid w:val="00EE07F8"/>
    <w:rsid w:val="00EE1325"/>
    <w:rsid w:val="00EE1B78"/>
    <w:rsid w:val="00EE1C3D"/>
    <w:rsid w:val="00EE2EEA"/>
    <w:rsid w:val="00EE2F8C"/>
    <w:rsid w:val="00EE4090"/>
    <w:rsid w:val="00EE63DA"/>
    <w:rsid w:val="00EE69A6"/>
    <w:rsid w:val="00EF0F80"/>
    <w:rsid w:val="00EF10FC"/>
    <w:rsid w:val="00EF31D2"/>
    <w:rsid w:val="00EF3BB8"/>
    <w:rsid w:val="00EF3DE6"/>
    <w:rsid w:val="00EF4755"/>
    <w:rsid w:val="00EF6016"/>
    <w:rsid w:val="00EF68D7"/>
    <w:rsid w:val="00EF6C6C"/>
    <w:rsid w:val="00EF7135"/>
    <w:rsid w:val="00EF7F73"/>
    <w:rsid w:val="00F027DB"/>
    <w:rsid w:val="00F04BE4"/>
    <w:rsid w:val="00F05A1D"/>
    <w:rsid w:val="00F1064E"/>
    <w:rsid w:val="00F11078"/>
    <w:rsid w:val="00F124EE"/>
    <w:rsid w:val="00F149E7"/>
    <w:rsid w:val="00F14A7A"/>
    <w:rsid w:val="00F1505F"/>
    <w:rsid w:val="00F15A5A"/>
    <w:rsid w:val="00F15BE8"/>
    <w:rsid w:val="00F16936"/>
    <w:rsid w:val="00F1701D"/>
    <w:rsid w:val="00F174E3"/>
    <w:rsid w:val="00F22985"/>
    <w:rsid w:val="00F25594"/>
    <w:rsid w:val="00F31E70"/>
    <w:rsid w:val="00F32B74"/>
    <w:rsid w:val="00F330EB"/>
    <w:rsid w:val="00F3383E"/>
    <w:rsid w:val="00F33C01"/>
    <w:rsid w:val="00F35095"/>
    <w:rsid w:val="00F35393"/>
    <w:rsid w:val="00F40581"/>
    <w:rsid w:val="00F410E6"/>
    <w:rsid w:val="00F4112D"/>
    <w:rsid w:val="00F4378C"/>
    <w:rsid w:val="00F43EF6"/>
    <w:rsid w:val="00F44310"/>
    <w:rsid w:val="00F4645C"/>
    <w:rsid w:val="00F465A7"/>
    <w:rsid w:val="00F505E5"/>
    <w:rsid w:val="00F50B7C"/>
    <w:rsid w:val="00F51D40"/>
    <w:rsid w:val="00F525BF"/>
    <w:rsid w:val="00F5361F"/>
    <w:rsid w:val="00F53D6D"/>
    <w:rsid w:val="00F54900"/>
    <w:rsid w:val="00F54C8E"/>
    <w:rsid w:val="00F550E6"/>
    <w:rsid w:val="00F60314"/>
    <w:rsid w:val="00F60AD3"/>
    <w:rsid w:val="00F62BD3"/>
    <w:rsid w:val="00F64718"/>
    <w:rsid w:val="00F65925"/>
    <w:rsid w:val="00F65A98"/>
    <w:rsid w:val="00F67099"/>
    <w:rsid w:val="00F7061C"/>
    <w:rsid w:val="00F733E4"/>
    <w:rsid w:val="00F73880"/>
    <w:rsid w:val="00F74345"/>
    <w:rsid w:val="00F74AAE"/>
    <w:rsid w:val="00F7745B"/>
    <w:rsid w:val="00F80A0A"/>
    <w:rsid w:val="00F81589"/>
    <w:rsid w:val="00F82B19"/>
    <w:rsid w:val="00F86255"/>
    <w:rsid w:val="00F87D4B"/>
    <w:rsid w:val="00F90DF8"/>
    <w:rsid w:val="00F91F75"/>
    <w:rsid w:val="00F9212D"/>
    <w:rsid w:val="00F92297"/>
    <w:rsid w:val="00F92F38"/>
    <w:rsid w:val="00F93995"/>
    <w:rsid w:val="00F94FC4"/>
    <w:rsid w:val="00F965DA"/>
    <w:rsid w:val="00FA0A60"/>
    <w:rsid w:val="00FA2CAF"/>
    <w:rsid w:val="00FA406A"/>
    <w:rsid w:val="00FA4B18"/>
    <w:rsid w:val="00FA5348"/>
    <w:rsid w:val="00FA6354"/>
    <w:rsid w:val="00FA6672"/>
    <w:rsid w:val="00FA6F20"/>
    <w:rsid w:val="00FA743D"/>
    <w:rsid w:val="00FB2929"/>
    <w:rsid w:val="00FB503A"/>
    <w:rsid w:val="00FB516C"/>
    <w:rsid w:val="00FB746F"/>
    <w:rsid w:val="00FB787E"/>
    <w:rsid w:val="00FB78B8"/>
    <w:rsid w:val="00FC0DC3"/>
    <w:rsid w:val="00FC58D0"/>
    <w:rsid w:val="00FC6025"/>
    <w:rsid w:val="00FD01C4"/>
    <w:rsid w:val="00FD0236"/>
    <w:rsid w:val="00FD0D76"/>
    <w:rsid w:val="00FD0D8E"/>
    <w:rsid w:val="00FD18F4"/>
    <w:rsid w:val="00FD5496"/>
    <w:rsid w:val="00FD54DB"/>
    <w:rsid w:val="00FD5F4C"/>
    <w:rsid w:val="00FD619F"/>
    <w:rsid w:val="00FD6FFD"/>
    <w:rsid w:val="00FD7EE4"/>
    <w:rsid w:val="00FE1348"/>
    <w:rsid w:val="00FE2924"/>
    <w:rsid w:val="00FE595E"/>
    <w:rsid w:val="00FF2F26"/>
    <w:rsid w:val="00FF48D1"/>
    <w:rsid w:val="00FF6539"/>
    <w:rsid w:val="00FF6694"/>
    <w:rsid w:val="00FF7AC3"/>
    <w:rsid w:val="011E1FE4"/>
    <w:rsid w:val="01290F7E"/>
    <w:rsid w:val="01341807"/>
    <w:rsid w:val="014D4677"/>
    <w:rsid w:val="015D1E09"/>
    <w:rsid w:val="01671BDD"/>
    <w:rsid w:val="017716F4"/>
    <w:rsid w:val="018E53BB"/>
    <w:rsid w:val="01A15EF4"/>
    <w:rsid w:val="01C0753F"/>
    <w:rsid w:val="01E41154"/>
    <w:rsid w:val="01E74ACC"/>
    <w:rsid w:val="01EF572E"/>
    <w:rsid w:val="01F114A6"/>
    <w:rsid w:val="02085FB6"/>
    <w:rsid w:val="02125282"/>
    <w:rsid w:val="021F6013"/>
    <w:rsid w:val="022307D3"/>
    <w:rsid w:val="022A49B8"/>
    <w:rsid w:val="02355837"/>
    <w:rsid w:val="02377801"/>
    <w:rsid w:val="02427F54"/>
    <w:rsid w:val="025832D3"/>
    <w:rsid w:val="02661E94"/>
    <w:rsid w:val="02697903"/>
    <w:rsid w:val="0270686F"/>
    <w:rsid w:val="028440C8"/>
    <w:rsid w:val="02873BB9"/>
    <w:rsid w:val="029307AF"/>
    <w:rsid w:val="02A76009"/>
    <w:rsid w:val="02AF383B"/>
    <w:rsid w:val="02BC3862"/>
    <w:rsid w:val="02BC5ACD"/>
    <w:rsid w:val="02C10E79"/>
    <w:rsid w:val="02D74B40"/>
    <w:rsid w:val="02DB4E4E"/>
    <w:rsid w:val="02E2746C"/>
    <w:rsid w:val="02E42DB9"/>
    <w:rsid w:val="02F254D6"/>
    <w:rsid w:val="02F96569"/>
    <w:rsid w:val="02FF5A2A"/>
    <w:rsid w:val="03095926"/>
    <w:rsid w:val="030C5A8C"/>
    <w:rsid w:val="03130C47"/>
    <w:rsid w:val="03265180"/>
    <w:rsid w:val="0328326E"/>
    <w:rsid w:val="03345AEF"/>
    <w:rsid w:val="03465822"/>
    <w:rsid w:val="0350044F"/>
    <w:rsid w:val="03541CED"/>
    <w:rsid w:val="0365214C"/>
    <w:rsid w:val="03667C72"/>
    <w:rsid w:val="036A38A7"/>
    <w:rsid w:val="037800D1"/>
    <w:rsid w:val="03990047"/>
    <w:rsid w:val="03A34A22"/>
    <w:rsid w:val="03A964DC"/>
    <w:rsid w:val="03B94246"/>
    <w:rsid w:val="03E86C02"/>
    <w:rsid w:val="03EA7B21"/>
    <w:rsid w:val="03EE0393"/>
    <w:rsid w:val="03EF7C67"/>
    <w:rsid w:val="03F61D12"/>
    <w:rsid w:val="03FA6D38"/>
    <w:rsid w:val="0410030A"/>
    <w:rsid w:val="042913CB"/>
    <w:rsid w:val="0433224A"/>
    <w:rsid w:val="043D368B"/>
    <w:rsid w:val="04421C36"/>
    <w:rsid w:val="04583A5F"/>
    <w:rsid w:val="047C494D"/>
    <w:rsid w:val="04A56F3F"/>
    <w:rsid w:val="04AF2F6C"/>
    <w:rsid w:val="04B844FD"/>
    <w:rsid w:val="04BA64C7"/>
    <w:rsid w:val="04C738AC"/>
    <w:rsid w:val="04DC4690"/>
    <w:rsid w:val="04F419D9"/>
    <w:rsid w:val="04F512AE"/>
    <w:rsid w:val="04FC6AE0"/>
    <w:rsid w:val="04FD0162"/>
    <w:rsid w:val="05031C1C"/>
    <w:rsid w:val="053C512E"/>
    <w:rsid w:val="054162A1"/>
    <w:rsid w:val="05445D91"/>
    <w:rsid w:val="055603F3"/>
    <w:rsid w:val="055F2BCB"/>
    <w:rsid w:val="057C377D"/>
    <w:rsid w:val="0599432F"/>
    <w:rsid w:val="05A30D0A"/>
    <w:rsid w:val="05B045A0"/>
    <w:rsid w:val="05C3315A"/>
    <w:rsid w:val="05F83CBD"/>
    <w:rsid w:val="05F83EAE"/>
    <w:rsid w:val="060F2843"/>
    <w:rsid w:val="0627193B"/>
    <w:rsid w:val="06304C93"/>
    <w:rsid w:val="063E7D85"/>
    <w:rsid w:val="063F4ED6"/>
    <w:rsid w:val="064A3FC5"/>
    <w:rsid w:val="065B5A88"/>
    <w:rsid w:val="06606BFB"/>
    <w:rsid w:val="06915AA3"/>
    <w:rsid w:val="0696261C"/>
    <w:rsid w:val="06A25465"/>
    <w:rsid w:val="06AE3E0A"/>
    <w:rsid w:val="06D870D9"/>
    <w:rsid w:val="06DF5C0E"/>
    <w:rsid w:val="06E72E78"/>
    <w:rsid w:val="06F14D21"/>
    <w:rsid w:val="06F21F49"/>
    <w:rsid w:val="070B1B0B"/>
    <w:rsid w:val="072639A0"/>
    <w:rsid w:val="0728596A"/>
    <w:rsid w:val="07293586"/>
    <w:rsid w:val="07295285"/>
    <w:rsid w:val="073065CD"/>
    <w:rsid w:val="07375BAD"/>
    <w:rsid w:val="073F5A66"/>
    <w:rsid w:val="07560A5E"/>
    <w:rsid w:val="07630750"/>
    <w:rsid w:val="07636392"/>
    <w:rsid w:val="07675E1B"/>
    <w:rsid w:val="07686246"/>
    <w:rsid w:val="07770C56"/>
    <w:rsid w:val="07787F0D"/>
    <w:rsid w:val="07825F0E"/>
    <w:rsid w:val="07845EAB"/>
    <w:rsid w:val="07852DBD"/>
    <w:rsid w:val="078801B7"/>
    <w:rsid w:val="07941252"/>
    <w:rsid w:val="07A11279"/>
    <w:rsid w:val="07B12039"/>
    <w:rsid w:val="07BA55A7"/>
    <w:rsid w:val="07C75183"/>
    <w:rsid w:val="07E6312F"/>
    <w:rsid w:val="07FB6BDB"/>
    <w:rsid w:val="07FD083C"/>
    <w:rsid w:val="081F6FBE"/>
    <w:rsid w:val="08260E4D"/>
    <w:rsid w:val="08404F36"/>
    <w:rsid w:val="086230FE"/>
    <w:rsid w:val="08624EAC"/>
    <w:rsid w:val="086E7B0D"/>
    <w:rsid w:val="0883512B"/>
    <w:rsid w:val="088B1899"/>
    <w:rsid w:val="08CA52B7"/>
    <w:rsid w:val="08D13DE0"/>
    <w:rsid w:val="08DC097B"/>
    <w:rsid w:val="08F24482"/>
    <w:rsid w:val="08F57ACE"/>
    <w:rsid w:val="090B10A0"/>
    <w:rsid w:val="092217DD"/>
    <w:rsid w:val="093A7294"/>
    <w:rsid w:val="093D1475"/>
    <w:rsid w:val="0949606C"/>
    <w:rsid w:val="09532925"/>
    <w:rsid w:val="09554A11"/>
    <w:rsid w:val="096B4234"/>
    <w:rsid w:val="097E7AC3"/>
    <w:rsid w:val="09801555"/>
    <w:rsid w:val="09A432A2"/>
    <w:rsid w:val="09C676BC"/>
    <w:rsid w:val="09DA7694"/>
    <w:rsid w:val="0A0B50CF"/>
    <w:rsid w:val="0A263993"/>
    <w:rsid w:val="0A2D3AC2"/>
    <w:rsid w:val="0A2E4B86"/>
    <w:rsid w:val="0A322B1C"/>
    <w:rsid w:val="0A362392"/>
    <w:rsid w:val="0A382368"/>
    <w:rsid w:val="0A4D7496"/>
    <w:rsid w:val="0A560A40"/>
    <w:rsid w:val="0A59408D"/>
    <w:rsid w:val="0A5C7676"/>
    <w:rsid w:val="0A726EFC"/>
    <w:rsid w:val="0A851326"/>
    <w:rsid w:val="0AA755DF"/>
    <w:rsid w:val="0AAE2F72"/>
    <w:rsid w:val="0AC37758"/>
    <w:rsid w:val="0AC534D0"/>
    <w:rsid w:val="0AC67741"/>
    <w:rsid w:val="0AC736EC"/>
    <w:rsid w:val="0ACE05D7"/>
    <w:rsid w:val="0AE41BA8"/>
    <w:rsid w:val="0AEE6ECB"/>
    <w:rsid w:val="0AFA13CC"/>
    <w:rsid w:val="0B071D3B"/>
    <w:rsid w:val="0B0941CB"/>
    <w:rsid w:val="0B120D44"/>
    <w:rsid w:val="0B3F21FB"/>
    <w:rsid w:val="0B4D5CCA"/>
    <w:rsid w:val="0B5605CC"/>
    <w:rsid w:val="0B5A00BC"/>
    <w:rsid w:val="0B8E5FB8"/>
    <w:rsid w:val="0B9A481D"/>
    <w:rsid w:val="0BA876D0"/>
    <w:rsid w:val="0BB2024E"/>
    <w:rsid w:val="0BB83B59"/>
    <w:rsid w:val="0BD27BF6"/>
    <w:rsid w:val="0BD53BE7"/>
    <w:rsid w:val="0BF71DAF"/>
    <w:rsid w:val="0BFF2A12"/>
    <w:rsid w:val="0C0A1AE2"/>
    <w:rsid w:val="0C0A7D34"/>
    <w:rsid w:val="0C3B3C7D"/>
    <w:rsid w:val="0C4909D8"/>
    <w:rsid w:val="0C61547A"/>
    <w:rsid w:val="0C801DA5"/>
    <w:rsid w:val="0C880C59"/>
    <w:rsid w:val="0CAB2EAE"/>
    <w:rsid w:val="0CB679B8"/>
    <w:rsid w:val="0CB902B4"/>
    <w:rsid w:val="0CCE2B10"/>
    <w:rsid w:val="0CEF0AA1"/>
    <w:rsid w:val="0CF62067"/>
    <w:rsid w:val="0CFA1B57"/>
    <w:rsid w:val="0CFB767D"/>
    <w:rsid w:val="0CFC4A5D"/>
    <w:rsid w:val="0D0522AA"/>
    <w:rsid w:val="0D1B387B"/>
    <w:rsid w:val="0D2C5A88"/>
    <w:rsid w:val="0D330BC5"/>
    <w:rsid w:val="0D411534"/>
    <w:rsid w:val="0D444B80"/>
    <w:rsid w:val="0D51729D"/>
    <w:rsid w:val="0D611A9D"/>
    <w:rsid w:val="0D621C7D"/>
    <w:rsid w:val="0D6613E9"/>
    <w:rsid w:val="0D6D6603"/>
    <w:rsid w:val="0D725B91"/>
    <w:rsid w:val="0D7C256C"/>
    <w:rsid w:val="0D8E229F"/>
    <w:rsid w:val="0DB4102D"/>
    <w:rsid w:val="0DD405FA"/>
    <w:rsid w:val="0DFA5B87"/>
    <w:rsid w:val="0DFE522F"/>
    <w:rsid w:val="0DFF319D"/>
    <w:rsid w:val="0E060087"/>
    <w:rsid w:val="0E26072A"/>
    <w:rsid w:val="0E2A021A"/>
    <w:rsid w:val="0E7262FB"/>
    <w:rsid w:val="0E73034D"/>
    <w:rsid w:val="0E7B4F49"/>
    <w:rsid w:val="0E7B501C"/>
    <w:rsid w:val="0E9D0AA4"/>
    <w:rsid w:val="0EA004DC"/>
    <w:rsid w:val="0EA224A6"/>
    <w:rsid w:val="0EAE0E4B"/>
    <w:rsid w:val="0EB7182F"/>
    <w:rsid w:val="0EBB5316"/>
    <w:rsid w:val="0EC00B7E"/>
    <w:rsid w:val="0EF16F8A"/>
    <w:rsid w:val="0F11635C"/>
    <w:rsid w:val="0F13775A"/>
    <w:rsid w:val="0F184516"/>
    <w:rsid w:val="0F1D7D7F"/>
    <w:rsid w:val="0F1F3AF7"/>
    <w:rsid w:val="0F2E3D3A"/>
    <w:rsid w:val="0F340A2F"/>
    <w:rsid w:val="0F360E40"/>
    <w:rsid w:val="0F3B0205"/>
    <w:rsid w:val="0F403A6D"/>
    <w:rsid w:val="0F44466F"/>
    <w:rsid w:val="0F4E72B9"/>
    <w:rsid w:val="0F5372FC"/>
    <w:rsid w:val="0F5454DF"/>
    <w:rsid w:val="0F5A68DD"/>
    <w:rsid w:val="0F5F45FE"/>
    <w:rsid w:val="0F7627B1"/>
    <w:rsid w:val="0F79249C"/>
    <w:rsid w:val="0F825E34"/>
    <w:rsid w:val="0F8E6586"/>
    <w:rsid w:val="0F916077"/>
    <w:rsid w:val="0F9A112B"/>
    <w:rsid w:val="0F9A317D"/>
    <w:rsid w:val="0FB75ADD"/>
    <w:rsid w:val="0FBA737B"/>
    <w:rsid w:val="0FBF0E36"/>
    <w:rsid w:val="0FC87CEA"/>
    <w:rsid w:val="0FCE72CB"/>
    <w:rsid w:val="0FD85A54"/>
    <w:rsid w:val="0FE328B1"/>
    <w:rsid w:val="0FF45DC3"/>
    <w:rsid w:val="1007482F"/>
    <w:rsid w:val="10086339"/>
    <w:rsid w:val="100920B1"/>
    <w:rsid w:val="100E1475"/>
    <w:rsid w:val="100F5919"/>
    <w:rsid w:val="10301142"/>
    <w:rsid w:val="104135F9"/>
    <w:rsid w:val="105060D5"/>
    <w:rsid w:val="105209AA"/>
    <w:rsid w:val="106D2F64"/>
    <w:rsid w:val="107A5A6B"/>
    <w:rsid w:val="107B4D5D"/>
    <w:rsid w:val="107F4121"/>
    <w:rsid w:val="10955374"/>
    <w:rsid w:val="10B11C0A"/>
    <w:rsid w:val="10B14C22"/>
    <w:rsid w:val="10B62239"/>
    <w:rsid w:val="10B63710"/>
    <w:rsid w:val="10C009C2"/>
    <w:rsid w:val="10CC55B8"/>
    <w:rsid w:val="10D91A83"/>
    <w:rsid w:val="10EF74F9"/>
    <w:rsid w:val="10F10820"/>
    <w:rsid w:val="10F44B0F"/>
    <w:rsid w:val="110034B4"/>
    <w:rsid w:val="111C2F7A"/>
    <w:rsid w:val="1126423B"/>
    <w:rsid w:val="112B0C0D"/>
    <w:rsid w:val="112E1DCF"/>
    <w:rsid w:val="1131366D"/>
    <w:rsid w:val="11421D1E"/>
    <w:rsid w:val="11665CA1"/>
    <w:rsid w:val="117143B2"/>
    <w:rsid w:val="117619C8"/>
    <w:rsid w:val="11AE4CBE"/>
    <w:rsid w:val="11B322D4"/>
    <w:rsid w:val="11BC387F"/>
    <w:rsid w:val="11C049F1"/>
    <w:rsid w:val="11D96D2F"/>
    <w:rsid w:val="11E64458"/>
    <w:rsid w:val="11EE155E"/>
    <w:rsid w:val="11F748B7"/>
    <w:rsid w:val="120B1575"/>
    <w:rsid w:val="12130FC5"/>
    <w:rsid w:val="12174F59"/>
    <w:rsid w:val="122338FE"/>
    <w:rsid w:val="12303925"/>
    <w:rsid w:val="123D0801"/>
    <w:rsid w:val="12635AA8"/>
    <w:rsid w:val="12665599"/>
    <w:rsid w:val="126E06C3"/>
    <w:rsid w:val="127E0B34"/>
    <w:rsid w:val="127E28E2"/>
    <w:rsid w:val="12843C71"/>
    <w:rsid w:val="128C5C52"/>
    <w:rsid w:val="128E3CFB"/>
    <w:rsid w:val="12B04A66"/>
    <w:rsid w:val="12D316BB"/>
    <w:rsid w:val="130F08F9"/>
    <w:rsid w:val="131E5E73"/>
    <w:rsid w:val="131F00EB"/>
    <w:rsid w:val="13257202"/>
    <w:rsid w:val="132B08A2"/>
    <w:rsid w:val="132F1E2E"/>
    <w:rsid w:val="132F22CB"/>
    <w:rsid w:val="133732CB"/>
    <w:rsid w:val="13373D29"/>
    <w:rsid w:val="134104D7"/>
    <w:rsid w:val="13451652"/>
    <w:rsid w:val="13497394"/>
    <w:rsid w:val="134C478E"/>
    <w:rsid w:val="13545D39"/>
    <w:rsid w:val="137D5290"/>
    <w:rsid w:val="137E6912"/>
    <w:rsid w:val="13916645"/>
    <w:rsid w:val="13951726"/>
    <w:rsid w:val="13B50586"/>
    <w:rsid w:val="13C06F2A"/>
    <w:rsid w:val="13CF064E"/>
    <w:rsid w:val="13D040A3"/>
    <w:rsid w:val="13D34EB0"/>
    <w:rsid w:val="14065285"/>
    <w:rsid w:val="141C6857"/>
    <w:rsid w:val="14223741"/>
    <w:rsid w:val="14305E5E"/>
    <w:rsid w:val="14373691"/>
    <w:rsid w:val="14396509"/>
    <w:rsid w:val="144933C4"/>
    <w:rsid w:val="1457163D"/>
    <w:rsid w:val="14693A81"/>
    <w:rsid w:val="14726477"/>
    <w:rsid w:val="14834906"/>
    <w:rsid w:val="14887A48"/>
    <w:rsid w:val="149C34F4"/>
    <w:rsid w:val="14A16D5C"/>
    <w:rsid w:val="14A64372"/>
    <w:rsid w:val="14DD2C3C"/>
    <w:rsid w:val="14E75A42"/>
    <w:rsid w:val="14EC6CE6"/>
    <w:rsid w:val="150077B6"/>
    <w:rsid w:val="15007F26"/>
    <w:rsid w:val="153951E6"/>
    <w:rsid w:val="15520056"/>
    <w:rsid w:val="15595889"/>
    <w:rsid w:val="15657D89"/>
    <w:rsid w:val="15671D54"/>
    <w:rsid w:val="15783F61"/>
    <w:rsid w:val="158F12AA"/>
    <w:rsid w:val="15910B7E"/>
    <w:rsid w:val="159C4E27"/>
    <w:rsid w:val="15A15912"/>
    <w:rsid w:val="15A562CA"/>
    <w:rsid w:val="15AA64D6"/>
    <w:rsid w:val="15B30AF5"/>
    <w:rsid w:val="15B34F99"/>
    <w:rsid w:val="15B605E5"/>
    <w:rsid w:val="15CE1DD3"/>
    <w:rsid w:val="160550C9"/>
    <w:rsid w:val="16087E1D"/>
    <w:rsid w:val="161517B0"/>
    <w:rsid w:val="16297009"/>
    <w:rsid w:val="162B2D81"/>
    <w:rsid w:val="163559AE"/>
    <w:rsid w:val="16581488"/>
    <w:rsid w:val="1666200B"/>
    <w:rsid w:val="16704C38"/>
    <w:rsid w:val="16717DFA"/>
    <w:rsid w:val="16846935"/>
    <w:rsid w:val="16BB047A"/>
    <w:rsid w:val="16C136E5"/>
    <w:rsid w:val="16CA5B5B"/>
    <w:rsid w:val="16E82A20"/>
    <w:rsid w:val="16EB0762"/>
    <w:rsid w:val="17005FBC"/>
    <w:rsid w:val="170A6E3A"/>
    <w:rsid w:val="171A4BA4"/>
    <w:rsid w:val="17701D14"/>
    <w:rsid w:val="17735226"/>
    <w:rsid w:val="17885FB1"/>
    <w:rsid w:val="179761F4"/>
    <w:rsid w:val="17AE4A03"/>
    <w:rsid w:val="17AF65E5"/>
    <w:rsid w:val="17B4292D"/>
    <w:rsid w:val="17D66D1D"/>
    <w:rsid w:val="17D75700"/>
    <w:rsid w:val="17E95440"/>
    <w:rsid w:val="17F66AC1"/>
    <w:rsid w:val="17FB49D5"/>
    <w:rsid w:val="1832519D"/>
    <w:rsid w:val="183937C2"/>
    <w:rsid w:val="183C74C7"/>
    <w:rsid w:val="18491BE4"/>
    <w:rsid w:val="18502F73"/>
    <w:rsid w:val="18585984"/>
    <w:rsid w:val="185E3459"/>
    <w:rsid w:val="187529D9"/>
    <w:rsid w:val="187C5B16"/>
    <w:rsid w:val="187D4842"/>
    <w:rsid w:val="18826EA4"/>
    <w:rsid w:val="18952734"/>
    <w:rsid w:val="189B6375"/>
    <w:rsid w:val="189F624C"/>
    <w:rsid w:val="18AE7C99"/>
    <w:rsid w:val="18BC5F92"/>
    <w:rsid w:val="18DA0A8E"/>
    <w:rsid w:val="18F7519C"/>
    <w:rsid w:val="190B5C5B"/>
    <w:rsid w:val="191A0E8B"/>
    <w:rsid w:val="192B3098"/>
    <w:rsid w:val="193E726F"/>
    <w:rsid w:val="19411A25"/>
    <w:rsid w:val="196571B4"/>
    <w:rsid w:val="199A6EAD"/>
    <w:rsid w:val="19A52E4A"/>
    <w:rsid w:val="19F66F6A"/>
    <w:rsid w:val="1A051B3B"/>
    <w:rsid w:val="1A0A7151"/>
    <w:rsid w:val="1A18186E"/>
    <w:rsid w:val="1A1C66C0"/>
    <w:rsid w:val="1A283EAB"/>
    <w:rsid w:val="1A295829"/>
    <w:rsid w:val="1A304E0A"/>
    <w:rsid w:val="1A345F7C"/>
    <w:rsid w:val="1A42393B"/>
    <w:rsid w:val="1A4C32C6"/>
    <w:rsid w:val="1A626F8D"/>
    <w:rsid w:val="1A84247E"/>
    <w:rsid w:val="1AA43102"/>
    <w:rsid w:val="1AA72BF2"/>
    <w:rsid w:val="1AA92CF1"/>
    <w:rsid w:val="1AAD45DE"/>
    <w:rsid w:val="1AC73C48"/>
    <w:rsid w:val="1ACC1784"/>
    <w:rsid w:val="1AE479A2"/>
    <w:rsid w:val="1AF02376"/>
    <w:rsid w:val="1AFC4CEC"/>
    <w:rsid w:val="1B046F80"/>
    <w:rsid w:val="1B083691"/>
    <w:rsid w:val="1B097409"/>
    <w:rsid w:val="1B0D514B"/>
    <w:rsid w:val="1B1F6342"/>
    <w:rsid w:val="1B2E0C1E"/>
    <w:rsid w:val="1B3267B5"/>
    <w:rsid w:val="1B334486"/>
    <w:rsid w:val="1B40161D"/>
    <w:rsid w:val="1B4346C9"/>
    <w:rsid w:val="1B441859"/>
    <w:rsid w:val="1B6606B1"/>
    <w:rsid w:val="1B8E37DE"/>
    <w:rsid w:val="1BA01B1B"/>
    <w:rsid w:val="1BB11F7A"/>
    <w:rsid w:val="1BC4767A"/>
    <w:rsid w:val="1BDB2B53"/>
    <w:rsid w:val="1C097E5D"/>
    <w:rsid w:val="1C1F38E5"/>
    <w:rsid w:val="1C35495A"/>
    <w:rsid w:val="1C3B1844"/>
    <w:rsid w:val="1C3E3B2D"/>
    <w:rsid w:val="1C4701E9"/>
    <w:rsid w:val="1C534F2C"/>
    <w:rsid w:val="1C556DAA"/>
    <w:rsid w:val="1C5E7925"/>
    <w:rsid w:val="1C7A12C9"/>
    <w:rsid w:val="1C7C0CC3"/>
    <w:rsid w:val="1C8A6328"/>
    <w:rsid w:val="1C8C6544"/>
    <w:rsid w:val="1CB03FE0"/>
    <w:rsid w:val="1CB735C0"/>
    <w:rsid w:val="1CC161ED"/>
    <w:rsid w:val="1CE05C7B"/>
    <w:rsid w:val="1CEE5B50"/>
    <w:rsid w:val="1CF00880"/>
    <w:rsid w:val="1CF7783C"/>
    <w:rsid w:val="1CFD070F"/>
    <w:rsid w:val="1D1207F7"/>
    <w:rsid w:val="1D230D05"/>
    <w:rsid w:val="1D310A93"/>
    <w:rsid w:val="1D382602"/>
    <w:rsid w:val="1D4119DC"/>
    <w:rsid w:val="1D5F6196"/>
    <w:rsid w:val="1D6132A5"/>
    <w:rsid w:val="1D632E00"/>
    <w:rsid w:val="1D6628F1"/>
    <w:rsid w:val="1D7E7C3A"/>
    <w:rsid w:val="1D8E56D5"/>
    <w:rsid w:val="1D9C214E"/>
    <w:rsid w:val="1DAB1346"/>
    <w:rsid w:val="1DB402DC"/>
    <w:rsid w:val="1DB42FE3"/>
    <w:rsid w:val="1DB63878"/>
    <w:rsid w:val="1DC6338F"/>
    <w:rsid w:val="1DD261D8"/>
    <w:rsid w:val="1DEC2CAE"/>
    <w:rsid w:val="1DFD14A7"/>
    <w:rsid w:val="1E0740D4"/>
    <w:rsid w:val="1E0F11DA"/>
    <w:rsid w:val="1E37603B"/>
    <w:rsid w:val="1E3A31F4"/>
    <w:rsid w:val="1E3B1FCF"/>
    <w:rsid w:val="1E3D18A3"/>
    <w:rsid w:val="1E404CFE"/>
    <w:rsid w:val="1E6D7CAF"/>
    <w:rsid w:val="1E732540"/>
    <w:rsid w:val="1E777908"/>
    <w:rsid w:val="1E7A43DA"/>
    <w:rsid w:val="1E7F010E"/>
    <w:rsid w:val="1E8E20FF"/>
    <w:rsid w:val="1E935967"/>
    <w:rsid w:val="1EA96F39"/>
    <w:rsid w:val="1EB1097C"/>
    <w:rsid w:val="1EBB6E63"/>
    <w:rsid w:val="1EC329BE"/>
    <w:rsid w:val="1ED01C92"/>
    <w:rsid w:val="1ED14A3C"/>
    <w:rsid w:val="1EDA17E8"/>
    <w:rsid w:val="1EE83EE8"/>
    <w:rsid w:val="1F244811"/>
    <w:rsid w:val="1F4E7AE0"/>
    <w:rsid w:val="1F550E6F"/>
    <w:rsid w:val="1F5B77C8"/>
    <w:rsid w:val="1F6E1F30"/>
    <w:rsid w:val="1F721A21"/>
    <w:rsid w:val="1F7538D1"/>
    <w:rsid w:val="1F8E612F"/>
    <w:rsid w:val="1F9279CD"/>
    <w:rsid w:val="1FA13150"/>
    <w:rsid w:val="1FB97650"/>
    <w:rsid w:val="1FCB7383"/>
    <w:rsid w:val="1FDE2C12"/>
    <w:rsid w:val="1FE7539E"/>
    <w:rsid w:val="20014B53"/>
    <w:rsid w:val="20020FF7"/>
    <w:rsid w:val="200603BB"/>
    <w:rsid w:val="20166850"/>
    <w:rsid w:val="201C198C"/>
    <w:rsid w:val="202B38C5"/>
    <w:rsid w:val="20322F5E"/>
    <w:rsid w:val="20452C91"/>
    <w:rsid w:val="20511721"/>
    <w:rsid w:val="20574252"/>
    <w:rsid w:val="2058272B"/>
    <w:rsid w:val="205C7FDB"/>
    <w:rsid w:val="20671BE0"/>
    <w:rsid w:val="20963CB8"/>
    <w:rsid w:val="20A30FC9"/>
    <w:rsid w:val="20A81A1B"/>
    <w:rsid w:val="20AA51EA"/>
    <w:rsid w:val="20B07FB6"/>
    <w:rsid w:val="20B646FB"/>
    <w:rsid w:val="20C55B80"/>
    <w:rsid w:val="20C77B4A"/>
    <w:rsid w:val="20D44015"/>
    <w:rsid w:val="20E93F65"/>
    <w:rsid w:val="210668C5"/>
    <w:rsid w:val="2120725A"/>
    <w:rsid w:val="212154AC"/>
    <w:rsid w:val="2122535A"/>
    <w:rsid w:val="213B74B1"/>
    <w:rsid w:val="215A2310"/>
    <w:rsid w:val="215E22A9"/>
    <w:rsid w:val="216B28A0"/>
    <w:rsid w:val="217C26E3"/>
    <w:rsid w:val="218B0B78"/>
    <w:rsid w:val="219914E7"/>
    <w:rsid w:val="21AA1DD5"/>
    <w:rsid w:val="21AD0AEE"/>
    <w:rsid w:val="21B77BBF"/>
    <w:rsid w:val="21BC3427"/>
    <w:rsid w:val="21DA1AFF"/>
    <w:rsid w:val="21DE318A"/>
    <w:rsid w:val="21E12E8E"/>
    <w:rsid w:val="21EB4094"/>
    <w:rsid w:val="21EF5B80"/>
    <w:rsid w:val="221C5C74"/>
    <w:rsid w:val="221E5C92"/>
    <w:rsid w:val="222A65E3"/>
    <w:rsid w:val="22401962"/>
    <w:rsid w:val="22405E06"/>
    <w:rsid w:val="2245341D"/>
    <w:rsid w:val="224C47AB"/>
    <w:rsid w:val="22576990"/>
    <w:rsid w:val="225C42C2"/>
    <w:rsid w:val="226B2E7C"/>
    <w:rsid w:val="226F3FF6"/>
    <w:rsid w:val="227368B6"/>
    <w:rsid w:val="227D2BB6"/>
    <w:rsid w:val="22A719E1"/>
    <w:rsid w:val="22B61C24"/>
    <w:rsid w:val="22C205C9"/>
    <w:rsid w:val="22E35D21"/>
    <w:rsid w:val="22F015DA"/>
    <w:rsid w:val="22F47480"/>
    <w:rsid w:val="23024628"/>
    <w:rsid w:val="231B417D"/>
    <w:rsid w:val="234611FA"/>
    <w:rsid w:val="234D4272"/>
    <w:rsid w:val="235D2F55"/>
    <w:rsid w:val="235F22BC"/>
    <w:rsid w:val="236773C3"/>
    <w:rsid w:val="238B2A4B"/>
    <w:rsid w:val="238C0BD7"/>
    <w:rsid w:val="238E0DF3"/>
    <w:rsid w:val="23906919"/>
    <w:rsid w:val="23DE1C48"/>
    <w:rsid w:val="23E02D14"/>
    <w:rsid w:val="23EA427B"/>
    <w:rsid w:val="240210CD"/>
    <w:rsid w:val="24062738"/>
    <w:rsid w:val="240F5A90"/>
    <w:rsid w:val="244871F4"/>
    <w:rsid w:val="2451070F"/>
    <w:rsid w:val="245B0CD5"/>
    <w:rsid w:val="245C67FB"/>
    <w:rsid w:val="246D6C5B"/>
    <w:rsid w:val="24877D1C"/>
    <w:rsid w:val="24901342"/>
    <w:rsid w:val="249E0F79"/>
    <w:rsid w:val="24B403E6"/>
    <w:rsid w:val="24BF09F7"/>
    <w:rsid w:val="24D26ABE"/>
    <w:rsid w:val="250749B9"/>
    <w:rsid w:val="252D53FE"/>
    <w:rsid w:val="25496D80"/>
    <w:rsid w:val="258129BE"/>
    <w:rsid w:val="25A03144"/>
    <w:rsid w:val="25A16BBC"/>
    <w:rsid w:val="25A22934"/>
    <w:rsid w:val="25B27F5B"/>
    <w:rsid w:val="25D041CF"/>
    <w:rsid w:val="25D270EE"/>
    <w:rsid w:val="25EC2D81"/>
    <w:rsid w:val="25ED1E01"/>
    <w:rsid w:val="25FA00A6"/>
    <w:rsid w:val="26062EC3"/>
    <w:rsid w:val="260D4251"/>
    <w:rsid w:val="26127ABA"/>
    <w:rsid w:val="262E41C8"/>
    <w:rsid w:val="2641170A"/>
    <w:rsid w:val="2652435A"/>
    <w:rsid w:val="26556BE5"/>
    <w:rsid w:val="26571970"/>
    <w:rsid w:val="265E40AD"/>
    <w:rsid w:val="265E685B"/>
    <w:rsid w:val="26600825"/>
    <w:rsid w:val="2684574E"/>
    <w:rsid w:val="268A58A2"/>
    <w:rsid w:val="26995AE5"/>
    <w:rsid w:val="269C7383"/>
    <w:rsid w:val="26B41D21"/>
    <w:rsid w:val="26B50445"/>
    <w:rsid w:val="26C06146"/>
    <w:rsid w:val="26C64400"/>
    <w:rsid w:val="26EA00EF"/>
    <w:rsid w:val="26FD42C6"/>
    <w:rsid w:val="26FD6EE4"/>
    <w:rsid w:val="270A253F"/>
    <w:rsid w:val="270F5DA7"/>
    <w:rsid w:val="2714160F"/>
    <w:rsid w:val="273E1841"/>
    <w:rsid w:val="27565784"/>
    <w:rsid w:val="275D6B12"/>
    <w:rsid w:val="276A122F"/>
    <w:rsid w:val="277057A2"/>
    <w:rsid w:val="277A3B68"/>
    <w:rsid w:val="278417B3"/>
    <w:rsid w:val="278422F1"/>
    <w:rsid w:val="279D1605"/>
    <w:rsid w:val="279F35CF"/>
    <w:rsid w:val="27AE55C0"/>
    <w:rsid w:val="27B631D8"/>
    <w:rsid w:val="27BA733D"/>
    <w:rsid w:val="27C777EA"/>
    <w:rsid w:val="27DA4607"/>
    <w:rsid w:val="280B2A12"/>
    <w:rsid w:val="281027A1"/>
    <w:rsid w:val="28373807"/>
    <w:rsid w:val="284303FE"/>
    <w:rsid w:val="28467838"/>
    <w:rsid w:val="287A36F4"/>
    <w:rsid w:val="288F719F"/>
    <w:rsid w:val="28940C5A"/>
    <w:rsid w:val="289724F8"/>
    <w:rsid w:val="28A40771"/>
    <w:rsid w:val="28A97B0D"/>
    <w:rsid w:val="28C52BC1"/>
    <w:rsid w:val="28CC03F4"/>
    <w:rsid w:val="28E079FB"/>
    <w:rsid w:val="29197543"/>
    <w:rsid w:val="291E49C7"/>
    <w:rsid w:val="29206EB8"/>
    <w:rsid w:val="29253660"/>
    <w:rsid w:val="29422464"/>
    <w:rsid w:val="29437AAE"/>
    <w:rsid w:val="294414A4"/>
    <w:rsid w:val="294E0E09"/>
    <w:rsid w:val="29595666"/>
    <w:rsid w:val="296A6DF8"/>
    <w:rsid w:val="2976210D"/>
    <w:rsid w:val="29874881"/>
    <w:rsid w:val="298760C9"/>
    <w:rsid w:val="299D3B3E"/>
    <w:rsid w:val="29A70519"/>
    <w:rsid w:val="29A868D8"/>
    <w:rsid w:val="29AF561F"/>
    <w:rsid w:val="29D137E8"/>
    <w:rsid w:val="29E21551"/>
    <w:rsid w:val="29E325E0"/>
    <w:rsid w:val="29E32856"/>
    <w:rsid w:val="29EA557F"/>
    <w:rsid w:val="29EE439A"/>
    <w:rsid w:val="29F311DA"/>
    <w:rsid w:val="2A080B08"/>
    <w:rsid w:val="2A1F3BBB"/>
    <w:rsid w:val="2A1F4553"/>
    <w:rsid w:val="2A261D85"/>
    <w:rsid w:val="2A273408"/>
    <w:rsid w:val="2A2953D2"/>
    <w:rsid w:val="2A452503"/>
    <w:rsid w:val="2A5432D9"/>
    <w:rsid w:val="2A584375"/>
    <w:rsid w:val="2A7551D3"/>
    <w:rsid w:val="2A83359C"/>
    <w:rsid w:val="2A9D36CA"/>
    <w:rsid w:val="2AA902C1"/>
    <w:rsid w:val="2AC32BBA"/>
    <w:rsid w:val="2ACF41CB"/>
    <w:rsid w:val="2AFA28CA"/>
    <w:rsid w:val="2AFE23BA"/>
    <w:rsid w:val="2B08133E"/>
    <w:rsid w:val="2B0B4AD7"/>
    <w:rsid w:val="2B165956"/>
    <w:rsid w:val="2B287F72"/>
    <w:rsid w:val="2B34402E"/>
    <w:rsid w:val="2B3E30FF"/>
    <w:rsid w:val="2B4A012D"/>
    <w:rsid w:val="2B582F13"/>
    <w:rsid w:val="2B5C4AC6"/>
    <w:rsid w:val="2B634913"/>
    <w:rsid w:val="2B6C37C8"/>
    <w:rsid w:val="2B701A2A"/>
    <w:rsid w:val="2B78358F"/>
    <w:rsid w:val="2B7D1434"/>
    <w:rsid w:val="2B8C3E6A"/>
    <w:rsid w:val="2B8D373E"/>
    <w:rsid w:val="2BA936A8"/>
    <w:rsid w:val="2BB4516F"/>
    <w:rsid w:val="2BB54B6E"/>
    <w:rsid w:val="2BB96F6F"/>
    <w:rsid w:val="2BC32019"/>
    <w:rsid w:val="2BD10EA5"/>
    <w:rsid w:val="2BD31A99"/>
    <w:rsid w:val="2BD4136D"/>
    <w:rsid w:val="2BE40A78"/>
    <w:rsid w:val="2BF13CCD"/>
    <w:rsid w:val="2C0B1233"/>
    <w:rsid w:val="2C315A5A"/>
    <w:rsid w:val="2C3D6F12"/>
    <w:rsid w:val="2C4B1C25"/>
    <w:rsid w:val="2C574478"/>
    <w:rsid w:val="2C626979"/>
    <w:rsid w:val="2C777CB5"/>
    <w:rsid w:val="2C7F0052"/>
    <w:rsid w:val="2CA84CAA"/>
    <w:rsid w:val="2CD6384B"/>
    <w:rsid w:val="2CDF621C"/>
    <w:rsid w:val="2CED26E7"/>
    <w:rsid w:val="2CFA3055"/>
    <w:rsid w:val="2D016192"/>
    <w:rsid w:val="2D764C1D"/>
    <w:rsid w:val="2D9E56F5"/>
    <w:rsid w:val="2D9E60D7"/>
    <w:rsid w:val="2DAF69AA"/>
    <w:rsid w:val="2DB72CF5"/>
    <w:rsid w:val="2DB9081B"/>
    <w:rsid w:val="2DC26EA4"/>
    <w:rsid w:val="2DCF003E"/>
    <w:rsid w:val="2E0028ED"/>
    <w:rsid w:val="2E024258"/>
    <w:rsid w:val="2E1D349F"/>
    <w:rsid w:val="2E2A5352"/>
    <w:rsid w:val="2E3A5DFF"/>
    <w:rsid w:val="2E3D58F0"/>
    <w:rsid w:val="2E474078"/>
    <w:rsid w:val="2E48330B"/>
    <w:rsid w:val="2E5A3DAC"/>
    <w:rsid w:val="2E667F96"/>
    <w:rsid w:val="2E67471B"/>
    <w:rsid w:val="2E701821"/>
    <w:rsid w:val="2E7035CF"/>
    <w:rsid w:val="2E8226AB"/>
    <w:rsid w:val="2E864BA1"/>
    <w:rsid w:val="2E935F8A"/>
    <w:rsid w:val="2E970A8B"/>
    <w:rsid w:val="2E9D1EEA"/>
    <w:rsid w:val="2EC61441"/>
    <w:rsid w:val="2EDE49DD"/>
    <w:rsid w:val="2EE1627B"/>
    <w:rsid w:val="2EEB2B34"/>
    <w:rsid w:val="2F027BF8"/>
    <w:rsid w:val="2F037D3B"/>
    <w:rsid w:val="2F063F34"/>
    <w:rsid w:val="2F10090E"/>
    <w:rsid w:val="2F104DB2"/>
    <w:rsid w:val="2F115822"/>
    <w:rsid w:val="2F1F0B51"/>
    <w:rsid w:val="2F285C58"/>
    <w:rsid w:val="2F35342D"/>
    <w:rsid w:val="2F3E36CD"/>
    <w:rsid w:val="2F493FA8"/>
    <w:rsid w:val="2F4F58DB"/>
    <w:rsid w:val="2F5527C5"/>
    <w:rsid w:val="2F57083E"/>
    <w:rsid w:val="2F6B1FE9"/>
    <w:rsid w:val="2F7C38A5"/>
    <w:rsid w:val="2F8310E0"/>
    <w:rsid w:val="2FAD1345"/>
    <w:rsid w:val="2FC80C08"/>
    <w:rsid w:val="2FCD4A51"/>
    <w:rsid w:val="2FD065E6"/>
    <w:rsid w:val="2FD96870"/>
    <w:rsid w:val="2FEF6776"/>
    <w:rsid w:val="302E54F0"/>
    <w:rsid w:val="30337F16"/>
    <w:rsid w:val="303D3985"/>
    <w:rsid w:val="304B6497"/>
    <w:rsid w:val="304F5466"/>
    <w:rsid w:val="30542A7D"/>
    <w:rsid w:val="30580BC9"/>
    <w:rsid w:val="305F38FB"/>
    <w:rsid w:val="30731155"/>
    <w:rsid w:val="307750E9"/>
    <w:rsid w:val="30A6551B"/>
    <w:rsid w:val="30A72C6B"/>
    <w:rsid w:val="30AD0B0B"/>
    <w:rsid w:val="30B1144B"/>
    <w:rsid w:val="30C36E11"/>
    <w:rsid w:val="30C714A1"/>
    <w:rsid w:val="30D75275"/>
    <w:rsid w:val="30DA11D4"/>
    <w:rsid w:val="30F34CA5"/>
    <w:rsid w:val="30F5600E"/>
    <w:rsid w:val="310A276C"/>
    <w:rsid w:val="31157DC2"/>
    <w:rsid w:val="311E2ED7"/>
    <w:rsid w:val="312F61A4"/>
    <w:rsid w:val="3152520E"/>
    <w:rsid w:val="315619EE"/>
    <w:rsid w:val="315C449C"/>
    <w:rsid w:val="316E7B6E"/>
    <w:rsid w:val="31796C3F"/>
    <w:rsid w:val="31807FCD"/>
    <w:rsid w:val="31815AF3"/>
    <w:rsid w:val="318D6246"/>
    <w:rsid w:val="31B82709"/>
    <w:rsid w:val="31D04385"/>
    <w:rsid w:val="31D05482"/>
    <w:rsid w:val="31E247E4"/>
    <w:rsid w:val="31ED4F37"/>
    <w:rsid w:val="320504D2"/>
    <w:rsid w:val="32130E41"/>
    <w:rsid w:val="32140715"/>
    <w:rsid w:val="32400B34"/>
    <w:rsid w:val="325925CC"/>
    <w:rsid w:val="325F5E35"/>
    <w:rsid w:val="3296737C"/>
    <w:rsid w:val="329E6876"/>
    <w:rsid w:val="32A001FB"/>
    <w:rsid w:val="32A46110"/>
    <w:rsid w:val="32B6615F"/>
    <w:rsid w:val="32CE2FBA"/>
    <w:rsid w:val="32D57EA5"/>
    <w:rsid w:val="32E006BB"/>
    <w:rsid w:val="32E75E2A"/>
    <w:rsid w:val="33014DEF"/>
    <w:rsid w:val="330B1B18"/>
    <w:rsid w:val="330C5891"/>
    <w:rsid w:val="33252972"/>
    <w:rsid w:val="33274478"/>
    <w:rsid w:val="332901F1"/>
    <w:rsid w:val="333015F2"/>
    <w:rsid w:val="33352DD5"/>
    <w:rsid w:val="3337290D"/>
    <w:rsid w:val="333A59CA"/>
    <w:rsid w:val="333F7A14"/>
    <w:rsid w:val="334B6320"/>
    <w:rsid w:val="336359DD"/>
    <w:rsid w:val="336D0DF3"/>
    <w:rsid w:val="337376BE"/>
    <w:rsid w:val="33745697"/>
    <w:rsid w:val="337E678E"/>
    <w:rsid w:val="33832420"/>
    <w:rsid w:val="33995376"/>
    <w:rsid w:val="339E4495"/>
    <w:rsid w:val="33B5572C"/>
    <w:rsid w:val="33B91574"/>
    <w:rsid w:val="33BE4DDD"/>
    <w:rsid w:val="33D934D4"/>
    <w:rsid w:val="33E660BA"/>
    <w:rsid w:val="33F20F2A"/>
    <w:rsid w:val="33FE2F6A"/>
    <w:rsid w:val="340622E0"/>
    <w:rsid w:val="340E07E5"/>
    <w:rsid w:val="34196BCA"/>
    <w:rsid w:val="341B3FDD"/>
    <w:rsid w:val="34235BF7"/>
    <w:rsid w:val="34401C96"/>
    <w:rsid w:val="344653DF"/>
    <w:rsid w:val="34594B05"/>
    <w:rsid w:val="345B262C"/>
    <w:rsid w:val="34640A9B"/>
    <w:rsid w:val="34665881"/>
    <w:rsid w:val="3474329C"/>
    <w:rsid w:val="349D6A56"/>
    <w:rsid w:val="34BA4F16"/>
    <w:rsid w:val="34CB67EC"/>
    <w:rsid w:val="34F028D9"/>
    <w:rsid w:val="34FA1E45"/>
    <w:rsid w:val="350C457C"/>
    <w:rsid w:val="35123632"/>
    <w:rsid w:val="352A38F1"/>
    <w:rsid w:val="353333B5"/>
    <w:rsid w:val="353D61D5"/>
    <w:rsid w:val="35415CC5"/>
    <w:rsid w:val="354B444E"/>
    <w:rsid w:val="35702107"/>
    <w:rsid w:val="357A11D7"/>
    <w:rsid w:val="358C5FA8"/>
    <w:rsid w:val="35AB75E3"/>
    <w:rsid w:val="35C15DF1"/>
    <w:rsid w:val="35CD1307"/>
    <w:rsid w:val="35D91023"/>
    <w:rsid w:val="35DA3A24"/>
    <w:rsid w:val="35E36D7D"/>
    <w:rsid w:val="35E87EEF"/>
    <w:rsid w:val="35F76384"/>
    <w:rsid w:val="36074A7F"/>
    <w:rsid w:val="360D3DFA"/>
    <w:rsid w:val="36173F7F"/>
    <w:rsid w:val="36212A94"/>
    <w:rsid w:val="362C191E"/>
    <w:rsid w:val="36545584"/>
    <w:rsid w:val="36641223"/>
    <w:rsid w:val="3667350A"/>
    <w:rsid w:val="366D3368"/>
    <w:rsid w:val="368F34CE"/>
    <w:rsid w:val="36923549"/>
    <w:rsid w:val="3699568D"/>
    <w:rsid w:val="36B75FBF"/>
    <w:rsid w:val="36BB1E17"/>
    <w:rsid w:val="36BD0C45"/>
    <w:rsid w:val="36C528BF"/>
    <w:rsid w:val="36D13079"/>
    <w:rsid w:val="36D97FDD"/>
    <w:rsid w:val="36DA1DD6"/>
    <w:rsid w:val="36E0150E"/>
    <w:rsid w:val="36F80606"/>
    <w:rsid w:val="37023232"/>
    <w:rsid w:val="370D4466"/>
    <w:rsid w:val="37135440"/>
    <w:rsid w:val="37160A8C"/>
    <w:rsid w:val="37184804"/>
    <w:rsid w:val="37187F99"/>
    <w:rsid w:val="37270EEB"/>
    <w:rsid w:val="372C4753"/>
    <w:rsid w:val="37321D6A"/>
    <w:rsid w:val="37614520"/>
    <w:rsid w:val="377A101B"/>
    <w:rsid w:val="377C25CB"/>
    <w:rsid w:val="377D3F7E"/>
    <w:rsid w:val="37841E99"/>
    <w:rsid w:val="3797278D"/>
    <w:rsid w:val="37AB1B1C"/>
    <w:rsid w:val="37B00EE0"/>
    <w:rsid w:val="37E00298"/>
    <w:rsid w:val="37E335F2"/>
    <w:rsid w:val="37E82428"/>
    <w:rsid w:val="37EB3CC7"/>
    <w:rsid w:val="37F25055"/>
    <w:rsid w:val="37F92887"/>
    <w:rsid w:val="38037262"/>
    <w:rsid w:val="380B23DE"/>
    <w:rsid w:val="38123949"/>
    <w:rsid w:val="381E5E4A"/>
    <w:rsid w:val="38521F98"/>
    <w:rsid w:val="385F05A8"/>
    <w:rsid w:val="38637D01"/>
    <w:rsid w:val="38763ED8"/>
    <w:rsid w:val="387A64E1"/>
    <w:rsid w:val="3881462B"/>
    <w:rsid w:val="388D1222"/>
    <w:rsid w:val="389205E6"/>
    <w:rsid w:val="38975BFC"/>
    <w:rsid w:val="38A07FD8"/>
    <w:rsid w:val="38B302F9"/>
    <w:rsid w:val="38B777F2"/>
    <w:rsid w:val="38B90269"/>
    <w:rsid w:val="38BB7B3D"/>
    <w:rsid w:val="38E15DF0"/>
    <w:rsid w:val="38E27632"/>
    <w:rsid w:val="38ED3A6E"/>
    <w:rsid w:val="38F12CD3"/>
    <w:rsid w:val="38F90665"/>
    <w:rsid w:val="38F94775"/>
    <w:rsid w:val="38FF3ECD"/>
    <w:rsid w:val="391D25A6"/>
    <w:rsid w:val="39292CF8"/>
    <w:rsid w:val="392971ED"/>
    <w:rsid w:val="392C0A3B"/>
    <w:rsid w:val="3930052B"/>
    <w:rsid w:val="39317DFF"/>
    <w:rsid w:val="39325651"/>
    <w:rsid w:val="39331DC9"/>
    <w:rsid w:val="395F7B34"/>
    <w:rsid w:val="396F26D5"/>
    <w:rsid w:val="397D4DF2"/>
    <w:rsid w:val="3986014B"/>
    <w:rsid w:val="39932868"/>
    <w:rsid w:val="399D36E6"/>
    <w:rsid w:val="39AE76A2"/>
    <w:rsid w:val="39BC3B6C"/>
    <w:rsid w:val="39D0586A"/>
    <w:rsid w:val="39D30EB6"/>
    <w:rsid w:val="39F257E0"/>
    <w:rsid w:val="3A12378C"/>
    <w:rsid w:val="3A184B1B"/>
    <w:rsid w:val="3A217E73"/>
    <w:rsid w:val="3A2D05C6"/>
    <w:rsid w:val="3A2E4DC8"/>
    <w:rsid w:val="3A3E27D3"/>
    <w:rsid w:val="3A4B3142"/>
    <w:rsid w:val="3A555D6F"/>
    <w:rsid w:val="3A5E69D2"/>
    <w:rsid w:val="3A72247D"/>
    <w:rsid w:val="3A872856"/>
    <w:rsid w:val="3A9C399E"/>
    <w:rsid w:val="3AB331C1"/>
    <w:rsid w:val="3AC32CD9"/>
    <w:rsid w:val="3AED3BD1"/>
    <w:rsid w:val="3B070E17"/>
    <w:rsid w:val="3B280033"/>
    <w:rsid w:val="3B286FE0"/>
    <w:rsid w:val="3B31058A"/>
    <w:rsid w:val="3B3763D1"/>
    <w:rsid w:val="3B4007CD"/>
    <w:rsid w:val="3B45141D"/>
    <w:rsid w:val="3B491430"/>
    <w:rsid w:val="3B4B164C"/>
    <w:rsid w:val="3B581673"/>
    <w:rsid w:val="3B5D4EDB"/>
    <w:rsid w:val="3B5E5347"/>
    <w:rsid w:val="3B651FE2"/>
    <w:rsid w:val="3B6B32AD"/>
    <w:rsid w:val="3B6C15C2"/>
    <w:rsid w:val="3B822E94"/>
    <w:rsid w:val="3B864D06"/>
    <w:rsid w:val="3BA7084C"/>
    <w:rsid w:val="3BAA1BBC"/>
    <w:rsid w:val="3BB30670"/>
    <w:rsid w:val="3BC92571"/>
    <w:rsid w:val="3BE21884"/>
    <w:rsid w:val="3BE63123"/>
    <w:rsid w:val="3BF27D19"/>
    <w:rsid w:val="3BFD221A"/>
    <w:rsid w:val="3C025A83"/>
    <w:rsid w:val="3C1063F2"/>
    <w:rsid w:val="3C187054"/>
    <w:rsid w:val="3C2029C6"/>
    <w:rsid w:val="3C241E9D"/>
    <w:rsid w:val="3C2B6D87"/>
    <w:rsid w:val="3C2F6E1E"/>
    <w:rsid w:val="3C3C2D43"/>
    <w:rsid w:val="3C4F64BA"/>
    <w:rsid w:val="3C5E715D"/>
    <w:rsid w:val="3C706E90"/>
    <w:rsid w:val="3C97441D"/>
    <w:rsid w:val="3C9B3F0D"/>
    <w:rsid w:val="3C9E6AFB"/>
    <w:rsid w:val="3CC82828"/>
    <w:rsid w:val="3CDA245A"/>
    <w:rsid w:val="3CDB07AE"/>
    <w:rsid w:val="3CE138EA"/>
    <w:rsid w:val="3CE55188"/>
    <w:rsid w:val="3CF03B2D"/>
    <w:rsid w:val="3D197528"/>
    <w:rsid w:val="3D1E06B7"/>
    <w:rsid w:val="3D293C27"/>
    <w:rsid w:val="3D2D51BA"/>
    <w:rsid w:val="3D70539A"/>
    <w:rsid w:val="3D826E7B"/>
    <w:rsid w:val="3D9B24C9"/>
    <w:rsid w:val="3DB64D77"/>
    <w:rsid w:val="3DB86D41"/>
    <w:rsid w:val="3DBA03C3"/>
    <w:rsid w:val="3DD944C8"/>
    <w:rsid w:val="3DDA0A65"/>
    <w:rsid w:val="3E09134A"/>
    <w:rsid w:val="3E0B0C1F"/>
    <w:rsid w:val="3E1C107E"/>
    <w:rsid w:val="3E381132"/>
    <w:rsid w:val="3E444130"/>
    <w:rsid w:val="3E4833C8"/>
    <w:rsid w:val="3E4C4683"/>
    <w:rsid w:val="3E5137BF"/>
    <w:rsid w:val="3E733CC9"/>
    <w:rsid w:val="3E8027F5"/>
    <w:rsid w:val="3E810EE1"/>
    <w:rsid w:val="3EA846BF"/>
    <w:rsid w:val="3EBE0387"/>
    <w:rsid w:val="3EDA0523"/>
    <w:rsid w:val="3EE871B2"/>
    <w:rsid w:val="3F012022"/>
    <w:rsid w:val="3F055FB6"/>
    <w:rsid w:val="3F06588A"/>
    <w:rsid w:val="3F0A7128"/>
    <w:rsid w:val="3F161F71"/>
    <w:rsid w:val="3F27069A"/>
    <w:rsid w:val="3F29024D"/>
    <w:rsid w:val="3F2C03A4"/>
    <w:rsid w:val="3F3E3F33"/>
    <w:rsid w:val="3F450160"/>
    <w:rsid w:val="3F4940F4"/>
    <w:rsid w:val="3F7D5B4C"/>
    <w:rsid w:val="3F8C3FE1"/>
    <w:rsid w:val="3F9827B4"/>
    <w:rsid w:val="3FA330D9"/>
    <w:rsid w:val="3FB11C9A"/>
    <w:rsid w:val="3FBD063E"/>
    <w:rsid w:val="3FC47A16"/>
    <w:rsid w:val="3FC60C8F"/>
    <w:rsid w:val="3FE07E89"/>
    <w:rsid w:val="3FEC4A80"/>
    <w:rsid w:val="3FF43934"/>
    <w:rsid w:val="3FFD6C8D"/>
    <w:rsid w:val="3FFF4431"/>
    <w:rsid w:val="402B37FA"/>
    <w:rsid w:val="402E5729"/>
    <w:rsid w:val="404F3252"/>
    <w:rsid w:val="407451A1"/>
    <w:rsid w:val="40786313"/>
    <w:rsid w:val="407A02DD"/>
    <w:rsid w:val="407A6407"/>
    <w:rsid w:val="407F00C1"/>
    <w:rsid w:val="407F3B46"/>
    <w:rsid w:val="409F5F96"/>
    <w:rsid w:val="40A62E81"/>
    <w:rsid w:val="40AD420F"/>
    <w:rsid w:val="40D23C76"/>
    <w:rsid w:val="40D43E92"/>
    <w:rsid w:val="40EF6013"/>
    <w:rsid w:val="41061B71"/>
    <w:rsid w:val="41326E0A"/>
    <w:rsid w:val="4142704D"/>
    <w:rsid w:val="415A776B"/>
    <w:rsid w:val="41630D72"/>
    <w:rsid w:val="416F3BBA"/>
    <w:rsid w:val="41746263"/>
    <w:rsid w:val="4181568E"/>
    <w:rsid w:val="4186142F"/>
    <w:rsid w:val="41A35612"/>
    <w:rsid w:val="41EC0D67"/>
    <w:rsid w:val="4200449D"/>
    <w:rsid w:val="42091919"/>
    <w:rsid w:val="42276243"/>
    <w:rsid w:val="422B2087"/>
    <w:rsid w:val="422E312E"/>
    <w:rsid w:val="423A3BCC"/>
    <w:rsid w:val="424E57D2"/>
    <w:rsid w:val="42755DCE"/>
    <w:rsid w:val="42764AD5"/>
    <w:rsid w:val="4278084D"/>
    <w:rsid w:val="42947F37"/>
    <w:rsid w:val="42A33B1C"/>
    <w:rsid w:val="42B26C49"/>
    <w:rsid w:val="42B807A3"/>
    <w:rsid w:val="42C62661"/>
    <w:rsid w:val="42EA799C"/>
    <w:rsid w:val="430D368B"/>
    <w:rsid w:val="43170066"/>
    <w:rsid w:val="432E715D"/>
    <w:rsid w:val="433A6FE6"/>
    <w:rsid w:val="43444074"/>
    <w:rsid w:val="43480868"/>
    <w:rsid w:val="4350713C"/>
    <w:rsid w:val="43551A5C"/>
    <w:rsid w:val="435555B6"/>
    <w:rsid w:val="435A24D0"/>
    <w:rsid w:val="436653E0"/>
    <w:rsid w:val="43762FDE"/>
    <w:rsid w:val="43996CCD"/>
    <w:rsid w:val="43C26223"/>
    <w:rsid w:val="43C4431A"/>
    <w:rsid w:val="43C52E38"/>
    <w:rsid w:val="43CC52F4"/>
    <w:rsid w:val="43E20674"/>
    <w:rsid w:val="43E73439"/>
    <w:rsid w:val="43EE7018"/>
    <w:rsid w:val="43F87E97"/>
    <w:rsid w:val="440A1978"/>
    <w:rsid w:val="44223166"/>
    <w:rsid w:val="44246EDE"/>
    <w:rsid w:val="44581532"/>
    <w:rsid w:val="445826E4"/>
    <w:rsid w:val="44670B79"/>
    <w:rsid w:val="44705C7F"/>
    <w:rsid w:val="44735770"/>
    <w:rsid w:val="44753296"/>
    <w:rsid w:val="44A976DD"/>
    <w:rsid w:val="44B30262"/>
    <w:rsid w:val="44B951CC"/>
    <w:rsid w:val="44CD14E0"/>
    <w:rsid w:val="44D81A54"/>
    <w:rsid w:val="44F20B0B"/>
    <w:rsid w:val="44FC5765"/>
    <w:rsid w:val="44FF34A7"/>
    <w:rsid w:val="44FF5255"/>
    <w:rsid w:val="452E5F4C"/>
    <w:rsid w:val="453D4D93"/>
    <w:rsid w:val="454A4722"/>
    <w:rsid w:val="45612018"/>
    <w:rsid w:val="45640384"/>
    <w:rsid w:val="45717F01"/>
    <w:rsid w:val="457758B1"/>
    <w:rsid w:val="45790B64"/>
    <w:rsid w:val="45872486"/>
    <w:rsid w:val="458946E9"/>
    <w:rsid w:val="45927E77"/>
    <w:rsid w:val="459E05CA"/>
    <w:rsid w:val="45A47C0E"/>
    <w:rsid w:val="45C06792"/>
    <w:rsid w:val="45D16BF2"/>
    <w:rsid w:val="45D97854"/>
    <w:rsid w:val="45E00BE3"/>
    <w:rsid w:val="460C19D8"/>
    <w:rsid w:val="46116FEE"/>
    <w:rsid w:val="462C5BD6"/>
    <w:rsid w:val="463D7B33"/>
    <w:rsid w:val="4642364B"/>
    <w:rsid w:val="4642371F"/>
    <w:rsid w:val="46535859"/>
    <w:rsid w:val="46563332"/>
    <w:rsid w:val="46577FD6"/>
    <w:rsid w:val="46625A9C"/>
    <w:rsid w:val="46827EEC"/>
    <w:rsid w:val="468D1910"/>
    <w:rsid w:val="469519CD"/>
    <w:rsid w:val="469618BE"/>
    <w:rsid w:val="46997DFD"/>
    <w:rsid w:val="46B21A78"/>
    <w:rsid w:val="46B300A5"/>
    <w:rsid w:val="46C47716"/>
    <w:rsid w:val="46D955A7"/>
    <w:rsid w:val="46ED1809"/>
    <w:rsid w:val="47133957"/>
    <w:rsid w:val="471E45E0"/>
    <w:rsid w:val="47665118"/>
    <w:rsid w:val="47693688"/>
    <w:rsid w:val="476E221E"/>
    <w:rsid w:val="47855EE6"/>
    <w:rsid w:val="47A07E0C"/>
    <w:rsid w:val="47BE31A6"/>
    <w:rsid w:val="47C33C7C"/>
    <w:rsid w:val="47DF1F58"/>
    <w:rsid w:val="47E34800"/>
    <w:rsid w:val="480565FD"/>
    <w:rsid w:val="480908C5"/>
    <w:rsid w:val="4820176A"/>
    <w:rsid w:val="482A25E9"/>
    <w:rsid w:val="485D476D"/>
    <w:rsid w:val="48673535"/>
    <w:rsid w:val="4870272E"/>
    <w:rsid w:val="48914416"/>
    <w:rsid w:val="48BB1493"/>
    <w:rsid w:val="48CB3C66"/>
    <w:rsid w:val="48DA400F"/>
    <w:rsid w:val="48DA5DBD"/>
    <w:rsid w:val="48E704DA"/>
    <w:rsid w:val="48EC2EFF"/>
    <w:rsid w:val="48FA020D"/>
    <w:rsid w:val="49044BE8"/>
    <w:rsid w:val="491A08B0"/>
    <w:rsid w:val="491C1F11"/>
    <w:rsid w:val="49344847"/>
    <w:rsid w:val="493C6A78"/>
    <w:rsid w:val="493E151D"/>
    <w:rsid w:val="49415E3C"/>
    <w:rsid w:val="4944592C"/>
    <w:rsid w:val="494F5C14"/>
    <w:rsid w:val="495C67D2"/>
    <w:rsid w:val="4969001C"/>
    <w:rsid w:val="49690EEF"/>
    <w:rsid w:val="4981092F"/>
    <w:rsid w:val="498B4D22"/>
    <w:rsid w:val="49975A5C"/>
    <w:rsid w:val="499E0E74"/>
    <w:rsid w:val="49DC7715"/>
    <w:rsid w:val="49EB1918"/>
    <w:rsid w:val="49F92273"/>
    <w:rsid w:val="4A023139"/>
    <w:rsid w:val="4A0550BC"/>
    <w:rsid w:val="4A172E6A"/>
    <w:rsid w:val="4A1B668D"/>
    <w:rsid w:val="4A1C1452"/>
    <w:rsid w:val="4A2117CA"/>
    <w:rsid w:val="4A211DC9"/>
    <w:rsid w:val="4A271D5E"/>
    <w:rsid w:val="4A2C089A"/>
    <w:rsid w:val="4A2F2139"/>
    <w:rsid w:val="4A525E27"/>
    <w:rsid w:val="4A5B2F2E"/>
    <w:rsid w:val="4A62250E"/>
    <w:rsid w:val="4A7638C4"/>
    <w:rsid w:val="4A7B576F"/>
    <w:rsid w:val="4A82670C"/>
    <w:rsid w:val="4A9106FD"/>
    <w:rsid w:val="4A9B77CE"/>
    <w:rsid w:val="4AB663B6"/>
    <w:rsid w:val="4ABA3DDA"/>
    <w:rsid w:val="4AC07235"/>
    <w:rsid w:val="4AD145AB"/>
    <w:rsid w:val="4AD64BDE"/>
    <w:rsid w:val="4ADB406F"/>
    <w:rsid w:val="4AF25701"/>
    <w:rsid w:val="4AF34F14"/>
    <w:rsid w:val="4AF561A9"/>
    <w:rsid w:val="4B02784D"/>
    <w:rsid w:val="4B0B04B0"/>
    <w:rsid w:val="4B1D4687"/>
    <w:rsid w:val="4B3814C1"/>
    <w:rsid w:val="4B83098E"/>
    <w:rsid w:val="4B9F509C"/>
    <w:rsid w:val="4BB8657E"/>
    <w:rsid w:val="4BD56D10"/>
    <w:rsid w:val="4BEB208F"/>
    <w:rsid w:val="4BF46DEB"/>
    <w:rsid w:val="4BFE0015"/>
    <w:rsid w:val="4C0513A3"/>
    <w:rsid w:val="4C0A0767"/>
    <w:rsid w:val="4C192A88"/>
    <w:rsid w:val="4C274FDD"/>
    <w:rsid w:val="4C4A0649"/>
    <w:rsid w:val="4C516396"/>
    <w:rsid w:val="4C63273B"/>
    <w:rsid w:val="4C7E5ECA"/>
    <w:rsid w:val="4C876AA5"/>
    <w:rsid w:val="4C915657"/>
    <w:rsid w:val="4CB42DC9"/>
    <w:rsid w:val="4CC27294"/>
    <w:rsid w:val="4CDB2104"/>
    <w:rsid w:val="4CE94821"/>
    <w:rsid w:val="4CEC603F"/>
    <w:rsid w:val="4CF85F6B"/>
    <w:rsid w:val="4D0E00FB"/>
    <w:rsid w:val="4D0E4287"/>
    <w:rsid w:val="4D0F7FFF"/>
    <w:rsid w:val="4D176606"/>
    <w:rsid w:val="4D502AF2"/>
    <w:rsid w:val="4D6E4D26"/>
    <w:rsid w:val="4D754306"/>
    <w:rsid w:val="4D786715"/>
    <w:rsid w:val="4DA222EA"/>
    <w:rsid w:val="4DAB5F7A"/>
    <w:rsid w:val="4DAC150F"/>
    <w:rsid w:val="4DCF7EBB"/>
    <w:rsid w:val="4DDE00FE"/>
    <w:rsid w:val="4DEC4FB0"/>
    <w:rsid w:val="4DEF230B"/>
    <w:rsid w:val="4DF25957"/>
    <w:rsid w:val="4DFF1E22"/>
    <w:rsid w:val="4E075D8A"/>
    <w:rsid w:val="4E1F4272"/>
    <w:rsid w:val="4E241889"/>
    <w:rsid w:val="4E263E0D"/>
    <w:rsid w:val="4E2849B1"/>
    <w:rsid w:val="4E322EEA"/>
    <w:rsid w:val="4E3441C2"/>
    <w:rsid w:val="4E434405"/>
    <w:rsid w:val="4E467A51"/>
    <w:rsid w:val="4E597784"/>
    <w:rsid w:val="4E6219B7"/>
    <w:rsid w:val="4E704ACE"/>
    <w:rsid w:val="4EB15812"/>
    <w:rsid w:val="4EB175C0"/>
    <w:rsid w:val="4EB56E88"/>
    <w:rsid w:val="4EB9036C"/>
    <w:rsid w:val="4EC00FAD"/>
    <w:rsid w:val="4ED17C62"/>
    <w:rsid w:val="4EDF237F"/>
    <w:rsid w:val="4EE71234"/>
    <w:rsid w:val="4EF43951"/>
    <w:rsid w:val="4F0A0A7E"/>
    <w:rsid w:val="4F0F2539"/>
    <w:rsid w:val="4F1F09CE"/>
    <w:rsid w:val="4F2002A2"/>
    <w:rsid w:val="4F336227"/>
    <w:rsid w:val="4F351F9F"/>
    <w:rsid w:val="4F3B50DC"/>
    <w:rsid w:val="4F626108"/>
    <w:rsid w:val="4F7220C7"/>
    <w:rsid w:val="4F7818FC"/>
    <w:rsid w:val="4F784B18"/>
    <w:rsid w:val="4F813436"/>
    <w:rsid w:val="4F8151E4"/>
    <w:rsid w:val="4F8A2D43"/>
    <w:rsid w:val="4F9843DC"/>
    <w:rsid w:val="4FAD422B"/>
    <w:rsid w:val="4FBB7FCB"/>
    <w:rsid w:val="4FBF03ED"/>
    <w:rsid w:val="4FC62A8C"/>
    <w:rsid w:val="4FE20F0D"/>
    <w:rsid w:val="4FE51552"/>
    <w:rsid w:val="4FEB6B02"/>
    <w:rsid w:val="500F0A42"/>
    <w:rsid w:val="5012226F"/>
    <w:rsid w:val="5012408F"/>
    <w:rsid w:val="50131BB5"/>
    <w:rsid w:val="501E0C85"/>
    <w:rsid w:val="502A587C"/>
    <w:rsid w:val="50447FC0"/>
    <w:rsid w:val="50504C4B"/>
    <w:rsid w:val="50546455"/>
    <w:rsid w:val="505E72D4"/>
    <w:rsid w:val="50630D8E"/>
    <w:rsid w:val="50666188"/>
    <w:rsid w:val="508D1967"/>
    <w:rsid w:val="508E5E86"/>
    <w:rsid w:val="50903205"/>
    <w:rsid w:val="509C1BAA"/>
    <w:rsid w:val="509C6E7C"/>
    <w:rsid w:val="50A15412"/>
    <w:rsid w:val="50AA2519"/>
    <w:rsid w:val="50AA42C7"/>
    <w:rsid w:val="50AC4924"/>
    <w:rsid w:val="50B86D79"/>
    <w:rsid w:val="50FB4B23"/>
    <w:rsid w:val="51071719"/>
    <w:rsid w:val="51181B78"/>
    <w:rsid w:val="5119769F"/>
    <w:rsid w:val="513E0EB3"/>
    <w:rsid w:val="5151508A"/>
    <w:rsid w:val="516052CE"/>
    <w:rsid w:val="5162104E"/>
    <w:rsid w:val="51694182"/>
    <w:rsid w:val="517D2E0A"/>
    <w:rsid w:val="517D5E7F"/>
    <w:rsid w:val="51840C5A"/>
    <w:rsid w:val="51956D25"/>
    <w:rsid w:val="51D17A19"/>
    <w:rsid w:val="51D26363"/>
    <w:rsid w:val="51D75590"/>
    <w:rsid w:val="51E82577"/>
    <w:rsid w:val="51EE0B2B"/>
    <w:rsid w:val="51FB0B52"/>
    <w:rsid w:val="51FC6DA4"/>
    <w:rsid w:val="52097713"/>
    <w:rsid w:val="522D5360"/>
    <w:rsid w:val="523C6B13"/>
    <w:rsid w:val="52462715"/>
    <w:rsid w:val="52521AC1"/>
    <w:rsid w:val="5253273C"/>
    <w:rsid w:val="52586B0D"/>
    <w:rsid w:val="52B458D1"/>
    <w:rsid w:val="52C70C71"/>
    <w:rsid w:val="52CA29FF"/>
    <w:rsid w:val="52F65EE9"/>
    <w:rsid w:val="531B14AC"/>
    <w:rsid w:val="533E4FBB"/>
    <w:rsid w:val="5345477B"/>
    <w:rsid w:val="53803A05"/>
    <w:rsid w:val="5385247B"/>
    <w:rsid w:val="53994136"/>
    <w:rsid w:val="53A039CC"/>
    <w:rsid w:val="53A1505A"/>
    <w:rsid w:val="53A17A79"/>
    <w:rsid w:val="53A35B51"/>
    <w:rsid w:val="53A47698"/>
    <w:rsid w:val="53A5346C"/>
    <w:rsid w:val="53BB67EB"/>
    <w:rsid w:val="53C2401E"/>
    <w:rsid w:val="53D63625"/>
    <w:rsid w:val="54063E08"/>
    <w:rsid w:val="54150A17"/>
    <w:rsid w:val="54256C07"/>
    <w:rsid w:val="54297BF9"/>
    <w:rsid w:val="542E520F"/>
    <w:rsid w:val="543437E8"/>
    <w:rsid w:val="544037FB"/>
    <w:rsid w:val="545F177F"/>
    <w:rsid w:val="54857525"/>
    <w:rsid w:val="548B440F"/>
    <w:rsid w:val="54983866"/>
    <w:rsid w:val="549E05E7"/>
    <w:rsid w:val="54A11E85"/>
    <w:rsid w:val="54B0031A"/>
    <w:rsid w:val="54D44008"/>
    <w:rsid w:val="54DE09E3"/>
    <w:rsid w:val="54EB3100"/>
    <w:rsid w:val="54F73313"/>
    <w:rsid w:val="54F77CF7"/>
    <w:rsid w:val="54F80955"/>
    <w:rsid w:val="5507090D"/>
    <w:rsid w:val="5511700B"/>
    <w:rsid w:val="5540169E"/>
    <w:rsid w:val="555170A7"/>
    <w:rsid w:val="555962BC"/>
    <w:rsid w:val="55627866"/>
    <w:rsid w:val="556C2493"/>
    <w:rsid w:val="5572737D"/>
    <w:rsid w:val="557B4484"/>
    <w:rsid w:val="557D40D2"/>
    <w:rsid w:val="5587536D"/>
    <w:rsid w:val="559B174B"/>
    <w:rsid w:val="559F4616"/>
    <w:rsid w:val="55A734CB"/>
    <w:rsid w:val="55C537BC"/>
    <w:rsid w:val="55C73B6D"/>
    <w:rsid w:val="55CE0CF4"/>
    <w:rsid w:val="55EC35D4"/>
    <w:rsid w:val="55F36710"/>
    <w:rsid w:val="562B639C"/>
    <w:rsid w:val="5664316A"/>
    <w:rsid w:val="56707D61"/>
    <w:rsid w:val="567F61F6"/>
    <w:rsid w:val="569577C7"/>
    <w:rsid w:val="56A676EB"/>
    <w:rsid w:val="56AD7636"/>
    <w:rsid w:val="56B22A9C"/>
    <w:rsid w:val="56BA722E"/>
    <w:rsid w:val="56C854A7"/>
    <w:rsid w:val="56CB4F97"/>
    <w:rsid w:val="56CF50D9"/>
    <w:rsid w:val="56DC53F6"/>
    <w:rsid w:val="56E36B2B"/>
    <w:rsid w:val="56E524FD"/>
    <w:rsid w:val="56F20776"/>
    <w:rsid w:val="570D1A54"/>
    <w:rsid w:val="570D735E"/>
    <w:rsid w:val="572B12F6"/>
    <w:rsid w:val="573762E9"/>
    <w:rsid w:val="57454D4A"/>
    <w:rsid w:val="575A09F5"/>
    <w:rsid w:val="575F5B2C"/>
    <w:rsid w:val="57727B09"/>
    <w:rsid w:val="57825F9E"/>
    <w:rsid w:val="57AE0B41"/>
    <w:rsid w:val="57B72A76"/>
    <w:rsid w:val="57BB14B0"/>
    <w:rsid w:val="57C3426C"/>
    <w:rsid w:val="57CE1F93"/>
    <w:rsid w:val="57E207EA"/>
    <w:rsid w:val="58000079"/>
    <w:rsid w:val="58006EC2"/>
    <w:rsid w:val="581B1F4E"/>
    <w:rsid w:val="583C439E"/>
    <w:rsid w:val="583F5C3D"/>
    <w:rsid w:val="58580AAD"/>
    <w:rsid w:val="58705DF6"/>
    <w:rsid w:val="5886386C"/>
    <w:rsid w:val="588743D1"/>
    <w:rsid w:val="5887701A"/>
    <w:rsid w:val="588D4BFA"/>
    <w:rsid w:val="5898359F"/>
    <w:rsid w:val="589C5E1C"/>
    <w:rsid w:val="58A12453"/>
    <w:rsid w:val="58A24CE4"/>
    <w:rsid w:val="58AB1524"/>
    <w:rsid w:val="58B32187"/>
    <w:rsid w:val="58C85C32"/>
    <w:rsid w:val="58CF75B4"/>
    <w:rsid w:val="58E40592"/>
    <w:rsid w:val="59037741"/>
    <w:rsid w:val="591E1CF6"/>
    <w:rsid w:val="593B4656"/>
    <w:rsid w:val="594B0611"/>
    <w:rsid w:val="594F0101"/>
    <w:rsid w:val="596D4A2C"/>
    <w:rsid w:val="59796305"/>
    <w:rsid w:val="59A10231"/>
    <w:rsid w:val="59A246D5"/>
    <w:rsid w:val="59A321FB"/>
    <w:rsid w:val="59A87812"/>
    <w:rsid w:val="59C0439F"/>
    <w:rsid w:val="59DB3743"/>
    <w:rsid w:val="59DF76D7"/>
    <w:rsid w:val="5A0102DE"/>
    <w:rsid w:val="5A074538"/>
    <w:rsid w:val="5A0E32C0"/>
    <w:rsid w:val="5A1153B7"/>
    <w:rsid w:val="5A136689"/>
    <w:rsid w:val="5A1B7FE4"/>
    <w:rsid w:val="5A455061"/>
    <w:rsid w:val="5A6B1BA6"/>
    <w:rsid w:val="5A70032F"/>
    <w:rsid w:val="5A813A09"/>
    <w:rsid w:val="5A892127"/>
    <w:rsid w:val="5A951B44"/>
    <w:rsid w:val="5A957D96"/>
    <w:rsid w:val="5AB20948"/>
    <w:rsid w:val="5ABE2233"/>
    <w:rsid w:val="5AC16DDD"/>
    <w:rsid w:val="5AC57B92"/>
    <w:rsid w:val="5ACB22C3"/>
    <w:rsid w:val="5ACB7C5C"/>
    <w:rsid w:val="5AE76118"/>
    <w:rsid w:val="5AF820D3"/>
    <w:rsid w:val="5AFD593B"/>
    <w:rsid w:val="5B01542B"/>
    <w:rsid w:val="5B0D5B7E"/>
    <w:rsid w:val="5B172EA1"/>
    <w:rsid w:val="5B1769FD"/>
    <w:rsid w:val="5B182775"/>
    <w:rsid w:val="5B345801"/>
    <w:rsid w:val="5B3550D5"/>
    <w:rsid w:val="5B3C2907"/>
    <w:rsid w:val="5B3F3F8F"/>
    <w:rsid w:val="5B4041A6"/>
    <w:rsid w:val="5B5D6D73"/>
    <w:rsid w:val="5B6C74FA"/>
    <w:rsid w:val="5B6D0D13"/>
    <w:rsid w:val="5B905887"/>
    <w:rsid w:val="5B975D90"/>
    <w:rsid w:val="5BA24A24"/>
    <w:rsid w:val="5BC36B85"/>
    <w:rsid w:val="5BDF5D95"/>
    <w:rsid w:val="5BED59B0"/>
    <w:rsid w:val="5BF60D08"/>
    <w:rsid w:val="5BFE7528"/>
    <w:rsid w:val="5C052452"/>
    <w:rsid w:val="5C076A71"/>
    <w:rsid w:val="5C0A0310"/>
    <w:rsid w:val="5C270EC2"/>
    <w:rsid w:val="5C294C3A"/>
    <w:rsid w:val="5C404973"/>
    <w:rsid w:val="5C4A2E02"/>
    <w:rsid w:val="5C5F68AD"/>
    <w:rsid w:val="5C637866"/>
    <w:rsid w:val="5C700ABB"/>
    <w:rsid w:val="5C8400C2"/>
    <w:rsid w:val="5C9B365E"/>
    <w:rsid w:val="5C9C18B0"/>
    <w:rsid w:val="5C9F4EFC"/>
    <w:rsid w:val="5CA6554C"/>
    <w:rsid w:val="5CB12E81"/>
    <w:rsid w:val="5CB17C5E"/>
    <w:rsid w:val="5CE40B61"/>
    <w:rsid w:val="5CE60D7D"/>
    <w:rsid w:val="5CF439CF"/>
    <w:rsid w:val="5CF76AE6"/>
    <w:rsid w:val="5CFC19BE"/>
    <w:rsid w:val="5CFD6159"/>
    <w:rsid w:val="5CFF3BED"/>
    <w:rsid w:val="5D1C5B58"/>
    <w:rsid w:val="5D333896"/>
    <w:rsid w:val="5D3C099D"/>
    <w:rsid w:val="5D427328"/>
    <w:rsid w:val="5D573A29"/>
    <w:rsid w:val="5D686823"/>
    <w:rsid w:val="5D753EAF"/>
    <w:rsid w:val="5D7A14C5"/>
    <w:rsid w:val="5D891708"/>
    <w:rsid w:val="5D8C7B76"/>
    <w:rsid w:val="5D9A3915"/>
    <w:rsid w:val="5DC10EA2"/>
    <w:rsid w:val="5DC42740"/>
    <w:rsid w:val="5DD45C6C"/>
    <w:rsid w:val="5DED7EE9"/>
    <w:rsid w:val="5E055233"/>
    <w:rsid w:val="5E0C474C"/>
    <w:rsid w:val="5E1436C8"/>
    <w:rsid w:val="5E2467F1"/>
    <w:rsid w:val="5E257683"/>
    <w:rsid w:val="5E2C27BF"/>
    <w:rsid w:val="5E3C677A"/>
    <w:rsid w:val="5E40626B"/>
    <w:rsid w:val="5E532442"/>
    <w:rsid w:val="5E6463FD"/>
    <w:rsid w:val="5E6C3504"/>
    <w:rsid w:val="5E714676"/>
    <w:rsid w:val="5E8A398A"/>
    <w:rsid w:val="5EA92062"/>
    <w:rsid w:val="5EB50A07"/>
    <w:rsid w:val="5EC21572"/>
    <w:rsid w:val="5ED42A73"/>
    <w:rsid w:val="5ED52E57"/>
    <w:rsid w:val="5EF97790"/>
    <w:rsid w:val="5F053010"/>
    <w:rsid w:val="5F1A2B43"/>
    <w:rsid w:val="5F1A2F60"/>
    <w:rsid w:val="5F2E6A0B"/>
    <w:rsid w:val="5F2F459B"/>
    <w:rsid w:val="5F3F6522"/>
    <w:rsid w:val="5F443B39"/>
    <w:rsid w:val="5F48187B"/>
    <w:rsid w:val="5F4F0E5B"/>
    <w:rsid w:val="5F50072F"/>
    <w:rsid w:val="5F610B8F"/>
    <w:rsid w:val="5F7505BB"/>
    <w:rsid w:val="5F776A62"/>
    <w:rsid w:val="5F903ADE"/>
    <w:rsid w:val="5F982465"/>
    <w:rsid w:val="5FA71AF8"/>
    <w:rsid w:val="5FB5167C"/>
    <w:rsid w:val="5FB837BB"/>
    <w:rsid w:val="5FBA18A6"/>
    <w:rsid w:val="5FC9073E"/>
    <w:rsid w:val="5FCD1D80"/>
    <w:rsid w:val="5FD76F4D"/>
    <w:rsid w:val="5FD924D3"/>
    <w:rsid w:val="5FE001A6"/>
    <w:rsid w:val="5FFE63DD"/>
    <w:rsid w:val="600833A2"/>
    <w:rsid w:val="60162D65"/>
    <w:rsid w:val="602040DA"/>
    <w:rsid w:val="60344B00"/>
    <w:rsid w:val="603B318E"/>
    <w:rsid w:val="603E2C7E"/>
    <w:rsid w:val="604105BD"/>
    <w:rsid w:val="60762418"/>
    <w:rsid w:val="608E4950"/>
    <w:rsid w:val="608F5287"/>
    <w:rsid w:val="60920C9B"/>
    <w:rsid w:val="60BA0233"/>
    <w:rsid w:val="60C43183"/>
    <w:rsid w:val="60CC405A"/>
    <w:rsid w:val="60EC26DA"/>
    <w:rsid w:val="611063C8"/>
    <w:rsid w:val="612C3CC7"/>
    <w:rsid w:val="61480B6C"/>
    <w:rsid w:val="616404C2"/>
    <w:rsid w:val="617C580C"/>
    <w:rsid w:val="619743F4"/>
    <w:rsid w:val="61C62F2B"/>
    <w:rsid w:val="61E215D8"/>
    <w:rsid w:val="61EF2482"/>
    <w:rsid w:val="62013F63"/>
    <w:rsid w:val="62173786"/>
    <w:rsid w:val="621B3775"/>
    <w:rsid w:val="622E519F"/>
    <w:rsid w:val="62364782"/>
    <w:rsid w:val="624125B1"/>
    <w:rsid w:val="62465E1A"/>
    <w:rsid w:val="627C1233"/>
    <w:rsid w:val="62943029"/>
    <w:rsid w:val="629B7F14"/>
    <w:rsid w:val="629D1EDE"/>
    <w:rsid w:val="62A233F4"/>
    <w:rsid w:val="62A85980"/>
    <w:rsid w:val="62AF7E63"/>
    <w:rsid w:val="62B334AF"/>
    <w:rsid w:val="62C27B96"/>
    <w:rsid w:val="62C746D1"/>
    <w:rsid w:val="62F85366"/>
    <w:rsid w:val="63201190"/>
    <w:rsid w:val="632B50DA"/>
    <w:rsid w:val="632C14B3"/>
    <w:rsid w:val="632C46C1"/>
    <w:rsid w:val="63333266"/>
    <w:rsid w:val="633B16F7"/>
    <w:rsid w:val="6341070D"/>
    <w:rsid w:val="634935F0"/>
    <w:rsid w:val="63682C00"/>
    <w:rsid w:val="63895B9D"/>
    <w:rsid w:val="63927568"/>
    <w:rsid w:val="6394356A"/>
    <w:rsid w:val="6397692D"/>
    <w:rsid w:val="63B55005"/>
    <w:rsid w:val="63B71127"/>
    <w:rsid w:val="63C4349A"/>
    <w:rsid w:val="63C61B2C"/>
    <w:rsid w:val="63C7438C"/>
    <w:rsid w:val="63CA3A4F"/>
    <w:rsid w:val="63CB4828"/>
    <w:rsid w:val="63D40BE9"/>
    <w:rsid w:val="63D731CD"/>
    <w:rsid w:val="63D80C2C"/>
    <w:rsid w:val="63DC4C88"/>
    <w:rsid w:val="63E777BB"/>
    <w:rsid w:val="63F35B2D"/>
    <w:rsid w:val="63FB5F93"/>
    <w:rsid w:val="64102431"/>
    <w:rsid w:val="6417181C"/>
    <w:rsid w:val="641C50DF"/>
    <w:rsid w:val="641E704E"/>
    <w:rsid w:val="64265673"/>
    <w:rsid w:val="6428379A"/>
    <w:rsid w:val="642D54E3"/>
    <w:rsid w:val="64394458"/>
    <w:rsid w:val="643C1282"/>
    <w:rsid w:val="643C226B"/>
    <w:rsid w:val="64590086"/>
    <w:rsid w:val="64740A1C"/>
    <w:rsid w:val="647F5CB9"/>
    <w:rsid w:val="648275DD"/>
    <w:rsid w:val="64990483"/>
    <w:rsid w:val="64A5243A"/>
    <w:rsid w:val="64AC28AC"/>
    <w:rsid w:val="64AF414A"/>
    <w:rsid w:val="64F531DE"/>
    <w:rsid w:val="65373578"/>
    <w:rsid w:val="653B59DE"/>
    <w:rsid w:val="65402FF4"/>
    <w:rsid w:val="65501489"/>
    <w:rsid w:val="655423FD"/>
    <w:rsid w:val="655F01DD"/>
    <w:rsid w:val="65640A91"/>
    <w:rsid w:val="65870C23"/>
    <w:rsid w:val="65921AA2"/>
    <w:rsid w:val="65B21107"/>
    <w:rsid w:val="65C21C5B"/>
    <w:rsid w:val="65CD2452"/>
    <w:rsid w:val="65F12335"/>
    <w:rsid w:val="65FF6A0B"/>
    <w:rsid w:val="66081D64"/>
    <w:rsid w:val="66091638"/>
    <w:rsid w:val="6618187B"/>
    <w:rsid w:val="66187ACD"/>
    <w:rsid w:val="661E1587"/>
    <w:rsid w:val="66274150"/>
    <w:rsid w:val="66293A88"/>
    <w:rsid w:val="66482160"/>
    <w:rsid w:val="66860D67"/>
    <w:rsid w:val="669E4476"/>
    <w:rsid w:val="66A80E51"/>
    <w:rsid w:val="66C043ED"/>
    <w:rsid w:val="66C17E25"/>
    <w:rsid w:val="66C20165"/>
    <w:rsid w:val="66FB5425"/>
    <w:rsid w:val="670342D9"/>
    <w:rsid w:val="670562A3"/>
    <w:rsid w:val="671D35ED"/>
    <w:rsid w:val="671F124A"/>
    <w:rsid w:val="676347A2"/>
    <w:rsid w:val="67656D42"/>
    <w:rsid w:val="677A33C6"/>
    <w:rsid w:val="67876CB8"/>
    <w:rsid w:val="67A55390"/>
    <w:rsid w:val="67B83316"/>
    <w:rsid w:val="67C41CBB"/>
    <w:rsid w:val="67D5211A"/>
    <w:rsid w:val="67D6379C"/>
    <w:rsid w:val="67DD2D7C"/>
    <w:rsid w:val="67E4410B"/>
    <w:rsid w:val="67EB7247"/>
    <w:rsid w:val="67FD51CC"/>
    <w:rsid w:val="680965A3"/>
    <w:rsid w:val="681F6961"/>
    <w:rsid w:val="68285051"/>
    <w:rsid w:val="68307350"/>
    <w:rsid w:val="684150B9"/>
    <w:rsid w:val="684E0A0B"/>
    <w:rsid w:val="68610A2F"/>
    <w:rsid w:val="68705385"/>
    <w:rsid w:val="68805514"/>
    <w:rsid w:val="68866F70"/>
    <w:rsid w:val="688B219F"/>
    <w:rsid w:val="689C2C37"/>
    <w:rsid w:val="68C31F72"/>
    <w:rsid w:val="68C8394A"/>
    <w:rsid w:val="68E32614"/>
    <w:rsid w:val="68EE5ACD"/>
    <w:rsid w:val="68F55EA4"/>
    <w:rsid w:val="690F34D4"/>
    <w:rsid w:val="691B590A"/>
    <w:rsid w:val="69201173"/>
    <w:rsid w:val="692073C4"/>
    <w:rsid w:val="692A3D9F"/>
    <w:rsid w:val="69316E2F"/>
    <w:rsid w:val="69456E2B"/>
    <w:rsid w:val="694E2071"/>
    <w:rsid w:val="694F3806"/>
    <w:rsid w:val="695928D6"/>
    <w:rsid w:val="696F3EA8"/>
    <w:rsid w:val="69766163"/>
    <w:rsid w:val="69775E1D"/>
    <w:rsid w:val="697A3B33"/>
    <w:rsid w:val="69A51678"/>
    <w:rsid w:val="69AE3766"/>
    <w:rsid w:val="69AE677E"/>
    <w:rsid w:val="69B61AD7"/>
    <w:rsid w:val="69C064B2"/>
    <w:rsid w:val="69C53AC8"/>
    <w:rsid w:val="69D44760"/>
    <w:rsid w:val="69E736BF"/>
    <w:rsid w:val="69F34AD9"/>
    <w:rsid w:val="69F525FF"/>
    <w:rsid w:val="6A164324"/>
    <w:rsid w:val="6A1862EE"/>
    <w:rsid w:val="6A33113F"/>
    <w:rsid w:val="6A3C1FDC"/>
    <w:rsid w:val="6A520EC7"/>
    <w:rsid w:val="6A582B8E"/>
    <w:rsid w:val="6A793230"/>
    <w:rsid w:val="6A8120E5"/>
    <w:rsid w:val="6A843983"/>
    <w:rsid w:val="6A8D6CDC"/>
    <w:rsid w:val="6A927E4E"/>
    <w:rsid w:val="6A95793E"/>
    <w:rsid w:val="6ADA0C61"/>
    <w:rsid w:val="6AE521F8"/>
    <w:rsid w:val="6AEE6320"/>
    <w:rsid w:val="6AF87E20"/>
    <w:rsid w:val="6B032AFA"/>
    <w:rsid w:val="6B064398"/>
    <w:rsid w:val="6B1B6095"/>
    <w:rsid w:val="6B322639"/>
    <w:rsid w:val="6B3F2408"/>
    <w:rsid w:val="6B4B624F"/>
    <w:rsid w:val="6B4F585A"/>
    <w:rsid w:val="6B7D28AC"/>
    <w:rsid w:val="6B8F1E3B"/>
    <w:rsid w:val="6B96396E"/>
    <w:rsid w:val="6B9B0F84"/>
    <w:rsid w:val="6B9D4CFC"/>
    <w:rsid w:val="6BA20565"/>
    <w:rsid w:val="6BA22313"/>
    <w:rsid w:val="6BA231B9"/>
    <w:rsid w:val="6BAA7419"/>
    <w:rsid w:val="6BC34DCE"/>
    <w:rsid w:val="6BD46244"/>
    <w:rsid w:val="6BEC358E"/>
    <w:rsid w:val="6C044D7B"/>
    <w:rsid w:val="6C3C4515"/>
    <w:rsid w:val="6C407DA1"/>
    <w:rsid w:val="6C4B4758"/>
    <w:rsid w:val="6C5007C1"/>
    <w:rsid w:val="6C636C38"/>
    <w:rsid w:val="6C651895"/>
    <w:rsid w:val="6C6677E4"/>
    <w:rsid w:val="6C7A6DEC"/>
    <w:rsid w:val="6C7C48F2"/>
    <w:rsid w:val="6CA67E59"/>
    <w:rsid w:val="6CB00A5F"/>
    <w:rsid w:val="6CB87914"/>
    <w:rsid w:val="6CBC5656"/>
    <w:rsid w:val="6CBF6EF4"/>
    <w:rsid w:val="6CC4275D"/>
    <w:rsid w:val="6CC639FB"/>
    <w:rsid w:val="6CE07597"/>
    <w:rsid w:val="6D010BA5"/>
    <w:rsid w:val="6D0E5786"/>
    <w:rsid w:val="6D1B5A1A"/>
    <w:rsid w:val="6D390A55"/>
    <w:rsid w:val="6D3C6797"/>
    <w:rsid w:val="6D4B2536"/>
    <w:rsid w:val="6D4D62AE"/>
    <w:rsid w:val="6D57537F"/>
    <w:rsid w:val="6D5C4743"/>
    <w:rsid w:val="6D6261FE"/>
    <w:rsid w:val="6D632F47"/>
    <w:rsid w:val="6D7D4DE5"/>
    <w:rsid w:val="6D8048D6"/>
    <w:rsid w:val="6D806684"/>
    <w:rsid w:val="6D8223FC"/>
    <w:rsid w:val="6DB34098"/>
    <w:rsid w:val="6DB545B6"/>
    <w:rsid w:val="6DBC51E2"/>
    <w:rsid w:val="6DC81DD9"/>
    <w:rsid w:val="6DD15131"/>
    <w:rsid w:val="6DE02FB4"/>
    <w:rsid w:val="6E012965"/>
    <w:rsid w:val="6E02353D"/>
    <w:rsid w:val="6E055EC4"/>
    <w:rsid w:val="6E2039C3"/>
    <w:rsid w:val="6E2434B3"/>
    <w:rsid w:val="6E2E60E0"/>
    <w:rsid w:val="6E396833"/>
    <w:rsid w:val="6E494CC8"/>
    <w:rsid w:val="6E514CED"/>
    <w:rsid w:val="6E5F0E91"/>
    <w:rsid w:val="6E7C73C6"/>
    <w:rsid w:val="6E82185F"/>
    <w:rsid w:val="6E994C05"/>
    <w:rsid w:val="6EB17C18"/>
    <w:rsid w:val="6EB563D5"/>
    <w:rsid w:val="6ED47A99"/>
    <w:rsid w:val="6ED92677"/>
    <w:rsid w:val="6EDF387E"/>
    <w:rsid w:val="6EE13152"/>
    <w:rsid w:val="6EE45AF6"/>
    <w:rsid w:val="6F064DEA"/>
    <w:rsid w:val="6F0F7AF8"/>
    <w:rsid w:val="6F1F3C7A"/>
    <w:rsid w:val="6F225983"/>
    <w:rsid w:val="6F2B0871"/>
    <w:rsid w:val="6F3E2352"/>
    <w:rsid w:val="6F3F0452"/>
    <w:rsid w:val="6F413BF1"/>
    <w:rsid w:val="6F5079E2"/>
    <w:rsid w:val="6F760E1A"/>
    <w:rsid w:val="6F906926"/>
    <w:rsid w:val="6F9401C4"/>
    <w:rsid w:val="6FA10B33"/>
    <w:rsid w:val="6FA431BE"/>
    <w:rsid w:val="6FAB550E"/>
    <w:rsid w:val="6FB1521A"/>
    <w:rsid w:val="6FB22D40"/>
    <w:rsid w:val="6FB940CF"/>
    <w:rsid w:val="6FC0720B"/>
    <w:rsid w:val="6FC82564"/>
    <w:rsid w:val="6FCA62DC"/>
    <w:rsid w:val="6FFC5590"/>
    <w:rsid w:val="70052E70"/>
    <w:rsid w:val="700D41C4"/>
    <w:rsid w:val="701D200D"/>
    <w:rsid w:val="701D640C"/>
    <w:rsid w:val="702C2AF3"/>
    <w:rsid w:val="703814F9"/>
    <w:rsid w:val="706313EE"/>
    <w:rsid w:val="706D1DD0"/>
    <w:rsid w:val="70716758"/>
    <w:rsid w:val="70741DA4"/>
    <w:rsid w:val="70840695"/>
    <w:rsid w:val="70856B87"/>
    <w:rsid w:val="709A3F00"/>
    <w:rsid w:val="709F1517"/>
    <w:rsid w:val="70BA3C5B"/>
    <w:rsid w:val="70BA471B"/>
    <w:rsid w:val="70D527EE"/>
    <w:rsid w:val="70D80585"/>
    <w:rsid w:val="70E347FD"/>
    <w:rsid w:val="70E43829"/>
    <w:rsid w:val="70E81CF8"/>
    <w:rsid w:val="70ED2C38"/>
    <w:rsid w:val="70F27898"/>
    <w:rsid w:val="70F86FAF"/>
    <w:rsid w:val="712A59E4"/>
    <w:rsid w:val="713C4FB8"/>
    <w:rsid w:val="715B5300"/>
    <w:rsid w:val="715C11B6"/>
    <w:rsid w:val="71644FCD"/>
    <w:rsid w:val="716A7C2E"/>
    <w:rsid w:val="716F2C97"/>
    <w:rsid w:val="717D0AC8"/>
    <w:rsid w:val="71902C0D"/>
    <w:rsid w:val="71997D14"/>
    <w:rsid w:val="71A32941"/>
    <w:rsid w:val="71C72AD3"/>
    <w:rsid w:val="71CC6B8D"/>
    <w:rsid w:val="71D27F8A"/>
    <w:rsid w:val="71E67094"/>
    <w:rsid w:val="71E847F7"/>
    <w:rsid w:val="71F4319C"/>
    <w:rsid w:val="71F72C8D"/>
    <w:rsid w:val="71FD4747"/>
    <w:rsid w:val="72115C0A"/>
    <w:rsid w:val="721D26F3"/>
    <w:rsid w:val="72247F25"/>
    <w:rsid w:val="722A3062"/>
    <w:rsid w:val="72343EE1"/>
    <w:rsid w:val="724265FE"/>
    <w:rsid w:val="72553024"/>
    <w:rsid w:val="72677E12"/>
    <w:rsid w:val="726E11A1"/>
    <w:rsid w:val="726E4074"/>
    <w:rsid w:val="729624A5"/>
    <w:rsid w:val="72A2709C"/>
    <w:rsid w:val="72C74D55"/>
    <w:rsid w:val="72D51220"/>
    <w:rsid w:val="72E46030"/>
    <w:rsid w:val="73075151"/>
    <w:rsid w:val="730E028E"/>
    <w:rsid w:val="73122968"/>
    <w:rsid w:val="731C29AB"/>
    <w:rsid w:val="731F5D5E"/>
    <w:rsid w:val="732E26DE"/>
    <w:rsid w:val="73410663"/>
    <w:rsid w:val="734C0DB6"/>
    <w:rsid w:val="73503E26"/>
    <w:rsid w:val="735A7977"/>
    <w:rsid w:val="73614014"/>
    <w:rsid w:val="73657957"/>
    <w:rsid w:val="73770529"/>
    <w:rsid w:val="7379604F"/>
    <w:rsid w:val="737E5413"/>
    <w:rsid w:val="73A40BF2"/>
    <w:rsid w:val="73BB62CA"/>
    <w:rsid w:val="73C51294"/>
    <w:rsid w:val="73C51AD5"/>
    <w:rsid w:val="73C53042"/>
    <w:rsid w:val="73DD0602"/>
    <w:rsid w:val="73F17039"/>
    <w:rsid w:val="74082F2F"/>
    <w:rsid w:val="740B2A1F"/>
    <w:rsid w:val="740C0C71"/>
    <w:rsid w:val="741E25E3"/>
    <w:rsid w:val="741E793C"/>
    <w:rsid w:val="74251D33"/>
    <w:rsid w:val="745E3944"/>
    <w:rsid w:val="74634609"/>
    <w:rsid w:val="748527D2"/>
    <w:rsid w:val="7487479C"/>
    <w:rsid w:val="749B3DA3"/>
    <w:rsid w:val="74A54C22"/>
    <w:rsid w:val="74AE3AD6"/>
    <w:rsid w:val="74B86703"/>
    <w:rsid w:val="74C014DD"/>
    <w:rsid w:val="74C517D1"/>
    <w:rsid w:val="74C657BB"/>
    <w:rsid w:val="74C859A1"/>
    <w:rsid w:val="74DA5A88"/>
    <w:rsid w:val="74DF1EE2"/>
    <w:rsid w:val="74E76FE8"/>
    <w:rsid w:val="74EA0887"/>
    <w:rsid w:val="74FF2584"/>
    <w:rsid w:val="750B0F29"/>
    <w:rsid w:val="750E27C7"/>
    <w:rsid w:val="75157FF9"/>
    <w:rsid w:val="752E2E69"/>
    <w:rsid w:val="75327FD9"/>
    <w:rsid w:val="75387844"/>
    <w:rsid w:val="753F6E24"/>
    <w:rsid w:val="75564BA8"/>
    <w:rsid w:val="756B5E6B"/>
    <w:rsid w:val="75785C52"/>
    <w:rsid w:val="75797CE5"/>
    <w:rsid w:val="757E5780"/>
    <w:rsid w:val="75811BD5"/>
    <w:rsid w:val="75834072"/>
    <w:rsid w:val="75874327"/>
    <w:rsid w:val="75894543"/>
    <w:rsid w:val="75932CCC"/>
    <w:rsid w:val="75B4336E"/>
    <w:rsid w:val="75D42E7C"/>
    <w:rsid w:val="760616F0"/>
    <w:rsid w:val="76110A7E"/>
    <w:rsid w:val="76147D8F"/>
    <w:rsid w:val="761738FD"/>
    <w:rsid w:val="762075D5"/>
    <w:rsid w:val="76257DC8"/>
    <w:rsid w:val="762B1157"/>
    <w:rsid w:val="763224E5"/>
    <w:rsid w:val="7635099D"/>
    <w:rsid w:val="7638050A"/>
    <w:rsid w:val="763E2F56"/>
    <w:rsid w:val="76500659"/>
    <w:rsid w:val="76595CC4"/>
    <w:rsid w:val="76634D94"/>
    <w:rsid w:val="766A1C7F"/>
    <w:rsid w:val="766D79C1"/>
    <w:rsid w:val="766F54E7"/>
    <w:rsid w:val="768865A9"/>
    <w:rsid w:val="768A2321"/>
    <w:rsid w:val="76925557"/>
    <w:rsid w:val="769413F2"/>
    <w:rsid w:val="76AF7FDA"/>
    <w:rsid w:val="76EE2C2B"/>
    <w:rsid w:val="76F459ED"/>
    <w:rsid w:val="76FA7BF7"/>
    <w:rsid w:val="770E4D00"/>
    <w:rsid w:val="77260CAD"/>
    <w:rsid w:val="77484A88"/>
    <w:rsid w:val="77560455"/>
    <w:rsid w:val="77762421"/>
    <w:rsid w:val="778154D2"/>
    <w:rsid w:val="77B56B1F"/>
    <w:rsid w:val="77C41863"/>
    <w:rsid w:val="77C535B7"/>
    <w:rsid w:val="77D20625"/>
    <w:rsid w:val="77E616E5"/>
    <w:rsid w:val="77EB1D01"/>
    <w:rsid w:val="77F35CA4"/>
    <w:rsid w:val="77F71C38"/>
    <w:rsid w:val="78061E7B"/>
    <w:rsid w:val="780F09F4"/>
    <w:rsid w:val="78144598"/>
    <w:rsid w:val="781A76D5"/>
    <w:rsid w:val="78485FF0"/>
    <w:rsid w:val="784D3606"/>
    <w:rsid w:val="785A41EF"/>
    <w:rsid w:val="787C3EEC"/>
    <w:rsid w:val="787D038F"/>
    <w:rsid w:val="78961451"/>
    <w:rsid w:val="789D27E0"/>
    <w:rsid w:val="78A21BA4"/>
    <w:rsid w:val="78A90480"/>
    <w:rsid w:val="78AA2807"/>
    <w:rsid w:val="78AF2513"/>
    <w:rsid w:val="78C0202A"/>
    <w:rsid w:val="78CB2A3C"/>
    <w:rsid w:val="78D350D9"/>
    <w:rsid w:val="78DE0702"/>
    <w:rsid w:val="78E332A2"/>
    <w:rsid w:val="78E55F35"/>
    <w:rsid w:val="78F4272B"/>
    <w:rsid w:val="79030169"/>
    <w:rsid w:val="790A0CA6"/>
    <w:rsid w:val="791B3704"/>
    <w:rsid w:val="79256331"/>
    <w:rsid w:val="792B7E76"/>
    <w:rsid w:val="792E3438"/>
    <w:rsid w:val="79352A18"/>
    <w:rsid w:val="7936053E"/>
    <w:rsid w:val="79440EAD"/>
    <w:rsid w:val="794F33AE"/>
    <w:rsid w:val="795C61F7"/>
    <w:rsid w:val="79690914"/>
    <w:rsid w:val="79694470"/>
    <w:rsid w:val="79752E15"/>
    <w:rsid w:val="797C23F5"/>
    <w:rsid w:val="79982FA7"/>
    <w:rsid w:val="79C124FE"/>
    <w:rsid w:val="79CD2C51"/>
    <w:rsid w:val="79D307DE"/>
    <w:rsid w:val="7A0423EA"/>
    <w:rsid w:val="7A0D370A"/>
    <w:rsid w:val="7A1C5986"/>
    <w:rsid w:val="7A1C7585"/>
    <w:rsid w:val="7A2D36EF"/>
    <w:rsid w:val="7A2F7467"/>
    <w:rsid w:val="7A364017"/>
    <w:rsid w:val="7A5872B9"/>
    <w:rsid w:val="7A810EAF"/>
    <w:rsid w:val="7A8265E1"/>
    <w:rsid w:val="7A94551C"/>
    <w:rsid w:val="7A9674E6"/>
    <w:rsid w:val="7AB614CA"/>
    <w:rsid w:val="7AC34054"/>
    <w:rsid w:val="7AD20E6B"/>
    <w:rsid w:val="7AE75F94"/>
    <w:rsid w:val="7AEE7323"/>
    <w:rsid w:val="7AEF1E86"/>
    <w:rsid w:val="7AF1471D"/>
    <w:rsid w:val="7AF67F85"/>
    <w:rsid w:val="7AF91823"/>
    <w:rsid w:val="7B0703E4"/>
    <w:rsid w:val="7B0E5005"/>
    <w:rsid w:val="7B166879"/>
    <w:rsid w:val="7B1D3764"/>
    <w:rsid w:val="7B1E64EB"/>
    <w:rsid w:val="7B220D7A"/>
    <w:rsid w:val="7B282970"/>
    <w:rsid w:val="7B430CF1"/>
    <w:rsid w:val="7B670E83"/>
    <w:rsid w:val="7B686D42"/>
    <w:rsid w:val="7B841746"/>
    <w:rsid w:val="7B891A08"/>
    <w:rsid w:val="7BA774D1"/>
    <w:rsid w:val="7BAF222A"/>
    <w:rsid w:val="7BD227A0"/>
    <w:rsid w:val="7BDE7397"/>
    <w:rsid w:val="7BEB5610"/>
    <w:rsid w:val="7BFC15CB"/>
    <w:rsid w:val="7C2D79D7"/>
    <w:rsid w:val="7C43369E"/>
    <w:rsid w:val="7C653614"/>
    <w:rsid w:val="7C6C5AC7"/>
    <w:rsid w:val="7C6D697E"/>
    <w:rsid w:val="7C7A6994"/>
    <w:rsid w:val="7C7E0232"/>
    <w:rsid w:val="7C7E6484"/>
    <w:rsid w:val="7C8D3CBE"/>
    <w:rsid w:val="7CA3413D"/>
    <w:rsid w:val="7CB023B6"/>
    <w:rsid w:val="7CC6544B"/>
    <w:rsid w:val="7CCA791B"/>
    <w:rsid w:val="7CD12A58"/>
    <w:rsid w:val="7CE9699E"/>
    <w:rsid w:val="7CEA1D6C"/>
    <w:rsid w:val="7CEC5AE4"/>
    <w:rsid w:val="7CF130FA"/>
    <w:rsid w:val="7D0239FF"/>
    <w:rsid w:val="7D083FA0"/>
    <w:rsid w:val="7D552D50"/>
    <w:rsid w:val="7D567401"/>
    <w:rsid w:val="7D5E40CD"/>
    <w:rsid w:val="7D781125"/>
    <w:rsid w:val="7D787377"/>
    <w:rsid w:val="7D943A85"/>
    <w:rsid w:val="7DB07643"/>
    <w:rsid w:val="7DB54128"/>
    <w:rsid w:val="7DBD40DE"/>
    <w:rsid w:val="7DCD56F2"/>
    <w:rsid w:val="7DD81BC4"/>
    <w:rsid w:val="7DF52FBC"/>
    <w:rsid w:val="7DFA4230"/>
    <w:rsid w:val="7E186464"/>
    <w:rsid w:val="7E307C52"/>
    <w:rsid w:val="7E3420E2"/>
    <w:rsid w:val="7E385636"/>
    <w:rsid w:val="7E492AC2"/>
    <w:rsid w:val="7E573431"/>
    <w:rsid w:val="7E576F8D"/>
    <w:rsid w:val="7E6B47E6"/>
    <w:rsid w:val="7E8458A8"/>
    <w:rsid w:val="7E857F9E"/>
    <w:rsid w:val="7E8D4636"/>
    <w:rsid w:val="7EAF6DC9"/>
    <w:rsid w:val="7EB0669D"/>
    <w:rsid w:val="7EF43D62"/>
    <w:rsid w:val="7F001CE7"/>
    <w:rsid w:val="7F08297D"/>
    <w:rsid w:val="7F162D9D"/>
    <w:rsid w:val="7F264BB1"/>
    <w:rsid w:val="7F272875"/>
    <w:rsid w:val="7F2805F8"/>
    <w:rsid w:val="7F625BE9"/>
    <w:rsid w:val="7F78365F"/>
    <w:rsid w:val="7F875C30"/>
    <w:rsid w:val="7F932247"/>
    <w:rsid w:val="7F937306"/>
    <w:rsid w:val="7F995383"/>
    <w:rsid w:val="7FA44454"/>
    <w:rsid w:val="7FA51F7A"/>
    <w:rsid w:val="7FB65F35"/>
    <w:rsid w:val="7FC73928"/>
    <w:rsid w:val="7FC95C68"/>
    <w:rsid w:val="7FCA378E"/>
    <w:rsid w:val="7FDF7CEA"/>
    <w:rsid w:val="7FE47E50"/>
    <w:rsid w:val="7FED12CA"/>
    <w:rsid w:val="7FF8654D"/>
    <w:rsid w:val="7FFC2B90"/>
    <w:rsid w:val="7FFD1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0"/>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41"/>
    <w:qFormat/>
    <w:uiPriority w:val="0"/>
    <w:pPr>
      <w:tabs>
        <w:tab w:val="left" w:pos="5400"/>
      </w:tabs>
      <w:spacing w:before="50" w:beforeLines="50" w:after="50" w:afterLines="50" w:line="360" w:lineRule="auto"/>
      <w:outlineLvl w:val="1"/>
    </w:pPr>
    <w:rPr>
      <w:b/>
      <w:bCs/>
      <w:kern w:val="0"/>
      <w:sz w:val="30"/>
      <w:szCs w:val="30"/>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next w:val="1"/>
    <w:link w:val="44"/>
    <w:qFormat/>
    <w:uiPriority w:val="0"/>
    <w:pPr>
      <w:keepLines/>
      <w:adjustRightInd w:val="0"/>
      <w:snapToGrid w:val="0"/>
      <w:jc w:val="center"/>
      <w:outlineLvl w:val="4"/>
    </w:pPr>
    <w:rPr>
      <w:rFonts w:ascii="Times New Roman" w:hAnsi="Times New Roman" w:eastAsia="宋体" w:cs="Times New Roman"/>
      <w:b/>
      <w:bCs/>
      <w:kern w:val="2"/>
      <w:sz w:val="24"/>
      <w:szCs w:val="28"/>
      <w:lang w:val="en-US" w:eastAsia="zh-CN" w:bidi="ar-SA"/>
    </w:rPr>
  </w:style>
  <w:style w:type="character" w:default="1" w:styleId="34">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7">
    <w:name w:val="Note Heading"/>
    <w:basedOn w:val="1"/>
    <w:next w:val="1"/>
    <w:qFormat/>
    <w:uiPriority w:val="0"/>
    <w:pPr>
      <w:spacing w:line="360" w:lineRule="auto"/>
      <w:ind w:firstLine="200" w:firstLineChars="200"/>
      <w:jc w:val="center"/>
    </w:pPr>
    <w:rPr>
      <w:sz w:val="24"/>
      <w:szCs w:val="20"/>
    </w:rPr>
  </w:style>
  <w:style w:type="paragraph" w:styleId="8">
    <w:name w:val="Normal Indent"/>
    <w:basedOn w:val="1"/>
    <w:next w:val="1"/>
    <w:qFormat/>
    <w:uiPriority w:val="99"/>
    <w:pPr>
      <w:widowControl w:val="0"/>
      <w:adjustRightInd/>
      <w:snapToGrid/>
      <w:spacing w:line="240" w:lineRule="auto"/>
      <w:ind w:firstLine="420" w:firstLineChars="0"/>
    </w:pPr>
    <w:rPr>
      <w:rFonts w:eastAsia="仿宋_GB2312"/>
      <w:color w:val="auto"/>
      <w:sz w:val="28"/>
      <w:szCs w:val="20"/>
    </w:rPr>
  </w:style>
  <w:style w:type="paragraph" w:styleId="9">
    <w:name w:val="caption"/>
    <w:basedOn w:val="1"/>
    <w:next w:val="1"/>
    <w:link w:val="45"/>
    <w:unhideWhenUsed/>
    <w:qFormat/>
    <w:uiPriority w:val="0"/>
    <w:pPr>
      <w:numPr>
        <w:ilvl w:val="0"/>
        <w:numId w:val="1"/>
      </w:numPr>
      <w:spacing w:line="360" w:lineRule="auto"/>
      <w:jc w:val="center"/>
    </w:pPr>
    <w:rPr>
      <w:rFonts w:ascii="Times New Roman" w:hAnsi="Times New Roman"/>
      <w:b/>
      <w:sz w:val="24"/>
      <w:szCs w:val="24"/>
    </w:rPr>
  </w:style>
  <w:style w:type="paragraph" w:styleId="10">
    <w:name w:val="annotation text"/>
    <w:basedOn w:val="1"/>
    <w:link w:val="46"/>
    <w:qFormat/>
    <w:uiPriority w:val="99"/>
    <w:pPr>
      <w:jc w:val="left"/>
    </w:pPr>
    <w:rPr>
      <w:kern w:val="0"/>
      <w:sz w:val="24"/>
      <w:szCs w:val="20"/>
    </w:rPr>
  </w:style>
  <w:style w:type="paragraph" w:styleId="11">
    <w:name w:val="Salutation"/>
    <w:basedOn w:val="1"/>
    <w:next w:val="1"/>
    <w:unhideWhenUsed/>
    <w:qFormat/>
    <w:uiPriority w:val="99"/>
    <w:pPr>
      <w:widowControl w:val="0"/>
      <w:spacing w:line="307" w:lineRule="auto"/>
      <w:jc w:val="both"/>
    </w:pPr>
    <w:rPr>
      <w:rFonts w:ascii="Times New Roman" w:hAnsi="Times New Roman" w:eastAsia="宋体" w:cs="Times New Roman"/>
      <w:kern w:val="2"/>
      <w:sz w:val="21"/>
      <w:szCs w:val="24"/>
      <w:lang w:val="en-US" w:eastAsia="zh-CN" w:bidi="ar-SA"/>
    </w:rPr>
  </w:style>
  <w:style w:type="paragraph" w:styleId="12">
    <w:name w:val="Body Text"/>
    <w:basedOn w:val="1"/>
    <w:next w:val="7"/>
    <w:link w:val="47"/>
    <w:qFormat/>
    <w:uiPriority w:val="0"/>
    <w:pPr>
      <w:widowControl/>
      <w:snapToGrid w:val="0"/>
      <w:spacing w:before="60" w:after="160" w:line="259" w:lineRule="auto"/>
      <w:ind w:right="113"/>
    </w:pPr>
    <w:rPr>
      <w:kern w:val="0"/>
      <w:sz w:val="18"/>
      <w:szCs w:val="20"/>
    </w:rPr>
  </w:style>
  <w:style w:type="paragraph" w:styleId="13">
    <w:name w:val="Body Text Indent"/>
    <w:basedOn w:val="1"/>
    <w:link w:val="48"/>
    <w:qFormat/>
    <w:uiPriority w:val="0"/>
    <w:pPr>
      <w:spacing w:after="120"/>
      <w:ind w:left="420" w:leftChars="200"/>
    </w:pPr>
    <w:rPr>
      <w:kern w:val="0"/>
      <w:sz w:val="24"/>
      <w:szCs w:val="20"/>
    </w:rPr>
  </w:style>
  <w:style w:type="paragraph" w:styleId="14">
    <w:name w:val="Block Text"/>
    <w:basedOn w:val="1"/>
    <w:qFormat/>
    <w:uiPriority w:val="0"/>
    <w:pPr>
      <w:widowControl/>
      <w:spacing w:line="440" w:lineRule="exact"/>
      <w:ind w:left="113" w:right="113" w:firstLine="567"/>
    </w:pPr>
    <w:rPr>
      <w:rFonts w:ascii="仿宋_GB2312" w:eastAsia="仿宋_GB2312"/>
      <w:kern w:val="0"/>
      <w:sz w:val="28"/>
      <w:szCs w:val="20"/>
    </w:rPr>
  </w:style>
  <w:style w:type="paragraph" w:styleId="15">
    <w:name w:val="Plain Text"/>
    <w:basedOn w:val="1"/>
    <w:next w:val="12"/>
    <w:qFormat/>
    <w:uiPriority w:val="0"/>
    <w:pPr>
      <w:ind w:firstLine="0"/>
    </w:pPr>
    <w:rPr>
      <w:rFonts w:ascii="宋体" w:hAnsi="Courier New"/>
      <w:sz w:val="24"/>
    </w:rPr>
  </w:style>
  <w:style w:type="paragraph" w:styleId="16">
    <w:name w:val="Date"/>
    <w:basedOn w:val="1"/>
    <w:next w:val="1"/>
    <w:link w:val="49"/>
    <w:qFormat/>
    <w:uiPriority w:val="0"/>
    <w:pPr>
      <w:ind w:left="100" w:leftChars="2500"/>
    </w:pPr>
    <w:rPr>
      <w:kern w:val="0"/>
      <w:sz w:val="24"/>
      <w:szCs w:val="20"/>
    </w:rPr>
  </w:style>
  <w:style w:type="paragraph" w:styleId="17">
    <w:name w:val="Balloon Text"/>
    <w:basedOn w:val="1"/>
    <w:link w:val="50"/>
    <w:semiHidden/>
    <w:qFormat/>
    <w:uiPriority w:val="0"/>
    <w:rPr>
      <w:kern w:val="0"/>
      <w:sz w:val="18"/>
      <w:szCs w:val="20"/>
    </w:rPr>
  </w:style>
  <w:style w:type="paragraph" w:styleId="18">
    <w:name w:val="footer"/>
    <w:basedOn w:val="1"/>
    <w:next w:val="19"/>
    <w:link w:val="51"/>
    <w:qFormat/>
    <w:uiPriority w:val="99"/>
    <w:pPr>
      <w:tabs>
        <w:tab w:val="center" w:pos="4153"/>
        <w:tab w:val="right" w:pos="8306"/>
      </w:tabs>
      <w:snapToGrid w:val="0"/>
      <w:jc w:val="left"/>
    </w:pPr>
    <w:rPr>
      <w:kern w:val="0"/>
      <w:sz w:val="18"/>
      <w:szCs w:val="20"/>
    </w:rPr>
  </w:style>
  <w:style w:type="paragraph" w:styleId="19">
    <w:name w:val="Normal (Web)"/>
    <w:basedOn w:val="1"/>
    <w:link w:val="54"/>
    <w:qFormat/>
    <w:uiPriority w:val="0"/>
    <w:pPr>
      <w:widowControl/>
      <w:spacing w:before="100" w:beforeAutospacing="1" w:after="100" w:afterAutospacing="1"/>
      <w:jc w:val="left"/>
    </w:pPr>
    <w:rPr>
      <w:rFonts w:ascii="宋体" w:hAnsi="宋体"/>
      <w:kern w:val="0"/>
      <w:sz w:val="24"/>
      <w:szCs w:val="20"/>
    </w:rPr>
  </w:style>
  <w:style w:type="paragraph" w:styleId="20">
    <w:name w:val="header"/>
    <w:basedOn w:val="1"/>
    <w:link w:val="52"/>
    <w:qFormat/>
    <w:uiPriority w:val="99"/>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uiPriority w:val="0"/>
    <w:pPr>
      <w:spacing w:line="360" w:lineRule="auto"/>
    </w:pPr>
    <w:rPr>
      <w:b/>
      <w:sz w:val="28"/>
    </w:rPr>
  </w:style>
  <w:style w:type="paragraph" w:styleId="22">
    <w:name w:val="Subtitle"/>
    <w:basedOn w:val="1"/>
    <w:next w:val="1"/>
    <w:link w:val="53"/>
    <w:qFormat/>
    <w:uiPriority w:val="0"/>
    <w:pPr>
      <w:spacing w:before="240" w:after="60" w:line="312" w:lineRule="auto"/>
      <w:jc w:val="center"/>
      <w:outlineLvl w:val="1"/>
    </w:pPr>
    <w:rPr>
      <w:rFonts w:ascii="Cambria" w:hAnsi="Cambria" w:cs="Times New Roman"/>
      <w:b/>
      <w:bCs/>
      <w:kern w:val="28"/>
      <w:sz w:val="32"/>
      <w:szCs w:val="32"/>
    </w:rPr>
  </w:style>
  <w:style w:type="paragraph" w:styleId="23">
    <w:name w:val="List"/>
    <w:basedOn w:val="1"/>
    <w:qFormat/>
    <w:uiPriority w:val="0"/>
    <w:pPr>
      <w:spacing w:line="360" w:lineRule="exact"/>
      <w:ind w:firstLine="200" w:firstLineChars="200"/>
      <w:jc w:val="center"/>
    </w:pPr>
    <w:rPr>
      <w:rFonts w:ascii="仿宋_GB2312" w:eastAsia="仿宋_GB2312"/>
      <w:sz w:val="28"/>
      <w:szCs w:val="20"/>
    </w:rPr>
  </w:style>
  <w:style w:type="paragraph" w:styleId="24">
    <w:name w:val="toc 2"/>
    <w:basedOn w:val="1"/>
    <w:next w:val="1"/>
    <w:qFormat/>
    <w:uiPriority w:val="0"/>
    <w:pPr>
      <w:spacing w:line="360" w:lineRule="auto"/>
    </w:pPr>
    <w:rPr>
      <w:sz w:val="24"/>
    </w:rPr>
  </w:style>
  <w:style w:type="paragraph" w:styleId="25">
    <w:name w:val="Title"/>
    <w:basedOn w:val="1"/>
    <w:next w:val="1"/>
    <w:link w:val="55"/>
    <w:qFormat/>
    <w:uiPriority w:val="0"/>
    <w:pPr>
      <w:spacing w:before="10" w:after="10" w:line="360" w:lineRule="auto"/>
      <w:jc w:val="center"/>
      <w:outlineLvl w:val="0"/>
    </w:pPr>
    <w:rPr>
      <w:rFonts w:ascii="Arial" w:hAnsi="Arial" w:cs="Arial"/>
      <w:b/>
      <w:bCs/>
      <w:sz w:val="32"/>
      <w:szCs w:val="32"/>
    </w:rPr>
  </w:style>
  <w:style w:type="paragraph" w:styleId="26">
    <w:name w:val="annotation subject"/>
    <w:basedOn w:val="10"/>
    <w:next w:val="10"/>
    <w:link w:val="56"/>
    <w:semiHidden/>
    <w:qFormat/>
    <w:uiPriority w:val="0"/>
    <w:rPr>
      <w:b/>
      <w:sz w:val="24"/>
      <w:szCs w:val="20"/>
    </w:rPr>
  </w:style>
  <w:style w:type="paragraph" w:styleId="27">
    <w:name w:val="Body Text First Indent"/>
    <w:basedOn w:val="12"/>
    <w:qFormat/>
    <w:uiPriority w:val="0"/>
    <w:pPr>
      <w:tabs>
        <w:tab w:val="left" w:pos="1620"/>
        <w:tab w:val="left" w:pos="2700"/>
      </w:tabs>
      <w:spacing w:line="240" w:lineRule="exact"/>
      <w:ind w:firstLine="420" w:firstLineChars="100"/>
      <w:jc w:val="center"/>
    </w:pPr>
    <w:rPr>
      <w:rFonts w:ascii="Times New Roman" w:hAnsi="Times New Roman"/>
      <w:sz w:val="28"/>
      <w:szCs w:val="20"/>
    </w:rPr>
  </w:style>
  <w:style w:type="paragraph" w:styleId="28">
    <w:name w:val="Body Text First Indent 2"/>
    <w:basedOn w:val="13"/>
    <w:next w:val="27"/>
    <w:qFormat/>
    <w:uiPriority w:val="0"/>
    <w:pPr>
      <w:ind w:firstLine="420" w:firstLineChars="200"/>
    </w:pPr>
  </w:style>
  <w:style w:type="table" w:styleId="30">
    <w:name w:val="Table Grid"/>
    <w:basedOn w:val="2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Theme"/>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Classic 2"/>
    <w:basedOn w:val="29"/>
    <w:qFormat/>
    <w:uiPriority w:val="0"/>
    <w:pPr>
      <w:widowControl w:val="0"/>
      <w:jc w:val="both"/>
    </w:pPr>
    <w:tblPr>
      <w:tblBorders>
        <w:top w:val="single" w:color="000000" w:sz="12" w:space="0"/>
        <w:bottom w:val="single" w:color="000000" w:sz="12" w:space="0"/>
        <w:insideH w:val="single" w:color="auto" w:sz="4" w:space="0"/>
        <w:insideV w:val="single" w:color="auto" w:sz="4"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3">
    <w:name w:val="Table Simple 1"/>
    <w:basedOn w:val="29"/>
    <w:qFormat/>
    <w:uiPriority w:val="0"/>
    <w:pPr>
      <w:widowControl w:val="0"/>
      <w:spacing w:line="360" w:lineRule="auto"/>
      <w:ind w:firstLine="200" w:firstLineChars="20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5">
    <w:name w:val="Strong"/>
    <w:basedOn w:val="34"/>
    <w:qFormat/>
    <w:uiPriority w:val="0"/>
    <w:rPr>
      <w:b/>
    </w:rPr>
  </w:style>
  <w:style w:type="character" w:styleId="36">
    <w:name w:val="page number"/>
    <w:qFormat/>
    <w:uiPriority w:val="0"/>
  </w:style>
  <w:style w:type="character" w:styleId="37">
    <w:name w:val="Emphasis"/>
    <w:basedOn w:val="34"/>
    <w:qFormat/>
    <w:uiPriority w:val="0"/>
    <w:rPr>
      <w:i/>
    </w:rPr>
  </w:style>
  <w:style w:type="character" w:styleId="38">
    <w:name w:val="Hyperlink"/>
    <w:basedOn w:val="34"/>
    <w:qFormat/>
    <w:uiPriority w:val="0"/>
    <w:rPr>
      <w:color w:val="0000FF"/>
      <w:u w:val="single"/>
    </w:rPr>
  </w:style>
  <w:style w:type="character" w:styleId="39">
    <w:name w:val="annotation reference"/>
    <w:qFormat/>
    <w:uiPriority w:val="0"/>
    <w:rPr>
      <w:sz w:val="21"/>
    </w:rPr>
  </w:style>
  <w:style w:type="character" w:customStyle="1" w:styleId="40">
    <w:name w:val="标题 1 Char"/>
    <w:link w:val="2"/>
    <w:qFormat/>
    <w:uiPriority w:val="0"/>
    <w:rPr>
      <w:rFonts w:eastAsia="黑体"/>
      <w:b/>
      <w:bCs/>
      <w:color w:val="000000"/>
      <w:kern w:val="44"/>
      <w:sz w:val="30"/>
      <w:szCs w:val="30"/>
    </w:rPr>
  </w:style>
  <w:style w:type="character" w:customStyle="1" w:styleId="41">
    <w:name w:val="标题 2 Char"/>
    <w:link w:val="3"/>
    <w:qFormat/>
    <w:uiPriority w:val="0"/>
    <w:rPr>
      <w:b/>
      <w:bCs/>
      <w:sz w:val="30"/>
      <w:szCs w:val="30"/>
    </w:rPr>
  </w:style>
  <w:style w:type="character" w:customStyle="1" w:styleId="42">
    <w:name w:val="标题 3 Char"/>
    <w:link w:val="4"/>
    <w:semiHidden/>
    <w:qFormat/>
    <w:uiPriority w:val="0"/>
    <w:rPr>
      <w:b/>
      <w:bCs/>
      <w:kern w:val="2"/>
      <w:sz w:val="32"/>
      <w:szCs w:val="32"/>
    </w:rPr>
  </w:style>
  <w:style w:type="character" w:customStyle="1" w:styleId="43">
    <w:name w:val="标题 4 Char"/>
    <w:link w:val="5"/>
    <w:qFormat/>
    <w:uiPriority w:val="0"/>
    <w:rPr>
      <w:rFonts w:ascii="Cambria" w:hAnsi="Cambria" w:eastAsia="宋体" w:cs="Times New Roman"/>
      <w:b/>
      <w:bCs/>
      <w:kern w:val="2"/>
      <w:sz w:val="28"/>
      <w:szCs w:val="28"/>
    </w:rPr>
  </w:style>
  <w:style w:type="character" w:customStyle="1" w:styleId="44">
    <w:name w:val="标题 5 Char"/>
    <w:link w:val="6"/>
    <w:qFormat/>
    <w:uiPriority w:val="0"/>
    <w:rPr>
      <w:b/>
      <w:bCs/>
      <w:kern w:val="2"/>
      <w:sz w:val="24"/>
      <w:szCs w:val="28"/>
    </w:rPr>
  </w:style>
  <w:style w:type="character" w:customStyle="1" w:styleId="45">
    <w:name w:val="题注 Char"/>
    <w:link w:val="9"/>
    <w:qFormat/>
    <w:uiPriority w:val="0"/>
    <w:rPr>
      <w:b/>
      <w:kern w:val="2"/>
      <w:sz w:val="24"/>
      <w:szCs w:val="24"/>
    </w:rPr>
  </w:style>
  <w:style w:type="character" w:customStyle="1" w:styleId="46">
    <w:name w:val="批注文字 Char"/>
    <w:link w:val="10"/>
    <w:qFormat/>
    <w:uiPriority w:val="99"/>
    <w:rPr>
      <w:rFonts w:ascii="Times New Roman" w:hAnsi="Times New Roman" w:eastAsia="宋体"/>
      <w:sz w:val="24"/>
    </w:rPr>
  </w:style>
  <w:style w:type="character" w:customStyle="1" w:styleId="47">
    <w:name w:val="正文文本 Char"/>
    <w:link w:val="12"/>
    <w:qFormat/>
    <w:uiPriority w:val="0"/>
    <w:rPr>
      <w:sz w:val="18"/>
    </w:rPr>
  </w:style>
  <w:style w:type="character" w:customStyle="1" w:styleId="48">
    <w:name w:val="正文文本缩进 Char"/>
    <w:link w:val="13"/>
    <w:semiHidden/>
    <w:qFormat/>
    <w:uiPriority w:val="0"/>
    <w:rPr>
      <w:rFonts w:ascii="Times New Roman" w:hAnsi="Times New Roman" w:eastAsia="宋体"/>
      <w:sz w:val="24"/>
    </w:rPr>
  </w:style>
  <w:style w:type="character" w:customStyle="1" w:styleId="49">
    <w:name w:val="日期 Char"/>
    <w:link w:val="16"/>
    <w:qFormat/>
    <w:uiPriority w:val="0"/>
    <w:rPr>
      <w:rFonts w:ascii="Times New Roman" w:hAnsi="Times New Roman" w:eastAsia="宋体"/>
      <w:sz w:val="24"/>
    </w:rPr>
  </w:style>
  <w:style w:type="character" w:customStyle="1" w:styleId="50">
    <w:name w:val="批注框文本 Char"/>
    <w:link w:val="17"/>
    <w:semiHidden/>
    <w:qFormat/>
    <w:uiPriority w:val="0"/>
    <w:rPr>
      <w:rFonts w:ascii="Times New Roman" w:hAnsi="Times New Roman" w:eastAsia="宋体"/>
      <w:sz w:val="18"/>
    </w:rPr>
  </w:style>
  <w:style w:type="character" w:customStyle="1" w:styleId="51">
    <w:name w:val="页脚 Char"/>
    <w:link w:val="18"/>
    <w:qFormat/>
    <w:uiPriority w:val="99"/>
    <w:rPr>
      <w:sz w:val="18"/>
    </w:rPr>
  </w:style>
  <w:style w:type="character" w:customStyle="1" w:styleId="52">
    <w:name w:val="页眉 Char"/>
    <w:link w:val="20"/>
    <w:qFormat/>
    <w:uiPriority w:val="0"/>
    <w:rPr>
      <w:sz w:val="18"/>
    </w:rPr>
  </w:style>
  <w:style w:type="character" w:customStyle="1" w:styleId="53">
    <w:name w:val="副标题 Char"/>
    <w:link w:val="22"/>
    <w:qFormat/>
    <w:uiPriority w:val="0"/>
    <w:rPr>
      <w:rFonts w:ascii="Cambria" w:hAnsi="Cambria" w:cs="Times New Roman"/>
      <w:b/>
      <w:bCs/>
      <w:kern w:val="28"/>
      <w:sz w:val="32"/>
      <w:szCs w:val="32"/>
    </w:rPr>
  </w:style>
  <w:style w:type="character" w:customStyle="1" w:styleId="54">
    <w:name w:val="普通(网站) Char"/>
    <w:link w:val="19"/>
    <w:qFormat/>
    <w:uiPriority w:val="0"/>
    <w:rPr>
      <w:rFonts w:ascii="宋体" w:hAnsi="宋体" w:eastAsia="宋体"/>
      <w:sz w:val="24"/>
    </w:rPr>
  </w:style>
  <w:style w:type="character" w:customStyle="1" w:styleId="55">
    <w:name w:val="标题 Char"/>
    <w:link w:val="25"/>
    <w:qFormat/>
    <w:uiPriority w:val="0"/>
    <w:rPr>
      <w:rFonts w:ascii="Arial" w:hAnsi="Arial" w:cs="Arial"/>
      <w:b/>
      <w:bCs/>
      <w:kern w:val="2"/>
      <w:sz w:val="32"/>
      <w:szCs w:val="32"/>
    </w:rPr>
  </w:style>
  <w:style w:type="character" w:customStyle="1" w:styleId="56">
    <w:name w:val="批注主题 Char"/>
    <w:link w:val="26"/>
    <w:semiHidden/>
    <w:qFormat/>
    <w:uiPriority w:val="0"/>
    <w:rPr>
      <w:rFonts w:ascii="Times New Roman" w:hAnsi="Times New Roman" w:eastAsia="宋体"/>
      <w:b/>
      <w:kern w:val="2"/>
      <w:sz w:val="24"/>
    </w:rPr>
  </w:style>
  <w:style w:type="character" w:customStyle="1" w:styleId="57">
    <w:name w:val="页脚 字符"/>
    <w:qFormat/>
    <w:uiPriority w:val="99"/>
  </w:style>
  <w:style w:type="character" w:customStyle="1" w:styleId="58">
    <w:name w:val="正文文本 字符1"/>
    <w:semiHidden/>
    <w:qFormat/>
    <w:uiPriority w:val="0"/>
    <w:rPr>
      <w:rFonts w:ascii="Times New Roman" w:hAnsi="Times New Roman" w:eastAsia="宋体"/>
      <w:sz w:val="24"/>
    </w:rPr>
  </w:style>
  <w:style w:type="character" w:customStyle="1" w:styleId="59">
    <w:name w:val="表格 Char"/>
    <w:link w:val="60"/>
    <w:qFormat/>
    <w:uiPriority w:val="0"/>
    <w:rPr>
      <w:rFonts w:ascii="宋体"/>
      <w:sz w:val="21"/>
    </w:rPr>
  </w:style>
  <w:style w:type="paragraph" w:customStyle="1" w:styleId="60">
    <w:name w:val="表格"/>
    <w:basedOn w:val="8"/>
    <w:next w:val="1"/>
    <w:link w:val="59"/>
    <w:qFormat/>
    <w:uiPriority w:val="0"/>
    <w:pPr>
      <w:adjustRightInd w:val="0"/>
      <w:snapToGrid w:val="0"/>
      <w:spacing w:beforeLines="10" w:afterLines="10" w:line="259" w:lineRule="auto"/>
      <w:jc w:val="center"/>
    </w:pPr>
    <w:rPr>
      <w:rFonts w:ascii="宋体"/>
      <w:kern w:val="0"/>
      <w:szCs w:val="20"/>
    </w:rPr>
  </w:style>
  <w:style w:type="character" w:customStyle="1" w:styleId="61">
    <w:name w:val="日期 字符"/>
    <w:semiHidden/>
    <w:qFormat/>
    <w:uiPriority w:val="0"/>
    <w:rPr>
      <w:rFonts w:ascii="Times New Roman" w:hAnsi="Times New Roman" w:eastAsia="宋体"/>
      <w:sz w:val="24"/>
    </w:rPr>
  </w:style>
  <w:style w:type="character" w:customStyle="1" w:styleId="62">
    <w:name w:val="批注文字 字符1"/>
    <w:semiHidden/>
    <w:qFormat/>
    <w:uiPriority w:val="0"/>
    <w:rPr>
      <w:rFonts w:ascii="Times New Roman" w:hAnsi="Times New Roman" w:eastAsia="宋体"/>
      <w:sz w:val="24"/>
    </w:rPr>
  </w:style>
  <w:style w:type="paragraph" w:customStyle="1" w:styleId="6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5">
    <w:name w:val="表格标题样式"/>
    <w:basedOn w:val="1"/>
    <w:qFormat/>
    <w:uiPriority w:val="0"/>
    <w:pPr>
      <w:numPr>
        <w:ilvl w:val="0"/>
        <w:numId w:val="2"/>
      </w:numPr>
      <w:spacing w:before="50" w:beforeLines="50"/>
      <w:jc w:val="center"/>
    </w:pPr>
    <w:rPr>
      <w:b/>
      <w:sz w:val="24"/>
      <w:lang w:val="zh-CN"/>
    </w:rPr>
  </w:style>
  <w:style w:type="paragraph" w:customStyle="1" w:styleId="66">
    <w:name w:val="标题3"/>
    <w:basedOn w:val="1"/>
    <w:qFormat/>
    <w:uiPriority w:val="0"/>
    <w:pPr>
      <w:spacing w:line="360" w:lineRule="auto"/>
      <w:ind w:firstLine="200" w:firstLineChars="200"/>
    </w:pPr>
    <w:rPr>
      <w:sz w:val="24"/>
    </w:rPr>
  </w:style>
  <w:style w:type="character" w:customStyle="1" w:styleId="67">
    <w:name w:val="表格标题QQ Char"/>
    <w:link w:val="68"/>
    <w:qFormat/>
    <w:uiPriority w:val="0"/>
    <w:rPr>
      <w:b/>
      <w:sz w:val="24"/>
    </w:rPr>
  </w:style>
  <w:style w:type="paragraph" w:customStyle="1" w:styleId="68">
    <w:name w:val="表格标题QQ"/>
    <w:basedOn w:val="1"/>
    <w:link w:val="67"/>
    <w:qFormat/>
    <w:uiPriority w:val="0"/>
    <w:pPr>
      <w:spacing w:line="360" w:lineRule="auto"/>
      <w:jc w:val="center"/>
      <w:outlineLvl w:val="4"/>
    </w:pPr>
    <w:rPr>
      <w:b/>
      <w:kern w:val="0"/>
      <w:sz w:val="24"/>
      <w:szCs w:val="20"/>
    </w:rPr>
  </w:style>
  <w:style w:type="character" w:customStyle="1" w:styleId="69">
    <w:name w:val="表格内容Q Char"/>
    <w:link w:val="70"/>
    <w:qFormat/>
    <w:uiPriority w:val="0"/>
    <w:rPr>
      <w:sz w:val="21"/>
      <w:szCs w:val="21"/>
    </w:rPr>
  </w:style>
  <w:style w:type="paragraph" w:customStyle="1" w:styleId="70">
    <w:name w:val="表格内容Q"/>
    <w:basedOn w:val="1"/>
    <w:link w:val="69"/>
    <w:qFormat/>
    <w:uiPriority w:val="0"/>
    <w:pPr>
      <w:jc w:val="center"/>
    </w:pPr>
    <w:rPr>
      <w:kern w:val="0"/>
      <w:szCs w:val="21"/>
    </w:rPr>
  </w:style>
  <w:style w:type="table" w:customStyle="1" w:styleId="71">
    <w:name w:val="网格型7"/>
    <w:basedOn w:val="29"/>
    <w:qFormat/>
    <w:uiPriority w:val="0"/>
    <w:pPr>
      <w:widowControl w:val="0"/>
      <w:jc w:val="both"/>
    </w:pPr>
    <w:rPr>
      <w:sz w:val="21"/>
    </w:rPr>
    <w:tblPr>
      <w:jc w:val="center"/>
      <w:tblBorders>
        <w:top w:val="single" w:color="auto" w:sz="18" w:space="0"/>
        <w:bottom w:val="single" w:color="auto" w:sz="18" w:space="0"/>
        <w:insideH w:val="single" w:color="auto" w:sz="4" w:space="0"/>
        <w:insideV w:val="single" w:color="auto" w:sz="4" w:space="0"/>
      </w:tblBorders>
    </w:tblPr>
    <w:trPr>
      <w:jc w:val="center"/>
    </w:trPr>
    <w:tcPr>
      <w:vAlign w:val="center"/>
    </w:tcPr>
  </w:style>
  <w:style w:type="paragraph" w:customStyle="1" w:styleId="72">
    <w:name w:val="1.表格标题CM"/>
    <w:basedOn w:val="1"/>
    <w:link w:val="73"/>
    <w:qFormat/>
    <w:uiPriority w:val="0"/>
    <w:pPr>
      <w:adjustRightInd w:val="0"/>
      <w:snapToGrid w:val="0"/>
      <w:spacing w:line="360" w:lineRule="auto"/>
      <w:jc w:val="center"/>
      <w:outlineLvl w:val="6"/>
    </w:pPr>
    <w:rPr>
      <w:b/>
      <w:sz w:val="24"/>
      <w:lang w:val="zh-CN"/>
    </w:rPr>
  </w:style>
  <w:style w:type="character" w:customStyle="1" w:styleId="73">
    <w:name w:val="1.表格标题CM 字符"/>
    <w:link w:val="72"/>
    <w:qFormat/>
    <w:uiPriority w:val="0"/>
    <w:rPr>
      <w:b/>
      <w:kern w:val="2"/>
      <w:sz w:val="24"/>
      <w:szCs w:val="24"/>
      <w:lang w:val="zh-CN"/>
    </w:rPr>
  </w:style>
  <w:style w:type="character" w:customStyle="1" w:styleId="74">
    <w:name w:val="表格标题Q Char"/>
    <w:link w:val="75"/>
    <w:qFormat/>
    <w:uiPriority w:val="0"/>
    <w:rPr>
      <w:b/>
    </w:rPr>
  </w:style>
  <w:style w:type="paragraph" w:customStyle="1" w:styleId="75">
    <w:name w:val="表格标题Q"/>
    <w:basedOn w:val="1"/>
    <w:link w:val="74"/>
    <w:qFormat/>
    <w:uiPriority w:val="0"/>
    <w:pPr>
      <w:spacing w:line="360" w:lineRule="auto"/>
      <w:jc w:val="center"/>
    </w:pPr>
    <w:rPr>
      <w:b/>
      <w:kern w:val="0"/>
      <w:sz w:val="20"/>
      <w:szCs w:val="20"/>
    </w:rPr>
  </w:style>
  <w:style w:type="character" w:customStyle="1" w:styleId="76">
    <w:name w:val="表格内容CCW Char"/>
    <w:link w:val="77"/>
    <w:qFormat/>
    <w:uiPriority w:val="0"/>
    <w:rPr>
      <w:sz w:val="21"/>
    </w:rPr>
  </w:style>
  <w:style w:type="paragraph" w:customStyle="1" w:styleId="77">
    <w:name w:val="表格内容CCW"/>
    <w:basedOn w:val="1"/>
    <w:link w:val="76"/>
    <w:qFormat/>
    <w:uiPriority w:val="0"/>
    <w:pPr>
      <w:jc w:val="center"/>
    </w:pPr>
    <w:rPr>
      <w:kern w:val="0"/>
      <w:szCs w:val="20"/>
    </w:rPr>
  </w:style>
  <w:style w:type="paragraph" w:customStyle="1" w:styleId="78">
    <w:name w:val="Char Char"/>
    <w:basedOn w:val="1"/>
    <w:qFormat/>
    <w:uiPriority w:val="0"/>
    <w:rPr>
      <w:rFonts w:ascii="仿宋_GB2312" w:eastAsia="仿宋_GB2312"/>
      <w:b/>
      <w:sz w:val="32"/>
      <w:szCs w:val="32"/>
    </w:rPr>
  </w:style>
  <w:style w:type="character" w:customStyle="1" w:styleId="79">
    <w:name w:val="表格标题CCW Char"/>
    <w:link w:val="80"/>
    <w:qFormat/>
    <w:uiPriority w:val="0"/>
    <w:rPr>
      <w:b/>
      <w:sz w:val="24"/>
    </w:rPr>
  </w:style>
  <w:style w:type="paragraph" w:customStyle="1" w:styleId="80">
    <w:name w:val="表格标题CCW"/>
    <w:basedOn w:val="1"/>
    <w:next w:val="1"/>
    <w:link w:val="79"/>
    <w:qFormat/>
    <w:uiPriority w:val="0"/>
    <w:pPr>
      <w:spacing w:line="360" w:lineRule="auto"/>
      <w:jc w:val="center"/>
      <w:outlineLvl w:val="4"/>
    </w:pPr>
    <w:rPr>
      <w:b/>
      <w:kern w:val="0"/>
      <w:sz w:val="24"/>
      <w:szCs w:val="20"/>
    </w:rPr>
  </w:style>
  <w:style w:type="paragraph" w:customStyle="1" w:styleId="81">
    <w:name w:val="修订1"/>
    <w:unhideWhenUsed/>
    <w:qFormat/>
    <w:uiPriority w:val="99"/>
    <w:rPr>
      <w:rFonts w:ascii="Times New Roman" w:hAnsi="Times New Roman" w:eastAsia="宋体" w:cs="Times New Roman"/>
      <w:kern w:val="2"/>
      <w:sz w:val="24"/>
      <w:szCs w:val="24"/>
      <w:lang w:val="en-US" w:eastAsia="zh-CN" w:bidi="ar-SA"/>
    </w:rPr>
  </w:style>
  <w:style w:type="paragraph" w:customStyle="1" w:styleId="82">
    <w:name w:val="表内容"/>
    <w:qFormat/>
    <w:uiPriority w:val="0"/>
    <w:pPr>
      <w:adjustRightInd w:val="0"/>
      <w:jc w:val="center"/>
    </w:pPr>
    <w:rPr>
      <w:rFonts w:ascii="Times New Roman" w:hAnsi="Times New Roman" w:eastAsia="宋体" w:cs="Times New Roman"/>
      <w:kern w:val="2"/>
      <w:sz w:val="21"/>
      <w:szCs w:val="21"/>
      <w:lang w:val="en-US" w:eastAsia="zh-CN" w:bidi="ar-SA"/>
    </w:rPr>
  </w:style>
  <w:style w:type="paragraph" w:customStyle="1" w:styleId="83">
    <w:name w:val="_Style 81"/>
    <w:semiHidden/>
    <w:qFormat/>
    <w:uiPriority w:val="99"/>
    <w:rPr>
      <w:rFonts w:ascii="Times New Roman" w:hAnsi="Times New Roman" w:eastAsia="宋体" w:cs="Times New Roman"/>
      <w:kern w:val="2"/>
      <w:sz w:val="24"/>
      <w:szCs w:val="24"/>
      <w:lang w:val="en-US" w:eastAsia="zh-CN" w:bidi="ar-SA"/>
    </w:rPr>
  </w:style>
  <w:style w:type="paragraph" w:customStyle="1" w:styleId="8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
    <w:name w:val="font6"/>
    <w:basedOn w:val="1"/>
    <w:next w:val="24"/>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6">
    <w:name w:val="font7"/>
    <w:basedOn w:val="1"/>
    <w:qFormat/>
    <w:uiPriority w:val="0"/>
    <w:pPr>
      <w:widowControl/>
      <w:spacing w:before="100" w:beforeAutospacing="1" w:after="100" w:afterAutospacing="1"/>
      <w:jc w:val="left"/>
    </w:pPr>
    <w:rPr>
      <w:color w:val="000000"/>
      <w:kern w:val="0"/>
      <w:sz w:val="22"/>
      <w:szCs w:val="22"/>
    </w:rPr>
  </w:style>
  <w:style w:type="paragraph" w:customStyle="1" w:styleId="87">
    <w:name w:val="font8"/>
    <w:basedOn w:val="1"/>
    <w:qFormat/>
    <w:uiPriority w:val="0"/>
    <w:pPr>
      <w:widowControl/>
      <w:spacing w:before="100" w:beforeAutospacing="1" w:after="100" w:afterAutospacing="1"/>
      <w:jc w:val="left"/>
    </w:pPr>
    <w:rPr>
      <w:color w:val="000000"/>
      <w:kern w:val="0"/>
      <w:szCs w:val="21"/>
    </w:rPr>
  </w:style>
  <w:style w:type="paragraph" w:customStyle="1" w:styleId="88">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89">
    <w:name w:val="font10"/>
    <w:basedOn w:val="1"/>
    <w:qFormat/>
    <w:uiPriority w:val="0"/>
    <w:pPr>
      <w:widowControl/>
      <w:spacing w:before="100" w:beforeAutospacing="1" w:after="100" w:afterAutospacing="1"/>
      <w:jc w:val="left"/>
    </w:pPr>
    <w:rPr>
      <w:color w:val="000000"/>
      <w:kern w:val="0"/>
      <w:szCs w:val="21"/>
    </w:rPr>
  </w:style>
  <w:style w:type="paragraph" w:customStyle="1" w:styleId="90">
    <w:name w:val="font1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91">
    <w:name w:val="font12"/>
    <w:basedOn w:val="1"/>
    <w:qFormat/>
    <w:uiPriority w:val="0"/>
    <w:pPr>
      <w:widowControl/>
      <w:spacing w:before="100" w:beforeAutospacing="1" w:after="100" w:afterAutospacing="1"/>
      <w:jc w:val="left"/>
    </w:pPr>
    <w:rPr>
      <w:color w:val="000000"/>
      <w:kern w:val="0"/>
      <w:sz w:val="22"/>
      <w:szCs w:val="22"/>
    </w:rPr>
  </w:style>
  <w:style w:type="paragraph" w:customStyle="1" w:styleId="9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9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05">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6">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7">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1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12">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1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1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116">
    <w:name w:val="123正文 Char"/>
    <w:link w:val="117"/>
    <w:qFormat/>
    <w:uiPriority w:val="0"/>
    <w:rPr>
      <w:color w:val="0000FF"/>
      <w:kern w:val="2"/>
      <w:sz w:val="24"/>
      <w:szCs w:val="24"/>
      <w:lang w:val="zh-CN"/>
    </w:rPr>
  </w:style>
  <w:style w:type="paragraph" w:customStyle="1" w:styleId="117">
    <w:name w:val="123正文"/>
    <w:basedOn w:val="1"/>
    <w:link w:val="116"/>
    <w:qFormat/>
    <w:uiPriority w:val="0"/>
    <w:pPr>
      <w:snapToGrid w:val="0"/>
      <w:spacing w:line="360" w:lineRule="auto"/>
      <w:ind w:firstLine="480" w:firstLineChars="200"/>
    </w:pPr>
    <w:rPr>
      <w:color w:val="0000FF"/>
      <w:sz w:val="24"/>
      <w:lang w:val="zh-CN"/>
    </w:rPr>
  </w:style>
  <w:style w:type="paragraph" w:customStyle="1" w:styleId="118">
    <w:name w:val="样式 正文文字缩进 + 小四 首行缩进:  2 字符1"/>
    <w:basedOn w:val="13"/>
    <w:qFormat/>
    <w:uiPriority w:val="0"/>
    <w:pPr>
      <w:spacing w:after="156" w:afterLines="50" w:line="400" w:lineRule="exact"/>
      <w:ind w:left="0" w:leftChars="0" w:firstLine="200" w:firstLineChars="200"/>
    </w:pPr>
    <w:rPr>
      <w:rFonts w:eastAsia="华文楷体"/>
      <w:kern w:val="2"/>
      <w:sz w:val="28"/>
      <w:szCs w:val="24"/>
    </w:rPr>
  </w:style>
  <w:style w:type="paragraph" w:customStyle="1" w:styleId="119">
    <w:name w:val="表格文字"/>
    <w:basedOn w:val="1"/>
    <w:qFormat/>
    <w:uiPriority w:val="0"/>
    <w:pPr>
      <w:adjustRightInd w:val="0"/>
      <w:snapToGrid w:val="0"/>
      <w:spacing w:line="260" w:lineRule="exact"/>
      <w:jc w:val="center"/>
    </w:pPr>
    <w:rPr>
      <w:szCs w:val="20"/>
    </w:rPr>
  </w:style>
  <w:style w:type="paragraph" w:customStyle="1" w:styleId="120">
    <w:name w:val="表格正文"/>
    <w:basedOn w:val="1"/>
    <w:qFormat/>
    <w:uiPriority w:val="0"/>
    <w:pPr>
      <w:spacing w:line="360" w:lineRule="exact"/>
      <w:jc w:val="center"/>
    </w:pPr>
    <w:rPr>
      <w:rFonts w:ascii="Arial" w:hAnsi="Arial"/>
    </w:rPr>
  </w:style>
  <w:style w:type="paragraph" w:customStyle="1" w:styleId="121">
    <w:name w:val="样式3"/>
    <w:basedOn w:val="12"/>
    <w:qFormat/>
    <w:uiPriority w:val="0"/>
    <w:pPr>
      <w:spacing w:line="360" w:lineRule="auto"/>
      <w:ind w:firstLine="200" w:firstLineChars="200"/>
    </w:pPr>
    <w:rPr>
      <w:rFonts w:eastAsia="楷体_GB2312"/>
      <w:sz w:val="28"/>
      <w:szCs w:val="20"/>
    </w:rPr>
  </w:style>
  <w:style w:type="character" w:customStyle="1" w:styleId="122">
    <w:name w:val="1.1. Char"/>
    <w:link w:val="123"/>
    <w:qFormat/>
    <w:uiPriority w:val="0"/>
    <w:rPr>
      <w:rFonts w:ascii="Arial" w:hAnsi="Arial"/>
      <w:b/>
      <w:bCs/>
      <w:color w:val="0000FF"/>
      <w:kern w:val="2"/>
      <w:sz w:val="28"/>
      <w:szCs w:val="28"/>
    </w:rPr>
  </w:style>
  <w:style w:type="paragraph" w:customStyle="1" w:styleId="123">
    <w:name w:val="1.1."/>
    <w:basedOn w:val="3"/>
    <w:link w:val="122"/>
    <w:qFormat/>
    <w:uiPriority w:val="0"/>
    <w:pPr>
      <w:keepNext/>
      <w:keepLines/>
      <w:tabs>
        <w:tab w:val="clear" w:pos="5400"/>
      </w:tabs>
      <w:adjustRightInd w:val="0"/>
      <w:snapToGrid w:val="0"/>
      <w:spacing w:before="120" w:after="120"/>
    </w:pPr>
    <w:rPr>
      <w:rFonts w:ascii="Arial" w:hAnsi="Arial"/>
      <w:color w:val="0000FF"/>
      <w:kern w:val="2"/>
      <w:sz w:val="28"/>
      <w:szCs w:val="28"/>
    </w:rPr>
  </w:style>
  <w:style w:type="paragraph" w:customStyle="1" w:styleId="124">
    <w:name w:val="p0"/>
    <w:basedOn w:val="1"/>
    <w:link w:val="125"/>
    <w:qFormat/>
    <w:uiPriority w:val="0"/>
    <w:pPr>
      <w:widowControl/>
    </w:pPr>
    <w:rPr>
      <w:rFonts w:ascii="Plotter" w:hAnsi="Plotter" w:cs="宋体"/>
      <w:kern w:val="0"/>
      <w:szCs w:val="21"/>
    </w:rPr>
  </w:style>
  <w:style w:type="character" w:customStyle="1" w:styleId="125">
    <w:name w:val="p0 Char"/>
    <w:link w:val="124"/>
    <w:qFormat/>
    <w:uiPriority w:val="0"/>
    <w:rPr>
      <w:rFonts w:ascii="Plotter" w:hAnsi="Plotter" w:cs="宋体"/>
      <w:sz w:val="21"/>
      <w:szCs w:val="21"/>
    </w:rPr>
  </w:style>
  <w:style w:type="character" w:customStyle="1" w:styleId="126">
    <w:name w:val="表格文字样式 Char Char"/>
    <w:link w:val="127"/>
    <w:qFormat/>
    <w:uiPriority w:val="0"/>
    <w:rPr>
      <w:color w:val="0000FF"/>
      <w:sz w:val="21"/>
      <w:szCs w:val="21"/>
    </w:rPr>
  </w:style>
  <w:style w:type="paragraph" w:customStyle="1" w:styleId="127">
    <w:name w:val="表格文字样式"/>
    <w:basedOn w:val="1"/>
    <w:link w:val="126"/>
    <w:qFormat/>
    <w:uiPriority w:val="0"/>
    <w:pPr>
      <w:autoSpaceDE w:val="0"/>
      <w:autoSpaceDN w:val="0"/>
      <w:adjustRightInd w:val="0"/>
      <w:jc w:val="center"/>
    </w:pPr>
    <w:rPr>
      <w:color w:val="0000FF"/>
      <w:kern w:val="0"/>
      <w:szCs w:val="21"/>
    </w:rPr>
  </w:style>
  <w:style w:type="paragraph" w:customStyle="1" w:styleId="128">
    <w:name w:val="啊啊正文"/>
    <w:basedOn w:val="1"/>
    <w:link w:val="129"/>
    <w:qFormat/>
    <w:uiPriority w:val="0"/>
    <w:pPr>
      <w:autoSpaceDE w:val="0"/>
      <w:autoSpaceDN w:val="0"/>
      <w:adjustRightInd w:val="0"/>
      <w:spacing w:line="360" w:lineRule="auto"/>
      <w:ind w:firstLine="200" w:firstLineChars="200"/>
    </w:pPr>
    <w:rPr>
      <w:sz w:val="24"/>
      <w:szCs w:val="28"/>
      <w:lang w:val="zh-CN"/>
    </w:rPr>
  </w:style>
  <w:style w:type="character" w:customStyle="1" w:styleId="129">
    <w:name w:val="啊啊正文 Char"/>
    <w:link w:val="128"/>
    <w:qFormat/>
    <w:uiPriority w:val="0"/>
    <w:rPr>
      <w:kern w:val="2"/>
      <w:sz w:val="24"/>
      <w:szCs w:val="28"/>
      <w:lang w:val="zh-CN"/>
    </w:rPr>
  </w:style>
  <w:style w:type="paragraph" w:customStyle="1" w:styleId="130">
    <w:name w:val=" Char2"/>
    <w:basedOn w:val="1"/>
    <w:qFormat/>
    <w:uiPriority w:val="0"/>
    <w:pPr>
      <w:tabs>
        <w:tab w:val="left" w:pos="360"/>
      </w:tabs>
    </w:pPr>
    <w:rPr>
      <w:szCs w:val="20"/>
    </w:rPr>
  </w:style>
  <w:style w:type="paragraph" w:customStyle="1" w:styleId="131">
    <w:name w:val="1.1.1"/>
    <w:basedOn w:val="121"/>
    <w:link w:val="132"/>
    <w:qFormat/>
    <w:uiPriority w:val="0"/>
    <w:pPr>
      <w:spacing w:before="120" w:beforeLines="50" w:after="120" w:afterLines="50"/>
      <w:ind w:firstLine="0" w:firstLineChars="0"/>
      <w:outlineLvl w:val="2"/>
    </w:pPr>
    <w:rPr>
      <w:rFonts w:eastAsia="宋体"/>
      <w:b/>
      <w:color w:val="0000FF"/>
      <w:sz w:val="24"/>
      <w:szCs w:val="24"/>
    </w:rPr>
  </w:style>
  <w:style w:type="character" w:customStyle="1" w:styleId="132">
    <w:name w:val="1.1.1 Char"/>
    <w:link w:val="131"/>
    <w:qFormat/>
    <w:uiPriority w:val="0"/>
    <w:rPr>
      <w:b/>
      <w:color w:val="0000FF"/>
      <w:kern w:val="2"/>
      <w:sz w:val="24"/>
      <w:szCs w:val="24"/>
    </w:rPr>
  </w:style>
  <w:style w:type="paragraph" w:customStyle="1" w:styleId="133">
    <w:name w:val=" Char Char"/>
    <w:basedOn w:val="1"/>
    <w:qFormat/>
    <w:uiPriority w:val="0"/>
    <w:pPr>
      <w:spacing w:line="360" w:lineRule="auto"/>
      <w:ind w:firstLine="200" w:firstLineChars="200"/>
    </w:pPr>
    <w:rPr>
      <w:rFonts w:ascii="宋体" w:hAnsi="宋体" w:cs="宋体"/>
      <w:sz w:val="24"/>
    </w:rPr>
  </w:style>
  <w:style w:type="character" w:customStyle="1" w:styleId="134">
    <w:name w:val="题注 Char2"/>
    <w:qFormat/>
    <w:uiPriority w:val="0"/>
    <w:rPr>
      <w:rFonts w:ascii="Arial" w:hAnsi="Arial" w:eastAsia="宋体" w:cs="Arial"/>
      <w:kern w:val="2"/>
      <w:sz w:val="24"/>
      <w:lang w:val="en-US" w:eastAsia="zh-CN" w:bidi="ar-SA"/>
    </w:rPr>
  </w:style>
  <w:style w:type="character" w:customStyle="1" w:styleId="135">
    <w:name w:val="zx正文 Char"/>
    <w:link w:val="136"/>
    <w:qFormat/>
    <w:uiPriority w:val="0"/>
    <w:rPr>
      <w:sz w:val="24"/>
      <w:szCs w:val="28"/>
    </w:rPr>
  </w:style>
  <w:style w:type="paragraph" w:customStyle="1" w:styleId="136">
    <w:name w:val="zx正文"/>
    <w:basedOn w:val="1"/>
    <w:link w:val="135"/>
    <w:qFormat/>
    <w:uiPriority w:val="0"/>
    <w:pPr>
      <w:spacing w:line="360" w:lineRule="auto"/>
      <w:ind w:firstLine="200" w:firstLineChars="200"/>
      <w:jc w:val="left"/>
    </w:pPr>
    <w:rPr>
      <w:kern w:val="0"/>
      <w:sz w:val="24"/>
      <w:szCs w:val="28"/>
    </w:rPr>
  </w:style>
  <w:style w:type="paragraph" w:customStyle="1" w:styleId="137">
    <w:name w:val="0-正文"/>
    <w:basedOn w:val="1"/>
    <w:link w:val="138"/>
    <w:qFormat/>
    <w:uiPriority w:val="0"/>
    <w:pPr>
      <w:autoSpaceDE w:val="0"/>
      <w:autoSpaceDN w:val="0"/>
      <w:adjustRightInd w:val="0"/>
      <w:snapToGrid w:val="0"/>
      <w:spacing w:line="360" w:lineRule="auto"/>
      <w:ind w:firstLine="420" w:firstLineChars="200"/>
      <w:jc w:val="left"/>
    </w:pPr>
    <w:rPr>
      <w:kern w:val="0"/>
      <w:szCs w:val="21"/>
    </w:rPr>
  </w:style>
  <w:style w:type="character" w:customStyle="1" w:styleId="138">
    <w:name w:val="0-正文 Char"/>
    <w:link w:val="137"/>
    <w:qFormat/>
    <w:uiPriority w:val="0"/>
    <w:rPr>
      <w:sz w:val="21"/>
      <w:szCs w:val="21"/>
    </w:rPr>
  </w:style>
  <w:style w:type="paragraph" w:customStyle="1" w:styleId="139">
    <w:name w:val="0.5-正文"/>
    <w:basedOn w:val="137"/>
    <w:link w:val="140"/>
    <w:qFormat/>
    <w:uiPriority w:val="0"/>
    <w:pPr>
      <w:spacing w:before="120" w:beforeLines="50"/>
    </w:pPr>
    <w:rPr>
      <w:color w:val="0000FF"/>
    </w:rPr>
  </w:style>
  <w:style w:type="character" w:customStyle="1" w:styleId="140">
    <w:name w:val="0.5-正文 Char"/>
    <w:link w:val="139"/>
    <w:qFormat/>
    <w:uiPriority w:val="0"/>
    <w:rPr>
      <w:color w:val="0000FF"/>
      <w:sz w:val="21"/>
      <w:szCs w:val="21"/>
    </w:rPr>
  </w:style>
  <w:style w:type="paragraph" w:customStyle="1" w:styleId="141">
    <w:name w:val="1"/>
    <w:basedOn w:val="123"/>
    <w:link w:val="142"/>
    <w:qFormat/>
    <w:uiPriority w:val="0"/>
    <w:pPr>
      <w:spacing w:before="0" w:beforeLines="0" w:after="0" w:afterLines="0"/>
    </w:pPr>
    <w:rPr>
      <w:rFonts w:ascii="Times New Roman" w:hAnsi="Times New Roman"/>
    </w:rPr>
  </w:style>
  <w:style w:type="character" w:customStyle="1" w:styleId="142">
    <w:name w:val="1 Char"/>
    <w:link w:val="141"/>
    <w:qFormat/>
    <w:uiPriority w:val="0"/>
  </w:style>
  <w:style w:type="paragraph" w:customStyle="1" w:styleId="143">
    <w:name w:val="1.1"/>
    <w:basedOn w:val="1"/>
    <w:link w:val="144"/>
    <w:qFormat/>
    <w:uiPriority w:val="0"/>
    <w:pPr>
      <w:adjustRightInd w:val="0"/>
      <w:snapToGrid w:val="0"/>
      <w:spacing w:line="360" w:lineRule="auto"/>
      <w:jc w:val="left"/>
    </w:pPr>
    <w:rPr>
      <w:b/>
      <w:bCs/>
      <w:color w:val="0000FF"/>
      <w:szCs w:val="21"/>
    </w:rPr>
  </w:style>
  <w:style w:type="character" w:customStyle="1" w:styleId="144">
    <w:name w:val="1.1 Char"/>
    <w:link w:val="143"/>
    <w:qFormat/>
    <w:uiPriority w:val="0"/>
    <w:rPr>
      <w:rFonts w:ascii="Calibri" w:hAnsi="Calibri"/>
      <w:b/>
      <w:bCs/>
      <w:color w:val="0000FF"/>
      <w:kern w:val="2"/>
      <w:sz w:val="21"/>
      <w:szCs w:val="21"/>
    </w:rPr>
  </w:style>
  <w:style w:type="character" w:customStyle="1" w:styleId="145">
    <w:name w:val="10、表格内容 Char"/>
    <w:link w:val="146"/>
    <w:qFormat/>
    <w:uiPriority w:val="0"/>
    <w:rPr>
      <w:color w:val="000000"/>
      <w:kern w:val="2"/>
      <w:sz w:val="21"/>
      <w:szCs w:val="24"/>
    </w:rPr>
  </w:style>
  <w:style w:type="paragraph" w:customStyle="1" w:styleId="146">
    <w:name w:val="10、表格内容"/>
    <w:basedOn w:val="12"/>
    <w:link w:val="145"/>
    <w:qFormat/>
    <w:uiPriority w:val="0"/>
    <w:pPr>
      <w:widowControl w:val="0"/>
      <w:adjustRightInd w:val="0"/>
      <w:spacing w:before="0" w:after="0" w:line="280" w:lineRule="exact"/>
      <w:ind w:right="0"/>
      <w:jc w:val="center"/>
    </w:pPr>
    <w:rPr>
      <w:rFonts w:ascii="Times New Roman" w:hAnsi="Times New Roman"/>
      <w:color w:val="000000"/>
      <w:kern w:val="2"/>
      <w:sz w:val="21"/>
      <w:szCs w:val="24"/>
    </w:rPr>
  </w:style>
  <w:style w:type="character" w:customStyle="1" w:styleId="147">
    <w:name w:val="表格内容 Char"/>
    <w:link w:val="148"/>
    <w:qFormat/>
    <w:uiPriority w:val="0"/>
    <w:rPr>
      <w:kern w:val="2"/>
      <w:sz w:val="21"/>
      <w:szCs w:val="22"/>
    </w:rPr>
  </w:style>
  <w:style w:type="paragraph" w:customStyle="1" w:styleId="148">
    <w:name w:val="表格内容"/>
    <w:basedOn w:val="23"/>
    <w:next w:val="1"/>
    <w:link w:val="147"/>
    <w:qFormat/>
    <w:uiPriority w:val="0"/>
    <w:pPr>
      <w:jc w:val="center"/>
    </w:pPr>
    <w:rPr>
      <w:rFonts w:ascii="Times New Roman" w:hAnsi="Times New Roman"/>
    </w:rPr>
  </w:style>
  <w:style w:type="paragraph" w:customStyle="1" w:styleId="149">
    <w:name w:val="表正文"/>
    <w:basedOn w:val="1"/>
    <w:qFormat/>
    <w:uiPriority w:val="0"/>
    <w:pPr>
      <w:spacing w:line="360" w:lineRule="auto"/>
      <w:ind w:firstLine="200" w:firstLineChars="200"/>
    </w:pPr>
    <w:rPr>
      <w:rFonts w:ascii="Times New Roman" w:hAnsi="Times New Roman"/>
      <w:sz w:val="24"/>
      <w:szCs w:val="24"/>
    </w:rPr>
  </w:style>
  <w:style w:type="character" w:customStyle="1" w:styleId="150">
    <w:name w:val="环评表格内容 Char"/>
    <w:link w:val="151"/>
    <w:qFormat/>
    <w:uiPriority w:val="0"/>
    <w:rPr>
      <w:rFonts w:ascii="宋体" w:hAnsi="宋体"/>
      <w:color w:val="000000"/>
      <w:kern w:val="21"/>
      <w:sz w:val="21"/>
      <w:szCs w:val="21"/>
    </w:rPr>
  </w:style>
  <w:style w:type="paragraph" w:customStyle="1" w:styleId="151">
    <w:name w:val="环评表格内容"/>
    <w:basedOn w:val="1"/>
    <w:link w:val="150"/>
    <w:qFormat/>
    <w:uiPriority w:val="0"/>
    <w:pPr>
      <w:widowControl/>
      <w:adjustRightInd w:val="0"/>
      <w:snapToGrid w:val="0"/>
      <w:jc w:val="center"/>
    </w:pPr>
    <w:rPr>
      <w:rFonts w:ascii="宋体" w:hAnsi="宋体"/>
      <w:color w:val="000000"/>
      <w:kern w:val="21"/>
      <w:szCs w:val="21"/>
    </w:rPr>
  </w:style>
  <w:style w:type="character" w:customStyle="1" w:styleId="152">
    <w:name w:val="111正文的格式 Char"/>
    <w:link w:val="153"/>
    <w:qFormat/>
    <w:uiPriority w:val="0"/>
    <w:rPr>
      <w:color w:val="0000FF"/>
      <w:kern w:val="2"/>
      <w:sz w:val="24"/>
      <w:szCs w:val="24"/>
    </w:rPr>
  </w:style>
  <w:style w:type="paragraph" w:customStyle="1" w:styleId="153">
    <w:name w:val="111正文的格式"/>
    <w:basedOn w:val="1"/>
    <w:link w:val="152"/>
    <w:qFormat/>
    <w:uiPriority w:val="0"/>
    <w:pPr>
      <w:adjustRightInd w:val="0"/>
      <w:snapToGrid w:val="0"/>
      <w:spacing w:line="360" w:lineRule="auto"/>
      <w:ind w:firstLine="480" w:firstLineChars="200"/>
    </w:pPr>
    <w:rPr>
      <w:rFonts w:ascii="Times New Roman" w:hAnsi="Times New Roman"/>
      <w:color w:val="0000FF"/>
      <w:sz w:val="24"/>
      <w:szCs w:val="24"/>
    </w:rPr>
  </w:style>
  <w:style w:type="character" w:customStyle="1" w:styleId="154">
    <w:name w:val="333标题3 Char"/>
    <w:link w:val="155"/>
    <w:qFormat/>
    <w:uiPriority w:val="0"/>
    <w:rPr>
      <w:rFonts w:eastAsia="黑体" w:cs="宋体"/>
      <w:bCs/>
      <w:spacing w:val="-10"/>
      <w:kern w:val="2"/>
      <w:sz w:val="28"/>
      <w:szCs w:val="21"/>
    </w:rPr>
  </w:style>
  <w:style w:type="paragraph" w:customStyle="1" w:styleId="155">
    <w:name w:val="333标题3"/>
    <w:basedOn w:val="1"/>
    <w:link w:val="154"/>
    <w:qFormat/>
    <w:uiPriority w:val="0"/>
    <w:pPr>
      <w:adjustRightInd w:val="0"/>
      <w:snapToGrid w:val="0"/>
      <w:spacing w:line="360" w:lineRule="auto"/>
      <w:outlineLvl w:val="2"/>
    </w:pPr>
    <w:rPr>
      <w:rFonts w:ascii="Times New Roman" w:hAnsi="Times New Roman" w:eastAsia="黑体" w:cs="宋体"/>
      <w:bCs/>
      <w:spacing w:val="-10"/>
      <w:sz w:val="28"/>
      <w:szCs w:val="21"/>
    </w:rPr>
  </w:style>
  <w:style w:type="character" w:customStyle="1" w:styleId="156">
    <w:name w:val="0正文 Char"/>
    <w:link w:val="157"/>
    <w:qFormat/>
    <w:uiPriority w:val="0"/>
    <w:rPr>
      <w:sz w:val="24"/>
      <w:szCs w:val="22"/>
    </w:rPr>
  </w:style>
  <w:style w:type="paragraph" w:customStyle="1" w:styleId="157">
    <w:name w:val="0正文"/>
    <w:basedOn w:val="13"/>
    <w:link w:val="156"/>
    <w:unhideWhenUsed/>
    <w:qFormat/>
    <w:uiPriority w:val="0"/>
    <w:pPr>
      <w:widowControl w:val="0"/>
      <w:spacing w:line="360" w:lineRule="auto"/>
      <w:ind w:firstLine="200" w:firstLineChars="200"/>
      <w:jc w:val="both"/>
    </w:pPr>
    <w:rPr>
      <w:sz w:val="24"/>
      <w:szCs w:val="22"/>
      <w:lang w:val="en-US" w:eastAsia="zh-CN" w:bidi="ar-SA"/>
    </w:rPr>
  </w:style>
  <w:style w:type="character" w:customStyle="1" w:styleId="158">
    <w:name w:val="22标题2 Char"/>
    <w:link w:val="159"/>
    <w:qFormat/>
    <w:uiPriority w:val="0"/>
    <w:rPr>
      <w:rFonts w:eastAsia="黑体"/>
      <w:color w:val="0000FF"/>
      <w:kern w:val="2"/>
      <w:sz w:val="30"/>
      <w:szCs w:val="30"/>
    </w:rPr>
  </w:style>
  <w:style w:type="paragraph" w:customStyle="1" w:styleId="159">
    <w:name w:val="22标题2"/>
    <w:basedOn w:val="160"/>
    <w:link w:val="158"/>
    <w:qFormat/>
    <w:uiPriority w:val="0"/>
    <w:pPr>
      <w:adjustRightInd w:val="0"/>
      <w:snapToGrid w:val="0"/>
      <w:spacing w:line="360" w:lineRule="auto"/>
      <w:outlineLvl w:val="1"/>
    </w:pPr>
    <w:rPr>
      <w:rFonts w:ascii="Times New Roman" w:hAnsi="Times New Roman" w:eastAsia="黑体"/>
      <w:color w:val="0000FF"/>
      <w:sz w:val="30"/>
      <w:szCs w:val="30"/>
    </w:rPr>
  </w:style>
  <w:style w:type="paragraph" w:customStyle="1" w:styleId="160">
    <w:name w:val="标题2"/>
    <w:basedOn w:val="15"/>
    <w:qFormat/>
    <w:uiPriority w:val="0"/>
    <w:pPr>
      <w:spacing w:line="360" w:lineRule="auto"/>
      <w:outlineLvl w:val="1"/>
    </w:pPr>
    <w:rPr>
      <w:rFonts w:ascii="Times New Roman" w:hAnsi="Times New Roman" w:eastAsia="黑体" w:cs="Times New Roman"/>
      <w:sz w:val="30"/>
      <w:szCs w:val="30"/>
    </w:rPr>
  </w:style>
  <w:style w:type="character" w:customStyle="1" w:styleId="161">
    <w:name w:val="11正文 Char"/>
    <w:link w:val="162"/>
    <w:qFormat/>
    <w:uiPriority w:val="0"/>
    <w:rPr>
      <w:sz w:val="24"/>
    </w:rPr>
  </w:style>
  <w:style w:type="paragraph" w:customStyle="1" w:styleId="162">
    <w:name w:val="11正文"/>
    <w:basedOn w:val="163"/>
    <w:link w:val="161"/>
    <w:qFormat/>
    <w:uiPriority w:val="0"/>
    <w:pPr>
      <w:spacing w:line="360" w:lineRule="auto"/>
      <w:ind w:firstLine="480" w:firstLineChars="200"/>
    </w:pPr>
    <w:rPr>
      <w:rFonts w:ascii="Times New Roman" w:hAnsi="Times New Roman"/>
      <w:kern w:val="0"/>
      <w:sz w:val="24"/>
      <w:szCs w:val="20"/>
    </w:rPr>
  </w:style>
  <w:style w:type="paragraph" w:customStyle="1" w:styleId="163">
    <w:name w:val="正文111"/>
    <w:basedOn w:val="164"/>
    <w:qFormat/>
    <w:uiPriority w:val="0"/>
    <w:pPr>
      <w:ind w:firstLine="480"/>
    </w:pPr>
  </w:style>
  <w:style w:type="paragraph" w:customStyle="1" w:styleId="164">
    <w:name w:val="正文的格式52"/>
    <w:basedOn w:val="165"/>
    <w:link w:val="168"/>
    <w:qFormat/>
    <w:uiPriority w:val="0"/>
    <w:pPr>
      <w:spacing w:line="360" w:lineRule="auto"/>
      <w:ind w:firstLine="200" w:firstLineChars="200"/>
    </w:pPr>
    <w:rPr>
      <w:rFonts w:ascii="Times New Roman" w:hAnsi="Times New Roman"/>
      <w:kern w:val="0"/>
      <w:sz w:val="24"/>
      <w:szCs w:val="20"/>
    </w:rPr>
  </w:style>
  <w:style w:type="paragraph" w:customStyle="1" w:styleId="165">
    <w:name w:val="正文格式11"/>
    <w:basedOn w:val="166"/>
    <w:qFormat/>
    <w:uiPriority w:val="0"/>
    <w:pPr>
      <w:spacing w:before="0" w:beforeLines="0" w:line="560" w:lineRule="exact"/>
      <w:ind w:firstLine="480"/>
    </w:pPr>
    <w:rPr>
      <w:szCs w:val="20"/>
    </w:rPr>
  </w:style>
  <w:style w:type="paragraph" w:customStyle="1" w:styleId="166">
    <w:name w:val="正文格式"/>
    <w:basedOn w:val="167"/>
    <w:qFormat/>
    <w:uiPriority w:val="0"/>
    <w:pPr>
      <w:adjustRightInd w:val="0"/>
      <w:snapToGrid w:val="0"/>
      <w:spacing w:line="360" w:lineRule="auto"/>
      <w:ind w:firstLine="881" w:firstLineChars="200"/>
    </w:pPr>
    <w:rPr>
      <w:sz w:val="24"/>
      <w:szCs w:val="20"/>
    </w:rPr>
  </w:style>
  <w:style w:type="paragraph" w:customStyle="1" w:styleId="167">
    <w:name w:val="lin正文"/>
    <w:basedOn w:val="12"/>
    <w:qFormat/>
    <w:uiPriority w:val="0"/>
    <w:pPr>
      <w:spacing w:before="120" w:beforeLines="0" w:after="0" w:afterLines="0" w:line="560" w:lineRule="exact"/>
      <w:ind w:firstLine="200" w:firstLineChars="200"/>
    </w:pPr>
    <w:rPr>
      <w:rFonts w:ascii="Calibri" w:hAnsi="Calibri" w:eastAsia="宋体" w:cs="Times New Roman"/>
      <w:color w:val="000000"/>
      <w:sz w:val="24"/>
    </w:rPr>
  </w:style>
  <w:style w:type="character" w:customStyle="1" w:styleId="168">
    <w:name w:val="正文的格式52 Char"/>
    <w:link w:val="164"/>
    <w:qFormat/>
    <w:uiPriority w:val="0"/>
    <w:rPr>
      <w:sz w:val="24"/>
    </w:rPr>
  </w:style>
  <w:style w:type="character" w:customStyle="1" w:styleId="169">
    <w:name w:val="123正文 Char Char"/>
    <w:qFormat/>
    <w:uiPriority w:val="0"/>
    <w:rPr>
      <w:rFonts w:ascii="宋体"/>
      <w:spacing w:val="2"/>
      <w:kern w:val="2"/>
      <w:sz w:val="24"/>
      <w:szCs w:val="24"/>
    </w:rPr>
  </w:style>
  <w:style w:type="paragraph" w:customStyle="1" w:styleId="170">
    <w:name w:val="【表格文字】"/>
    <w:basedOn w:val="1"/>
    <w:next w:val="1"/>
    <w:qFormat/>
    <w:uiPriority w:val="0"/>
    <w:pPr>
      <w:adjustRightInd w:val="0"/>
      <w:snapToGrid w:val="0"/>
      <w:jc w:val="center"/>
    </w:pPr>
    <w:rPr>
      <w:rFonts w:ascii="Times New Roman" w:hAnsi="Times New Roman"/>
      <w:szCs w:val="24"/>
    </w:rPr>
  </w:style>
  <w:style w:type="character" w:customStyle="1" w:styleId="171">
    <w:name w:val="111正文格式111 Char"/>
    <w:link w:val="172"/>
    <w:qFormat/>
    <w:uiPriority w:val="0"/>
    <w:rPr>
      <w:bCs/>
      <w:kern w:val="2"/>
      <w:sz w:val="24"/>
      <w:szCs w:val="24"/>
    </w:rPr>
  </w:style>
  <w:style w:type="paragraph" w:customStyle="1" w:styleId="172">
    <w:name w:val="111正文格式111"/>
    <w:basedOn w:val="1"/>
    <w:link w:val="171"/>
    <w:qFormat/>
    <w:uiPriority w:val="0"/>
    <w:pPr>
      <w:adjustRightInd w:val="0"/>
      <w:snapToGrid w:val="0"/>
      <w:spacing w:line="360" w:lineRule="auto"/>
      <w:ind w:firstLine="200" w:firstLineChars="200"/>
    </w:pPr>
    <w:rPr>
      <w:rFonts w:ascii="Times New Roman" w:hAnsi="Times New Roman"/>
      <w:bCs/>
      <w:sz w:val="24"/>
      <w:szCs w:val="24"/>
    </w:rPr>
  </w:style>
  <w:style w:type="paragraph" w:customStyle="1" w:styleId="173">
    <w:name w:val="111表格"/>
    <w:basedOn w:val="174"/>
    <w:link w:val="176"/>
    <w:qFormat/>
    <w:uiPriority w:val="0"/>
    <w:pPr>
      <w:autoSpaceDE w:val="0"/>
      <w:autoSpaceDN w:val="0"/>
      <w:adjustRightInd w:val="0"/>
      <w:snapToGrid w:val="0"/>
      <w:spacing w:line="360" w:lineRule="auto"/>
      <w:ind w:firstLine="200" w:firstLineChars="200"/>
    </w:pPr>
    <w:rPr>
      <w:rFonts w:ascii="Times New Roman" w:hAnsi="Times New Roman" w:cs="宋体"/>
      <w:kern w:val="0"/>
      <w:szCs w:val="21"/>
    </w:rPr>
  </w:style>
  <w:style w:type="paragraph" w:customStyle="1" w:styleId="174">
    <w:name w:val="表格的格式"/>
    <w:basedOn w:val="121"/>
    <w:link w:val="175"/>
    <w:qFormat/>
    <w:uiPriority w:val="0"/>
    <w:pPr>
      <w:jc w:val="center"/>
    </w:pPr>
    <w:rPr>
      <w:rFonts w:ascii="Times New Roman" w:hAnsi="Times New Roman"/>
      <w:kern w:val="0"/>
      <w:sz w:val="20"/>
      <w:szCs w:val="21"/>
    </w:rPr>
  </w:style>
  <w:style w:type="character" w:customStyle="1" w:styleId="175">
    <w:name w:val="表格的格式 Char"/>
    <w:link w:val="174"/>
    <w:qFormat/>
    <w:uiPriority w:val="0"/>
    <w:rPr>
      <w:szCs w:val="21"/>
    </w:rPr>
  </w:style>
  <w:style w:type="character" w:customStyle="1" w:styleId="176">
    <w:name w:val="111表格 Char"/>
    <w:link w:val="173"/>
    <w:qFormat/>
    <w:uiPriority w:val="0"/>
    <w:rPr>
      <w:rFonts w:cs="宋体"/>
      <w:sz w:val="21"/>
      <w:szCs w:val="21"/>
    </w:rPr>
  </w:style>
  <w:style w:type="character" w:customStyle="1" w:styleId="177">
    <w:name w:val="正文（） Char"/>
    <w:link w:val="178"/>
    <w:qFormat/>
    <w:uiPriority w:val="0"/>
    <w:rPr>
      <w:rFonts w:ascii="宋体" w:hAnsi="宋体" w:cs="宋体"/>
      <w:color w:val="5B9BD5"/>
      <w:kern w:val="13"/>
      <w:sz w:val="24"/>
      <w:szCs w:val="24"/>
    </w:rPr>
  </w:style>
  <w:style w:type="paragraph" w:customStyle="1" w:styleId="178">
    <w:name w:val="正文（）"/>
    <w:basedOn w:val="1"/>
    <w:link w:val="177"/>
    <w:qFormat/>
    <w:uiPriority w:val="0"/>
    <w:pPr>
      <w:adjustRightInd w:val="0"/>
      <w:snapToGrid w:val="0"/>
      <w:spacing w:line="360" w:lineRule="auto"/>
      <w:ind w:firstLine="200" w:firstLineChars="200"/>
      <w:jc w:val="left"/>
    </w:pPr>
    <w:rPr>
      <w:rFonts w:ascii="宋体" w:hAnsi="宋体" w:cs="宋体"/>
      <w:color w:val="5B9BD5"/>
      <w:kern w:val="13"/>
      <w:sz w:val="24"/>
      <w:szCs w:val="24"/>
    </w:rPr>
  </w:style>
  <w:style w:type="paragraph" w:customStyle="1" w:styleId="179">
    <w:name w:val="Char Char Char Char Char2 Char Char Char Char"/>
    <w:basedOn w:val="1"/>
    <w:qFormat/>
    <w:uiPriority w:val="0"/>
    <w:pPr>
      <w:spacing w:line="360" w:lineRule="auto"/>
      <w:ind w:firstLine="200" w:firstLineChars="200"/>
    </w:pPr>
    <w:rPr>
      <w:rFonts w:ascii="宋体" w:hAnsi="宋体" w:cs="宋体"/>
      <w:sz w:val="24"/>
      <w:szCs w:val="24"/>
    </w:rPr>
  </w:style>
  <w:style w:type="paragraph" w:customStyle="1" w:styleId="180">
    <w:name w:val="111表头"/>
    <w:basedOn w:val="149"/>
    <w:link w:val="181"/>
    <w:qFormat/>
    <w:uiPriority w:val="0"/>
    <w:pPr>
      <w:widowControl/>
      <w:adjustRightInd w:val="0"/>
      <w:snapToGrid w:val="0"/>
      <w:spacing w:line="240" w:lineRule="auto"/>
      <w:ind w:firstLine="0" w:firstLineChars="0"/>
      <w:jc w:val="center"/>
    </w:pPr>
    <w:rPr>
      <w:rFonts w:eastAsia="黑体"/>
      <w:color w:val="0000FF"/>
    </w:rPr>
  </w:style>
  <w:style w:type="character" w:customStyle="1" w:styleId="181">
    <w:name w:val="111表头 Char"/>
    <w:link w:val="180"/>
    <w:qFormat/>
    <w:uiPriority w:val="0"/>
    <w:rPr>
      <w:rFonts w:eastAsia="黑体"/>
      <w:color w:val="0000FF"/>
      <w:kern w:val="2"/>
      <w:sz w:val="24"/>
      <w:szCs w:val="24"/>
    </w:rPr>
  </w:style>
  <w:style w:type="character" w:customStyle="1" w:styleId="182">
    <w:name w:val="111表格的格式 Char"/>
    <w:link w:val="183"/>
    <w:qFormat/>
    <w:uiPriority w:val="0"/>
    <w:rPr>
      <w:kern w:val="2"/>
      <w:sz w:val="21"/>
      <w:szCs w:val="24"/>
    </w:rPr>
  </w:style>
  <w:style w:type="paragraph" w:customStyle="1" w:styleId="183">
    <w:name w:val="111表格的格式"/>
    <w:basedOn w:val="184"/>
    <w:link w:val="182"/>
    <w:qFormat/>
    <w:uiPriority w:val="0"/>
    <w:pPr>
      <w:adjustRightInd w:val="0"/>
      <w:snapToGrid w:val="0"/>
      <w:jc w:val="center"/>
    </w:pPr>
    <w:rPr>
      <w:rFonts w:ascii="Times New Roman" w:hAnsi="Times New Roman"/>
      <w:szCs w:val="24"/>
    </w:rPr>
  </w:style>
  <w:style w:type="paragraph" w:customStyle="1" w:styleId="184">
    <w:name w:val="规范表格文"/>
    <w:basedOn w:val="12"/>
    <w:qFormat/>
    <w:uiPriority w:val="0"/>
    <w:pPr>
      <w:widowControl w:val="0"/>
      <w:adjustRightInd w:val="0"/>
      <w:spacing w:before="0" w:after="0" w:line="240" w:lineRule="auto"/>
      <w:ind w:right="0"/>
      <w:jc w:val="center"/>
    </w:pPr>
    <w:rPr>
      <w:kern w:val="2"/>
      <w:sz w:val="21"/>
      <w:szCs w:val="24"/>
    </w:rPr>
  </w:style>
  <w:style w:type="paragraph" w:customStyle="1" w:styleId="185">
    <w:name w:val="z正文"/>
    <w:basedOn w:val="13"/>
    <w:qFormat/>
    <w:uiPriority w:val="0"/>
    <w:pPr>
      <w:autoSpaceDE w:val="0"/>
      <w:autoSpaceDN w:val="0"/>
      <w:adjustRightInd w:val="0"/>
      <w:snapToGrid w:val="0"/>
      <w:spacing w:after="0" w:line="360" w:lineRule="auto"/>
      <w:ind w:left="0" w:leftChars="0" w:firstLine="200" w:firstLineChars="200"/>
      <w:textAlignment w:val="baseline"/>
    </w:pPr>
    <w:rPr>
      <w:rFonts w:ascii="Times New Roman" w:hAnsi="Times New Roman"/>
    </w:rPr>
  </w:style>
  <w:style w:type="paragraph" w:customStyle="1" w:styleId="186">
    <w:name w:val="11111表土"/>
    <w:basedOn w:val="1"/>
    <w:link w:val="187"/>
    <w:qFormat/>
    <w:uiPriority w:val="0"/>
    <w:pPr>
      <w:widowControl/>
      <w:adjustRightInd w:val="0"/>
      <w:snapToGrid w:val="0"/>
      <w:jc w:val="center"/>
    </w:pPr>
    <w:rPr>
      <w:rFonts w:ascii="Times New Roman" w:hAnsi="Times New Roman" w:eastAsia="黑体"/>
      <w:kern w:val="0"/>
      <w:sz w:val="24"/>
      <w:szCs w:val="24"/>
    </w:rPr>
  </w:style>
  <w:style w:type="character" w:customStyle="1" w:styleId="187">
    <w:name w:val="11111表土 Char"/>
    <w:link w:val="186"/>
    <w:qFormat/>
    <w:uiPriority w:val="0"/>
    <w:rPr>
      <w:rFonts w:eastAsia="黑体"/>
      <w:sz w:val="24"/>
      <w:szCs w:val="24"/>
    </w:rPr>
  </w:style>
  <w:style w:type="paragraph" w:customStyle="1" w:styleId="188">
    <w:name w:val="样式4"/>
    <w:basedOn w:val="1"/>
    <w:qFormat/>
    <w:uiPriority w:val="0"/>
    <w:pPr>
      <w:autoSpaceDE w:val="0"/>
      <w:autoSpaceDN w:val="0"/>
      <w:adjustRightInd w:val="0"/>
      <w:snapToGrid w:val="0"/>
      <w:jc w:val="center"/>
    </w:pPr>
    <w:rPr>
      <w:rFonts w:ascii="Times New Roman" w:hAnsi="Times New Roman" w:eastAsia="黑体"/>
      <w:kern w:val="0"/>
      <w:sz w:val="24"/>
      <w:szCs w:val="20"/>
    </w:rPr>
  </w:style>
  <w:style w:type="character" w:customStyle="1" w:styleId="189">
    <w:name w:val="111正文 Char"/>
    <w:link w:val="190"/>
    <w:qFormat/>
    <w:uiPriority w:val="0"/>
    <w:rPr>
      <w:color w:val="C00000"/>
      <w:sz w:val="24"/>
      <w:szCs w:val="32"/>
    </w:rPr>
  </w:style>
  <w:style w:type="paragraph" w:customStyle="1" w:styleId="190">
    <w:name w:val="111正文"/>
    <w:basedOn w:val="1"/>
    <w:link w:val="189"/>
    <w:qFormat/>
    <w:uiPriority w:val="0"/>
    <w:pPr>
      <w:widowControl/>
      <w:tabs>
        <w:tab w:val="left" w:pos="7276"/>
      </w:tabs>
      <w:adjustRightInd w:val="0"/>
      <w:snapToGrid w:val="0"/>
      <w:spacing w:line="360" w:lineRule="auto"/>
      <w:ind w:firstLine="480" w:firstLineChars="200"/>
      <w:jc w:val="left"/>
    </w:pPr>
    <w:rPr>
      <w:rFonts w:ascii="Times New Roman" w:hAnsi="Times New Roman"/>
      <w:color w:val="C00000"/>
      <w:kern w:val="0"/>
      <w:sz w:val="24"/>
      <w:szCs w:val="32"/>
    </w:rPr>
  </w:style>
  <w:style w:type="paragraph" w:customStyle="1" w:styleId="191">
    <w:name w:val="11正文格式"/>
    <w:basedOn w:val="192"/>
    <w:link w:val="193"/>
    <w:qFormat/>
    <w:uiPriority w:val="0"/>
    <w:pPr>
      <w:adjustRightInd w:val="0"/>
      <w:snapToGrid w:val="0"/>
      <w:spacing w:line="360" w:lineRule="auto"/>
      <w:ind w:firstLine="200" w:firstLineChars="200"/>
    </w:pPr>
    <w:rPr>
      <w:rFonts w:ascii="Times New Roman" w:hAnsi="Times New Roman"/>
      <w:color w:val="C00000"/>
      <w:kern w:val="0"/>
      <w:sz w:val="24"/>
      <w:szCs w:val="24"/>
    </w:rPr>
  </w:style>
  <w:style w:type="paragraph" w:customStyle="1" w:styleId="192">
    <w:name w:val="正文111111"/>
    <w:basedOn w:val="1"/>
    <w:qFormat/>
    <w:uiPriority w:val="0"/>
    <w:pPr>
      <w:spacing w:line="360" w:lineRule="auto"/>
      <w:ind w:firstLine="480" w:firstLineChars="200"/>
    </w:pPr>
    <w:rPr>
      <w:rFonts w:ascii="Times New Roman" w:hAnsi="Times New Roman"/>
      <w:kern w:val="0"/>
      <w:sz w:val="24"/>
      <w:szCs w:val="24"/>
    </w:rPr>
  </w:style>
  <w:style w:type="character" w:customStyle="1" w:styleId="193">
    <w:name w:val="11正文格式 Char"/>
    <w:link w:val="191"/>
    <w:qFormat/>
    <w:uiPriority w:val="0"/>
    <w:rPr>
      <w:color w:val="C00000"/>
      <w:sz w:val="24"/>
      <w:szCs w:val="24"/>
    </w:rPr>
  </w:style>
  <w:style w:type="character" w:customStyle="1" w:styleId="194">
    <w:name w:val="表格标题（） Char"/>
    <w:link w:val="195"/>
    <w:qFormat/>
    <w:uiPriority w:val="0"/>
    <w:rPr>
      <w:rFonts w:eastAsia="黑体"/>
      <w:color w:val="00B0F0"/>
      <w:kern w:val="2"/>
      <w:sz w:val="24"/>
      <w:szCs w:val="24"/>
      <w:lang w:val="zh-CN" w:bidi="he-IL"/>
    </w:rPr>
  </w:style>
  <w:style w:type="paragraph" w:customStyle="1" w:styleId="195">
    <w:name w:val="表格标题（）"/>
    <w:basedOn w:val="1"/>
    <w:link w:val="194"/>
    <w:qFormat/>
    <w:uiPriority w:val="0"/>
    <w:pPr>
      <w:widowControl/>
      <w:jc w:val="center"/>
    </w:pPr>
    <w:rPr>
      <w:rFonts w:ascii="Times New Roman" w:hAnsi="Times New Roman" w:eastAsia="黑体"/>
      <w:color w:val="00B0F0"/>
      <w:sz w:val="24"/>
      <w:szCs w:val="24"/>
      <w:lang w:val="zh-CN" w:bidi="he-IL"/>
    </w:rPr>
  </w:style>
  <w:style w:type="paragraph" w:customStyle="1" w:styleId="19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97">
    <w:name w:val="标题111"/>
    <w:basedOn w:val="19"/>
    <w:link w:val="198"/>
    <w:qFormat/>
    <w:uiPriority w:val="0"/>
    <w:pPr>
      <w:adjustRightInd w:val="0"/>
      <w:snapToGrid w:val="0"/>
      <w:spacing w:before="0" w:beforeAutospacing="0" w:after="0" w:afterAutospacing="0" w:line="360" w:lineRule="auto"/>
      <w:jc w:val="center"/>
      <w:outlineLvl w:val="0"/>
    </w:pPr>
    <w:rPr>
      <w:rFonts w:ascii="Times New Roman" w:hAnsi="Times New Roman" w:eastAsia="黑体"/>
      <w:snapToGrid w:val="0"/>
      <w:sz w:val="32"/>
      <w:szCs w:val="30"/>
    </w:rPr>
  </w:style>
  <w:style w:type="character" w:customStyle="1" w:styleId="198">
    <w:name w:val="标题111 Char"/>
    <w:link w:val="197"/>
    <w:qFormat/>
    <w:uiPriority w:val="0"/>
    <w:rPr>
      <w:rFonts w:eastAsia="黑体"/>
      <w:snapToGrid/>
      <w:sz w:val="32"/>
      <w:szCs w:val="30"/>
    </w:rPr>
  </w:style>
  <w:style w:type="paragraph" w:customStyle="1" w:styleId="199">
    <w:name w:val=" Char Char Char2 Char Char Char Char Char Char Char Char Char Char"/>
    <w:basedOn w:val="1"/>
    <w:qFormat/>
    <w:uiPriority w:val="0"/>
    <w:pPr>
      <w:spacing w:line="360" w:lineRule="auto"/>
      <w:ind w:firstLine="200" w:firstLineChars="200"/>
    </w:pPr>
    <w:rPr>
      <w:rFonts w:ascii="Times New Roman" w:hAnsi="Times New Roman"/>
      <w:szCs w:val="24"/>
    </w:rPr>
  </w:style>
  <w:style w:type="paragraph" w:customStyle="1" w:styleId="200">
    <w:name w:val="6表(图)头(壹澜)"/>
    <w:next w:val="1"/>
    <w:qFormat/>
    <w:uiPriority w:val="0"/>
    <w:pPr>
      <w:widowControl w:val="0"/>
      <w:spacing w:before="120" w:after="120"/>
      <w:jc w:val="center"/>
    </w:pPr>
    <w:rPr>
      <w:rFonts w:ascii="Times New Roman" w:hAnsi="Times New Roman" w:eastAsia="宋体" w:cs="Times New Roman"/>
      <w:b/>
      <w:sz w:val="24"/>
      <w:szCs w:val="28"/>
      <w:lang w:val="en-US" w:eastAsia="zh-CN" w:bidi="ar-SA"/>
    </w:rPr>
  </w:style>
  <w:style w:type="paragraph" w:customStyle="1" w:styleId="201">
    <w:name w:val="7表格(壹澜)"/>
    <w:qFormat/>
    <w:uiPriority w:val="0"/>
    <w:pPr>
      <w:widowControl w:val="0"/>
      <w:jc w:val="center"/>
    </w:pPr>
    <w:rPr>
      <w:rFonts w:ascii="Times New Roman" w:hAnsi="Times New Roman" w:eastAsia="楷体_GB2312" w:cs="Times New Roman"/>
      <w:sz w:val="21"/>
      <w:szCs w:val="21"/>
      <w:lang w:val="en-US" w:eastAsia="zh-CN" w:bidi="ar-SA"/>
    </w:rPr>
  </w:style>
  <w:style w:type="paragraph" w:customStyle="1" w:styleId="202">
    <w:name w:val="表格内容（）"/>
    <w:basedOn w:val="1"/>
    <w:qFormat/>
    <w:uiPriority w:val="0"/>
    <w:pPr>
      <w:adjustRightInd w:val="0"/>
      <w:snapToGrid w:val="0"/>
      <w:jc w:val="center"/>
    </w:pPr>
    <w:rPr>
      <w:color w:val="00B0F0"/>
      <w:szCs w:val="21"/>
    </w:rPr>
  </w:style>
  <w:style w:type="paragraph" w:customStyle="1" w:styleId="203">
    <w:name w:val="图文底部标题"/>
    <w:qFormat/>
    <w:uiPriority w:val="0"/>
    <w:pPr>
      <w:widowControl w:val="0"/>
      <w:spacing w:line="360" w:lineRule="auto"/>
      <w:ind w:firstLine="0" w:firstLineChars="0"/>
      <w:jc w:val="center"/>
    </w:pPr>
    <w:rPr>
      <w:rFonts w:ascii="Times New Roman" w:hAnsi="Times New Roman" w:eastAsia="宋体" w:cs="Times New Roman"/>
      <w:b/>
      <w:kern w:val="2"/>
      <w:sz w:val="24"/>
      <w:szCs w:val="24"/>
      <w:lang w:val="en-US" w:eastAsia="zh-CN" w:bidi="ar-SA"/>
    </w:rPr>
  </w:style>
  <w:style w:type="paragraph" w:customStyle="1" w:styleId="204">
    <w:name w:val="表格样式"/>
    <w:basedOn w:val="1"/>
    <w:qFormat/>
    <w:uiPriority w:val="0"/>
    <w:pPr>
      <w:snapToGrid w:val="0"/>
      <w:jc w:val="center"/>
    </w:pPr>
    <w:rPr>
      <w:kern w:val="0"/>
      <w:sz w:val="22"/>
      <w:szCs w:val="21"/>
    </w:rPr>
  </w:style>
  <w:style w:type="paragraph" w:customStyle="1" w:styleId="205">
    <w:name w:val="5文章(壹澜)"/>
    <w:basedOn w:val="1"/>
    <w:qFormat/>
    <w:uiPriority w:val="0"/>
    <w:pPr>
      <w:spacing w:line="360" w:lineRule="auto"/>
      <w:ind w:firstLine="560" w:firstLineChars="200"/>
    </w:pPr>
    <w:rPr>
      <w:rFonts w:ascii="Times New Roman" w:hAnsi="Times New Roman" w:eastAsia="宋体" w:cs="Times New Roman"/>
      <w:sz w:val="24"/>
      <w:szCs w:val="22"/>
    </w:rPr>
  </w:style>
  <w:style w:type="paragraph" w:customStyle="1" w:styleId="206">
    <w:name w:val="Table Paragraph"/>
    <w:basedOn w:val="1"/>
    <w:qFormat/>
    <w:uiPriority w:val="1"/>
    <w:pPr>
      <w:autoSpaceDE w:val="0"/>
      <w:autoSpaceDN w:val="0"/>
      <w:spacing w:line="360" w:lineRule="auto"/>
      <w:ind w:firstLine="200" w:firstLineChars="200"/>
      <w:jc w:val="left"/>
    </w:pPr>
    <w:rPr>
      <w:rFonts w:ascii="宋体" w:hAnsi="宋体" w:cs="宋体"/>
      <w:kern w:val="0"/>
      <w:sz w:val="22"/>
      <w:szCs w:val="22"/>
      <w:lang w:eastAsia="en-US"/>
    </w:rPr>
  </w:style>
  <w:style w:type="paragraph" w:customStyle="1" w:styleId="207">
    <w:name w:val="表格标题"/>
    <w:basedOn w:val="208"/>
    <w:next w:val="148"/>
    <w:qFormat/>
    <w:uiPriority w:val="0"/>
    <w:pPr>
      <w:widowControl/>
      <w:numPr>
        <w:ilvl w:val="7"/>
        <w:numId w:val="3"/>
      </w:numPr>
      <w:spacing w:line="360" w:lineRule="auto"/>
      <w:ind w:left="1582" w:hanging="1582"/>
      <w:jc w:val="center"/>
      <w:outlineLvl w:val="4"/>
    </w:pPr>
    <w:rPr>
      <w:b/>
      <w:kern w:val="0"/>
      <w:sz w:val="24"/>
    </w:rPr>
  </w:style>
  <w:style w:type="paragraph" w:customStyle="1" w:styleId="208">
    <w:name w:val="闽创报告正文"/>
    <w:qFormat/>
    <w:uiPriority w:val="0"/>
    <w:pPr>
      <w:widowControl w:val="0"/>
      <w:tabs>
        <w:tab w:val="left" w:pos="0"/>
      </w:tabs>
      <w:autoSpaceDE w:val="0"/>
      <w:autoSpaceDN w:val="0"/>
      <w:spacing w:line="360" w:lineRule="auto"/>
      <w:ind w:firstLine="200" w:firstLineChars="200"/>
      <w:jc w:val="both"/>
    </w:pPr>
    <w:rPr>
      <w:rFonts w:ascii="Times New Roman" w:hAnsi="Times New Roman" w:eastAsia="宋体" w:cs="宋体"/>
      <w:color w:val="FF0000"/>
      <w:kern w:val="0"/>
      <w:sz w:val="24"/>
      <w:szCs w:val="20"/>
      <w:lang w:val="zh-CN" w:eastAsia="zh-CN" w:bidi="ar-SA"/>
    </w:rPr>
  </w:style>
  <w:style w:type="paragraph" w:customStyle="1" w:styleId="209">
    <w:name w:val="正文的格式"/>
    <w:basedOn w:val="1"/>
    <w:qFormat/>
    <w:uiPriority w:val="0"/>
    <w:pPr>
      <w:spacing w:line="360" w:lineRule="auto"/>
      <w:ind w:firstLine="200" w:firstLineChars="200"/>
    </w:pPr>
    <w:rPr>
      <w:rFonts w:ascii="Times New Roman" w:hAnsi="Times New Roman"/>
      <w:sz w:val="24"/>
      <w:szCs w:val="24"/>
    </w:rPr>
  </w:style>
  <w:style w:type="paragraph" w:customStyle="1" w:styleId="210">
    <w:name w:val="表哥的格式"/>
    <w:basedOn w:val="1"/>
    <w:qFormat/>
    <w:uiPriority w:val="0"/>
    <w:pPr>
      <w:autoSpaceDE w:val="0"/>
      <w:autoSpaceDN w:val="0"/>
      <w:adjustRightInd w:val="0"/>
      <w:snapToGrid w:val="0"/>
      <w:jc w:val="center"/>
    </w:pPr>
    <w:rPr>
      <w:rFonts w:ascii="Times New Roman" w:hAnsi="Times New Roman"/>
      <w:kern w:val="0"/>
      <w:sz w:val="21"/>
      <w:szCs w:val="21"/>
    </w:rPr>
  </w:style>
  <w:style w:type="character" w:customStyle="1" w:styleId="211">
    <w:name w:val="正文的格式11 Char"/>
    <w:link w:val="212"/>
    <w:qFormat/>
    <w:uiPriority w:val="0"/>
    <w:rPr>
      <w:rFonts w:ascii="Times New Roman" w:hAnsi="Times New Roman"/>
      <w:kern w:val="0"/>
      <w:sz w:val="24"/>
      <w:szCs w:val="24"/>
    </w:rPr>
  </w:style>
  <w:style w:type="paragraph" w:customStyle="1" w:styleId="212">
    <w:name w:val="正文的格式11"/>
    <w:basedOn w:val="1"/>
    <w:link w:val="211"/>
    <w:qFormat/>
    <w:uiPriority w:val="0"/>
    <w:pPr>
      <w:autoSpaceDE w:val="0"/>
      <w:autoSpaceDN w:val="0"/>
      <w:adjustRightInd w:val="0"/>
      <w:snapToGrid w:val="0"/>
      <w:spacing w:line="360" w:lineRule="auto"/>
      <w:ind w:firstLine="200" w:firstLineChars="200"/>
      <w:jc w:val="left"/>
    </w:pPr>
    <w:rPr>
      <w:rFonts w:ascii="Times New Roman" w:hAnsi="Times New Roman"/>
      <w:kern w:val="0"/>
      <w:sz w:val="24"/>
      <w:szCs w:val="24"/>
    </w:rPr>
  </w:style>
  <w:style w:type="paragraph" w:customStyle="1" w:styleId="213">
    <w:name w:val="正文11111111111"/>
    <w:basedOn w:val="1"/>
    <w:qFormat/>
    <w:uiPriority w:val="0"/>
    <w:pPr>
      <w:spacing w:line="360" w:lineRule="auto"/>
      <w:ind w:firstLine="480" w:firstLineChars="200"/>
    </w:pPr>
    <w:rPr>
      <w:rFonts w:ascii="宋体" w:hAnsi="宋体"/>
      <w:sz w:val="24"/>
    </w:rPr>
  </w:style>
  <w:style w:type="paragraph" w:customStyle="1" w:styleId="21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表标题"/>
    <w:basedOn w:val="1"/>
    <w:qFormat/>
    <w:uiPriority w:val="0"/>
    <w:pPr>
      <w:jc w:val="center"/>
    </w:pPr>
    <w:rPr>
      <w:rFonts w:ascii="Times New Roman" w:eastAsia="宋体"/>
      <w:b/>
      <w:kern w:val="2"/>
      <w:sz w:val="21"/>
      <w:szCs w:val="24"/>
    </w:rPr>
  </w:style>
  <w:style w:type="paragraph" w:customStyle="1" w:styleId="216">
    <w:name w:val="闽科书表格文字"/>
    <w:qFormat/>
    <w:uiPriority w:val="0"/>
    <w:pPr>
      <w:widowControl w:val="0"/>
      <w:jc w:val="center"/>
    </w:pPr>
    <w:rPr>
      <w:rFonts w:ascii="Times New Roman" w:hAnsi="Times New Roman" w:eastAsia="宋体" w:cs="Courier New"/>
      <w:kern w:val="2"/>
      <w:sz w:val="21"/>
      <w:szCs w:val="21"/>
      <w:lang w:val="en-US" w:eastAsia="zh-CN" w:bidi="ar-SA"/>
    </w:rPr>
  </w:style>
  <w:style w:type="paragraph" w:customStyle="1" w:styleId="217">
    <w:name w:val="头"/>
    <w:basedOn w:val="1"/>
    <w:qFormat/>
    <w:uiPriority w:val="0"/>
    <w:pPr>
      <w:widowControl/>
      <w:spacing w:line="365" w:lineRule="atLeast"/>
      <w:ind w:left="1"/>
      <w:jc w:val="center"/>
      <w:textAlignment w:val="bottom"/>
    </w:pPr>
    <w:rPr>
      <w:rFonts w:ascii="Times New Roman" w:hAnsi="Times New Roman" w:eastAsia="黑体"/>
      <w:kern w:val="0"/>
      <w:sz w:val="24"/>
      <w:szCs w:val="24"/>
    </w:rPr>
  </w:style>
  <w:style w:type="paragraph" w:customStyle="1" w:styleId="218">
    <w:name w:val="表头 ylp"/>
    <w:basedOn w:val="1"/>
    <w:qFormat/>
    <w:uiPriority w:val="0"/>
    <w:pPr>
      <w:jc w:val="center"/>
    </w:pPr>
    <w:rPr>
      <w:rFonts w:ascii="Times New Roman" w:hAnsi="Times New Roman" w:eastAsia="黑体"/>
      <w:sz w:val="24"/>
      <w:szCs w:val="24"/>
      <w:lang w:bidi="he-IL"/>
    </w:rPr>
  </w:style>
  <w:style w:type="paragraph" w:customStyle="1" w:styleId="219">
    <w:name w:val="正文格式111"/>
    <w:basedOn w:val="1"/>
    <w:qFormat/>
    <w:uiPriority w:val="0"/>
    <w:pPr>
      <w:spacing w:line="420" w:lineRule="auto"/>
      <w:ind w:firstLine="480" w:firstLineChars="200"/>
    </w:pPr>
    <w:rPr>
      <w:bCs/>
      <w:kern w:val="0"/>
      <w:sz w:val="24"/>
    </w:rPr>
  </w:style>
  <w:style w:type="paragraph" w:customStyle="1" w:styleId="220">
    <w:name w:val="啦啦啦啦"/>
    <w:basedOn w:val="1"/>
    <w:qFormat/>
    <w:uiPriority w:val="0"/>
    <w:pPr>
      <w:spacing w:line="360" w:lineRule="auto"/>
      <w:ind w:firstLine="200" w:firstLineChars="200"/>
      <w:jc w:val="center"/>
    </w:pPr>
    <w:rPr>
      <w:rFonts w:ascii="Times New Roman" w:hAnsi="Times New Roman" w:eastAsia="黑体"/>
      <w:color w:val="000000"/>
      <w:sz w:val="24"/>
      <w:lang w:val="zh-CN" w:bidi="he-IL"/>
    </w:rPr>
  </w:style>
  <w:style w:type="paragraph" w:customStyle="1" w:styleId="221">
    <w:name w:val="（环评）表头（小四）"/>
    <w:basedOn w:val="1"/>
    <w:qFormat/>
    <w:uiPriority w:val="0"/>
    <w:pPr>
      <w:shd w:val="clear" w:color="auto" w:fill="auto"/>
      <w:spacing w:line="240" w:lineRule="auto"/>
      <w:jc w:val="center"/>
    </w:pPr>
    <w:rPr>
      <w:rFonts w:ascii="宋体" w:hAnsi="宋体" w:eastAsia="宋体" w:cs="宋体"/>
      <w:b/>
      <w:color w:val="000000"/>
      <w:sz w:val="24"/>
      <w:szCs w:val="28"/>
      <w:u w:val="none"/>
      <w:shd w:val="clear" w:color="auto" w:fill="auto"/>
      <w:lang w:val="zh-TW" w:eastAsia="zh-TW" w:bidi="zh-TW"/>
    </w:rPr>
  </w:style>
  <w:style w:type="paragraph" w:customStyle="1" w:styleId="222">
    <w:name w:val="1表格（5宋.）"/>
    <w:basedOn w:val="1"/>
    <w:qFormat/>
    <w:uiPriority w:val="0"/>
    <w:pPr>
      <w:shd w:val="clear" w:color="auto" w:fill="auto"/>
      <w:spacing w:line="240" w:lineRule="auto"/>
      <w:ind w:firstLine="0" w:firstLineChars="0"/>
      <w:jc w:val="center"/>
    </w:pPr>
    <w:rPr>
      <w:rFonts w:ascii="宋体" w:hAnsi="宋体" w:eastAsia="宋体" w:cs="宋体"/>
      <w:color w:val="000000"/>
      <w:sz w:val="21"/>
      <w:szCs w:val="22"/>
      <w:u w:val="none"/>
      <w:shd w:val="clear" w:color="auto" w:fill="auto"/>
      <w:lang w:val="zh-TW" w:eastAsia="zh-TW" w:bidi="zh-TW"/>
    </w:rPr>
  </w:style>
  <w:style w:type="character" w:customStyle="1" w:styleId="223">
    <w:name w:val="font31"/>
    <w:basedOn w:val="34"/>
    <w:qFormat/>
    <w:uiPriority w:val="0"/>
    <w:rPr>
      <w:rFonts w:ascii="宋体" w:hAnsi="宋体" w:eastAsia="宋体" w:cs="宋体"/>
      <w:b/>
      <w:bCs/>
      <w:color w:val="000000"/>
      <w:sz w:val="26"/>
      <w:szCs w:val="26"/>
      <w:u w:val="none"/>
    </w:rPr>
  </w:style>
  <w:style w:type="character" w:customStyle="1" w:styleId="224">
    <w:name w:val="font41"/>
    <w:basedOn w:val="34"/>
    <w:qFormat/>
    <w:uiPriority w:val="0"/>
    <w:rPr>
      <w:rFonts w:ascii="Arial" w:hAnsi="Arial" w:cs="Arial"/>
      <w:color w:val="000000"/>
      <w:sz w:val="7"/>
      <w:szCs w:val="7"/>
      <w:u w:val="none"/>
    </w:rPr>
  </w:style>
  <w:style w:type="character" w:customStyle="1" w:styleId="225">
    <w:name w:val="font51"/>
    <w:basedOn w:val="34"/>
    <w:qFormat/>
    <w:uiPriority w:val="0"/>
    <w:rPr>
      <w:rFonts w:ascii="宋体" w:hAnsi="宋体" w:eastAsia="宋体" w:cs="宋体"/>
      <w:color w:val="000000"/>
      <w:sz w:val="26"/>
      <w:szCs w:val="26"/>
      <w:u w:val="none"/>
    </w:rPr>
  </w:style>
  <w:style w:type="character" w:customStyle="1" w:styleId="226">
    <w:name w:val="font61"/>
    <w:basedOn w:val="34"/>
    <w:qFormat/>
    <w:uiPriority w:val="0"/>
    <w:rPr>
      <w:rFonts w:hint="default" w:ascii="Arial" w:hAnsi="Arial" w:cs="Arial"/>
      <w:color w:val="000000"/>
      <w:sz w:val="6"/>
      <w:szCs w:val="6"/>
      <w:u w:val="none"/>
    </w:rPr>
  </w:style>
  <w:style w:type="character" w:customStyle="1" w:styleId="227">
    <w:name w:val="font71"/>
    <w:basedOn w:val="34"/>
    <w:qFormat/>
    <w:uiPriority w:val="0"/>
    <w:rPr>
      <w:rFonts w:hint="default" w:ascii="Arial" w:hAnsi="Arial" w:cs="Arial"/>
      <w:color w:val="000000"/>
      <w:sz w:val="10"/>
      <w:szCs w:val="10"/>
      <w:u w:val="none"/>
    </w:rPr>
  </w:style>
  <w:style w:type="character" w:customStyle="1" w:styleId="228">
    <w:name w:val="font21"/>
    <w:basedOn w:val="34"/>
    <w:qFormat/>
    <w:uiPriority w:val="0"/>
    <w:rPr>
      <w:rFonts w:hint="default" w:ascii="Times New Roman" w:hAnsi="Times New Roman" w:cs="Times New Roman"/>
      <w:b/>
      <w:bCs/>
      <w:color w:val="000000"/>
      <w:sz w:val="21"/>
      <w:szCs w:val="21"/>
      <w:u w:val="none"/>
    </w:rPr>
  </w:style>
  <w:style w:type="paragraph" w:customStyle="1" w:styleId="229">
    <w:name w:val="（环评）正文（小四）"/>
    <w:basedOn w:val="1"/>
    <w:qFormat/>
    <w:uiPriority w:val="0"/>
    <w:pPr>
      <w:spacing w:line="360" w:lineRule="auto"/>
      <w:ind w:firstLine="643" w:firstLineChars="200"/>
    </w:pPr>
    <w:rPr>
      <w:rFonts w:ascii="Calibri" w:hAnsi="Calibri" w:eastAsia="宋体"/>
      <w:sz w:val="24"/>
    </w:rPr>
  </w:style>
  <w:style w:type="paragraph" w:customStyle="1" w:styleId="230">
    <w:name w:val="Default"/>
    <w:basedOn w:val="231"/>
    <w:next w:val="232"/>
    <w:unhideWhenUsed/>
    <w:qFormat/>
    <w:uiPriority w:val="99"/>
    <w:pPr>
      <w:widowControl w:val="0"/>
      <w:autoSpaceDE w:val="0"/>
      <w:autoSpaceDN w:val="0"/>
      <w:adjustRightInd w:val="0"/>
    </w:pPr>
    <w:rPr>
      <w:rFonts w:ascii="宋体" w:hAnsi="宋体"/>
      <w:color w:val="000000"/>
      <w:sz w:val="24"/>
      <w:szCs w:val="24"/>
      <w:lang w:val="en-US" w:eastAsia="zh-CN" w:bidi="ar-SA"/>
    </w:rPr>
  </w:style>
  <w:style w:type="paragraph" w:customStyle="1" w:styleId="231">
    <w:name w:val="纯文本1"/>
    <w:basedOn w:val="1"/>
    <w:next w:val="15"/>
    <w:qFormat/>
    <w:uiPriority w:val="0"/>
    <w:pPr>
      <w:adjustRightInd w:val="0"/>
    </w:pPr>
    <w:rPr>
      <w:rFonts w:ascii="宋体" w:hAnsi="Courier New"/>
      <w:szCs w:val="20"/>
    </w:rPr>
  </w:style>
  <w:style w:type="paragraph" w:customStyle="1" w:styleId="232">
    <w:name w:val="样式35"/>
    <w:next w:val="85"/>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33">
    <w:name w:val="四级标题（）"/>
    <w:basedOn w:val="1"/>
    <w:qFormat/>
    <w:uiPriority w:val="0"/>
    <w:pPr>
      <w:keepNext/>
      <w:widowControl w:val="0"/>
      <w:suppressAutoHyphens/>
      <w:ind w:firstLine="0" w:firstLineChars="0"/>
      <w:textAlignment w:val="baseline"/>
      <w:outlineLvl w:val="3"/>
    </w:pPr>
    <w:rPr>
      <w:rFonts w:ascii="Calibri" w:hAnsi="Calibri" w:eastAsia="黑体"/>
      <w:bCs/>
      <w:kern w:val="28"/>
      <w:lang w:bidi="he-IL"/>
    </w:rPr>
  </w:style>
  <w:style w:type="paragraph" w:customStyle="1" w:styleId="234">
    <w:name w:val="封面表格"/>
    <w:next w:val="1"/>
    <w:qFormat/>
    <w:uiPriority w:val="0"/>
    <w:pPr>
      <w:jc w:val="center"/>
    </w:pPr>
    <w:rPr>
      <w:rFonts w:ascii="Times New Roman" w:hAnsi="Times New Roman" w:eastAsia="宋体" w:cs="Times New Roman"/>
      <w:color w:val="000000"/>
      <w:sz w:val="30"/>
      <w:lang w:val="en-US" w:eastAsia="zh-CN" w:bidi="ar-SA"/>
    </w:rPr>
  </w:style>
  <w:style w:type="paragraph" w:customStyle="1" w:styleId="235">
    <w:name w:val="表格字体"/>
    <w:qFormat/>
    <w:uiPriority w:val="0"/>
    <w:pPr>
      <w:jc w:val="center"/>
    </w:pPr>
    <w:rPr>
      <w:rFonts w:ascii="Times New Roman" w:hAnsi="Times New Roman" w:eastAsia="宋体" w:cs="黑体"/>
      <w:kern w:val="2"/>
      <w:sz w:val="21"/>
      <w:szCs w:val="22"/>
      <w:lang w:val="en-US" w:eastAsia="zh-CN" w:bidi="ar-SA"/>
    </w:rPr>
  </w:style>
  <w:style w:type="paragraph" w:customStyle="1" w:styleId="236">
    <w:name w:val="Table Text"/>
    <w:basedOn w:val="1"/>
    <w:semiHidden/>
    <w:qFormat/>
    <w:uiPriority w:val="0"/>
    <w:rPr>
      <w:rFonts w:ascii="宋体" w:hAnsi="宋体" w:eastAsia="宋体" w:cs="宋体"/>
      <w:sz w:val="24"/>
      <w:szCs w:val="24"/>
      <w:lang w:val="en-US" w:eastAsia="en-US" w:bidi="ar-SA"/>
    </w:rPr>
  </w:style>
  <w:style w:type="table" w:customStyle="1" w:styleId="237">
    <w:name w:val="Table Normal"/>
    <w:unhideWhenUsed/>
    <w:qFormat/>
    <w:uiPriority w:val="0"/>
    <w:tblPr>
      <w:tblCellMar>
        <w:top w:w="0" w:type="dxa"/>
        <w:left w:w="0" w:type="dxa"/>
        <w:bottom w:w="0" w:type="dxa"/>
        <w:right w:w="0" w:type="dxa"/>
      </w:tblCellMar>
    </w:tblPr>
  </w:style>
  <w:style w:type="paragraph" w:customStyle="1" w:styleId="238">
    <w:name w:val="5文章(治)"/>
    <w:basedOn w:val="1"/>
    <w:qFormat/>
    <w:uiPriority w:val="0"/>
    <w:pPr>
      <w:spacing w:line="360" w:lineRule="auto"/>
      <w:ind w:firstLine="560"/>
    </w:pPr>
    <w:rPr>
      <w:rFonts w:ascii="Times New Roman" w:hAnsi="Times New Roman" w:eastAsia="宋体"/>
      <w:sz w:val="24"/>
    </w:rPr>
  </w:style>
  <w:style w:type="paragraph" w:customStyle="1" w:styleId="239">
    <w:name w:val="一级aaa"/>
    <w:next w:val="1"/>
    <w:qFormat/>
    <w:uiPriority w:val="0"/>
    <w:pPr>
      <w:widowControl w:val="0"/>
      <w:numPr>
        <w:ilvl w:val="0"/>
        <w:numId w:val="4"/>
      </w:numPr>
      <w:adjustRightInd w:val="0"/>
      <w:snapToGrid w:val="0"/>
      <w:spacing w:before="312" w:beforeLines="100" w:after="312" w:afterLines="100" w:line="360" w:lineRule="auto"/>
      <w:jc w:val="both"/>
      <w:outlineLvl w:val="0"/>
    </w:pPr>
    <w:rPr>
      <w:rFonts w:ascii="Calibri" w:hAnsi="Calibri" w:eastAsia="楷体_GB2312" w:cs="Times New Roman"/>
      <w:b/>
      <w:kern w:val="44"/>
      <w:sz w:val="28"/>
      <w:lang w:val="en-US" w:eastAsia="zh-CN" w:bidi="ar-SA"/>
    </w:rPr>
  </w:style>
  <w:style w:type="paragraph" w:customStyle="1" w:styleId="240">
    <w:name w:val="报告书表格文（林）"/>
    <w:basedOn w:val="1"/>
    <w:qFormat/>
    <w:uiPriority w:val="0"/>
    <w:pPr>
      <w:spacing w:line="280" w:lineRule="exact"/>
      <w:ind w:firstLine="0" w:firstLineChars="0"/>
      <w:jc w:val="center"/>
    </w:pPr>
    <w:rPr>
      <w:rFonts w:ascii="Times New Roman" w:hAnsi="Times New Roman"/>
      <w:sz w:val="21"/>
    </w:rPr>
  </w:style>
  <w:style w:type="paragraph" w:customStyle="1" w:styleId="241">
    <w:name w:val="图文标题"/>
    <w:basedOn w:val="1"/>
    <w:next w:val="1"/>
    <w:qFormat/>
    <w:uiPriority w:val="0"/>
    <w:pPr>
      <w:numPr>
        <w:ilvl w:val="8"/>
        <w:numId w:val="5"/>
      </w:numPr>
      <w:spacing w:line="360" w:lineRule="auto"/>
      <w:ind w:left="1583" w:hanging="1583" w:firstLineChars="0"/>
      <w:jc w:val="center"/>
    </w:pPr>
    <w:rPr>
      <w:rFonts w:ascii="Times New Roman" w:hAnsi="Times New Roman" w:eastAsia="宋体"/>
      <w:b/>
      <w:bCs/>
      <w:color w:val="auto"/>
      <w:sz w:val="24"/>
      <w:szCs w:val="21"/>
    </w:rPr>
  </w:style>
  <w:style w:type="paragraph" w:customStyle="1" w:styleId="242">
    <w:name w:val="表格5号居中"/>
    <w:qFormat/>
    <w:uiPriority w:val="0"/>
    <w:pPr>
      <w:widowControl w:val="0"/>
      <w:adjustRightInd w:val="0"/>
      <w:snapToGrid w:val="0"/>
      <w:jc w:val="center"/>
    </w:pPr>
    <w:rPr>
      <w:rFonts w:ascii="Times New Roman" w:hAnsi="Times New Roman" w:eastAsia="宋体" w:cs="Times New Roman"/>
      <w:iCs/>
      <w:color w:val="000000"/>
      <w:sz w:val="21"/>
      <w:szCs w:val="21"/>
      <w:lang w:val="en-US" w:eastAsia="zh-CN" w:bidi="ar-SA"/>
    </w:rPr>
  </w:style>
  <w:style w:type="paragraph" w:customStyle="1" w:styleId="243">
    <w:name w:val="文本"/>
    <w:qFormat/>
    <w:uiPriority w:val="0"/>
    <w:pPr>
      <w:widowControl w:val="0"/>
      <w:spacing w:line="360" w:lineRule="auto"/>
      <w:ind w:firstLine="480" w:firstLineChars="200"/>
      <w:jc w:val="both"/>
    </w:pPr>
    <w:rPr>
      <w:rFonts w:ascii="Times New Roman" w:hAnsi="Times New Roman" w:eastAsia="宋体" w:cs="宋体"/>
      <w:snapToGrid w:val="0"/>
      <w:color w:val="000000"/>
      <w:sz w:val="24"/>
      <w:lang w:val="en-US" w:eastAsia="zh-CN" w:bidi="ar-SA"/>
    </w:rPr>
  </w:style>
  <w:style w:type="paragraph" w:customStyle="1" w:styleId="244">
    <w:name w:val="表头"/>
    <w:next w:val="1"/>
    <w:qFormat/>
    <w:uiPriority w:val="0"/>
    <w:pPr>
      <w:spacing w:line="360" w:lineRule="auto"/>
      <w:jc w:val="center"/>
      <w:outlineLvl w:val="6"/>
    </w:pPr>
    <w:rPr>
      <w:rFonts w:ascii="Times New Roman" w:hAnsi="Times New Roman" w:eastAsia="宋体" w:cs="宋体"/>
      <w:snapToGrid w:val="0"/>
      <w:color w:val="000000"/>
      <w:sz w:val="24"/>
      <w:lang w:val="en-US" w:eastAsia="zh-CN" w:bidi="ar-SA"/>
    </w:rPr>
  </w:style>
  <w:style w:type="paragraph" w:customStyle="1" w:styleId="245">
    <w:name w:val="1表格"/>
    <w:qFormat/>
    <w:uiPriority w:val="0"/>
    <w:pPr>
      <w:snapToGrid w:val="0"/>
      <w:jc w:val="center"/>
    </w:pPr>
    <w:rPr>
      <w:rFonts w:ascii="Times New Roman" w:hAnsi="Times New Roman" w:eastAsia="宋体" w:cs="宋体"/>
      <w:spacing w:val="4"/>
      <w:sz w:val="21"/>
      <w:szCs w:val="24"/>
      <w:lang w:val="en-US" w:eastAsia="zh-CN" w:bidi="ar-SA"/>
    </w:rPr>
  </w:style>
  <w:style w:type="paragraph" w:customStyle="1" w:styleId="246">
    <w:name w:val="标题-表头-范"/>
    <w:basedOn w:val="1"/>
    <w:qFormat/>
    <w:uiPriority w:val="0"/>
    <w:pPr>
      <w:numPr>
        <w:ilvl w:val="6"/>
        <w:numId w:val="6"/>
      </w:numPr>
      <w:tabs>
        <w:tab w:val="left" w:pos="0"/>
      </w:tabs>
      <w:spacing w:line="360" w:lineRule="auto"/>
      <w:jc w:val="center"/>
    </w:pPr>
    <w:rPr>
      <w:b/>
      <w:sz w:val="24"/>
    </w:rPr>
  </w:style>
  <w:style w:type="character" w:customStyle="1" w:styleId="247">
    <w:name w:val="font281"/>
    <w:basedOn w:val="34"/>
    <w:qFormat/>
    <w:uiPriority w:val="0"/>
    <w:rPr>
      <w:rFonts w:ascii="宋体" w:hAnsi="宋体" w:eastAsia="宋体" w:cs="宋体"/>
      <w:color w:val="000000"/>
      <w:sz w:val="14"/>
      <w:szCs w:val="14"/>
      <w:u w:val="none"/>
    </w:rPr>
  </w:style>
  <w:style w:type="character" w:customStyle="1" w:styleId="248">
    <w:name w:val="font291"/>
    <w:basedOn w:val="34"/>
    <w:qFormat/>
    <w:uiPriority w:val="0"/>
    <w:rPr>
      <w:rFonts w:ascii="宋体" w:hAnsi="宋体" w:eastAsia="宋体" w:cs="宋体"/>
      <w:b/>
      <w:bCs/>
      <w:color w:val="000000"/>
      <w:sz w:val="14"/>
      <w:szCs w:val="14"/>
      <w:u w:val="none"/>
    </w:rPr>
  </w:style>
  <w:style w:type="character" w:customStyle="1" w:styleId="249">
    <w:name w:val="font81"/>
    <w:basedOn w:val="34"/>
    <w:qFormat/>
    <w:uiPriority w:val="0"/>
    <w:rPr>
      <w:rFonts w:ascii="宋体" w:hAnsi="宋体" w:eastAsia="宋体" w:cs="宋体"/>
      <w:b/>
      <w:bCs/>
      <w:color w:val="404040"/>
      <w:sz w:val="14"/>
      <w:szCs w:val="14"/>
      <w:u w:val="none"/>
    </w:rPr>
  </w:style>
  <w:style w:type="character" w:customStyle="1" w:styleId="250">
    <w:name w:val="font212"/>
    <w:basedOn w:val="34"/>
    <w:qFormat/>
    <w:uiPriority w:val="0"/>
    <w:rPr>
      <w:rFonts w:ascii="宋体" w:hAnsi="宋体" w:eastAsia="宋体" w:cs="宋体"/>
      <w:b/>
      <w:bCs/>
      <w:color w:val="405050"/>
      <w:sz w:val="14"/>
      <w:szCs w:val="14"/>
      <w:u w:val="none"/>
    </w:rPr>
  </w:style>
  <w:style w:type="character" w:customStyle="1" w:styleId="251">
    <w:name w:val="font221"/>
    <w:basedOn w:val="34"/>
    <w:qFormat/>
    <w:uiPriority w:val="0"/>
    <w:rPr>
      <w:rFonts w:ascii="宋体" w:hAnsi="宋体" w:eastAsia="宋体" w:cs="宋体"/>
      <w:b/>
      <w:bCs/>
      <w:color w:val="50505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kwMzg0Nzk0NTM1IiwKCSJHcm91cElkIiA6ICI2MjE3ODQ3NTEiLAoJIkltYWdlIiA6ICJpVkJPUncwS0dnb0FBQUFOU1VoRVVnQUFBVWNBQUFDTENBWUFBQUR5RkZzUUFBQUFBWE5TUjBJQXJzNGM2UUFBQkwxSlJFRlVlSnp0MlUyTG5XY2R4L0gvZForbk9XZG1ta21iNlNUaVF5bVdxV05hRXFqR1N0YmFrcUxTVnlCdTJvVUxwVnR4SXk2S1lEY1ZmQStXMEVDd2JuU2hTekdZZ01WcGFreTBObE03YVpKT011ZWNPWFBPMVVVUXhuQ2hkV0M0Nzhybjh3cCtxeS9YUXdRQUFBQUFBQUFBQUFBQUFBQUFBQUFBQUFBQUFBQUFBQUFBQUFBQUFBQUFBQUFBQUFBQUFBQUFBQUFBQUFCOE1xUzZCM3djUjFaWEYrY20xZEdxM1YycFVsNm9ldyt3UDlNY2QvTjBlbjNVM24xdmMzMTlxKzQ5LzBtajQzaGtkWFZ4SVhvL1NsVjZQa2QwSWxJbklscDE3d0wyYlJxUkp5bGlNc3Z4aTJ0M2J2d2czbmxuV1Blb2tzYkc4Yk9mWC90aTZuUitubko4TmFWVXpmVjZzYmk0RU4xdXQrNXB3RDd0VENheDllRldqTWJqeURuUGN1VGY1TjMwdmIrOWZmRlBkVys3WHlQanVMTHk1UHpjZytsWFZhVFQzVzRuemp6enRYajYxSmZqNk1weXpBL202NTRIN05QMmNEdXViL3d6ZnYrSEMzSHUvQnV4czdNVE1jdS8vdXY2M1RNUmI0L3IzcmRYSStQNHVjZFAvQ1JGZm1rd0dLUlhYM2s1VGovOWxXaTMyNUZTSStjQy80T2NjK3p1N3NhRmk1ZmlPeTk4TjdhM2g3T2Mwdyt2cmYveHgzVnYyNnVxZThEOWxwZlhGcXJJejZTVTBqZWZlelpPZmVtcDZIUTZ3Z2ovSjFKSzBlbDA0c1FUeCtPNVo3OGVLYVdxU3ZuYjBiRC9oTWJGc2IvVWVqaW4xTzkwMm5GODdRc3g2UGZybmdRY2dGNnZGMDhjWDR0ZXJ4czUwdUF6cTZzcmRXL2FxM0Z4bkVWYWpwem51cDF1SEYxNXVPNDV3QUU2dHJJUy9Yc0hvRjVLM1dOMTc5bXJjWEZzdDZwK3BHaFZyU29HZzBIZGM0QURORDgvSCsxV095SkZxNHJXWXQxNzltcGNIQUdhUUJ3QkNzUVJvRUFjQVFyRUVhQkFIQUVLeEJHZ1FCd0JDc1FSb0VBY0FRckVFYUJBSEFFS3hCR2dRQndCQ3NRUm9FQWNBUXJFRWFCQUhBRUt4QkdnUUJ3QkNzUVJvRUFjQVFyRUVhQkFIQUVLeEJHZ1FCd0JDc1FSb0VBY0FRckVFYUJBSEFFS3hCR2dRQndCQ3NRUm9FQWNBUXJFRWFCQUhBRUt4QkdnUUJ3QkNzUVJvRUFjQVFyRUVhQkFIQUVLeEJHZ1FCd0JDc1FSb0VBY0FRckVFYUJBSEFFS3hCR2dRQndCQ3NRUm9LQnhjVXl6dkoxeTdNNW1PVWFqVWQxemdBTTBHbzFpT3B0R1JFelRMRy9YdldldnhzVnh2RHZaaUpTR2s4a2szdCs4VWZjYzRBQzl2M2tqUnFOeFJNVE9lSGV5VWZlZXZSb1h4M2V2dkxtUkk5K2RUQ2F4ZnZseWpNZmp1aWNCQjJBeW1jU2YzN3A4NzRhWTgramRLMitLNDMreGszTCtaYzQ1enA0N0gzKzVlcTN1UGNBQnVMN3hYcngyOWx6a25DTWlYbytJblpvbi9adFU5NENTNWJXMWhmbmMrVzJLZFBMQnc0ZmpXOTg0RTArZFBCRkhqandVZzM2LzdubkFQbTBQaDdHNXVSa1hMbDZLcytmT3h3Y2YzSXljNDlLZFBEeTl1YjYrVmZlK3ZSb1p4NGlJVHovMjVLbDJLLzBzSWs2bWxLcEJ2eDlMUzBzeE45ZXJleHF3VDZQUktHN2V1aDNENFREeXZTUGpoZWtzZi8vdmIxMzZYZDNiN3RmWU9FWkVMRDN5eU5LaHVVTS9yU0k5SHltM2NxUXFjbTdpVXdEd2NhUTBTNUZua2ROMEZ2bU5EM2UyWHJ4NTVjcnR1bWVWTkRxTy8zTDQwVWNQUGRBYWZDcXE2bGpLMVFOMTd3SDJaNWFuZDFMa2Y5eWUzTGwrNityVlczWHZBUUFBQUFBQUFBQUFBQUFBQUFBQUFBQUFBQUFBQUFBQUFBQUFBQUFBQUFBQUFBQUFBQUFBQUFBQUFBRGdFK2NqNlJ3bWRUb0ZaN2dBQUFBQVNVVk9SSzVDWUlJPSIsCgkiVGhlbWUiIDogIiIsCgkiVHlwZSIgOiAiZmxvdyIsCgkiVXNlcklkIiA6ICI1NDEyODI5MDIiLAoJIlZlcnNpb24iIDogIjE0M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52</Pages>
  <Words>6690</Words>
  <Characters>7002</Characters>
  <Lines>276</Lines>
  <Paragraphs>77</Paragraphs>
  <TotalTime>43</TotalTime>
  <ScaleCrop>false</ScaleCrop>
  <LinksUpToDate>false</LinksUpToDate>
  <CharactersWithSpaces>7081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2021-06-23T02:19:00Z</dcterms:created>
  <dc:creator>lhj</dc:creator>
  <cp:lastModifiedBy>wind</cp:lastModifiedBy>
  <cp:lastPrinted>2021-06-25T02:05:00Z</cp:lastPrinted>
  <dcterms:modified xsi:type="dcterms:W3CDTF">2025-08-26T09:08:18Z</dcterms:modified>
  <dc:title>附件2</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E9CAF6B0816E423299462622B80DDB6B_13</vt:lpwstr>
  </property>
  <property fmtid="{D5CDD505-2E9C-101B-9397-08002B2CF9AE}" pid="4" name="KSOTemplateDocerSaveRecord">
    <vt:lpwstr>eyJoZGlkIjoiZTBkN2QyMDFlMTU5NjUwNmY2MzE3M2M2MjE4ZTJkYjAiLCJ1c2VySWQiOiI1NDEyODI5MDIifQ==</vt:lpwstr>
  </property>
</Properties>
</file>