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0A1911">
      <w:pPr>
        <w:rPr>
          <w:rFonts w:hint="default" w:ascii="Times New Roman" w:hAnsi="Times New Roman" w:eastAsia="宋体" w:cs="Times New Roman"/>
          <w:color w:val="auto"/>
          <w:sz w:val="36"/>
          <w:szCs w:val="36"/>
          <w:lang w:eastAsia="zh-CN"/>
        </w:rPr>
      </w:pPr>
    </w:p>
    <w:p w14:paraId="3B635D39">
      <w:pPr>
        <w:rPr>
          <w:rFonts w:hint="eastAsia" w:ascii="Times New Roman" w:hAnsi="Times New Roman" w:eastAsia="宋体" w:cs="Times New Roman"/>
          <w:color w:val="auto"/>
          <w:sz w:val="36"/>
          <w:szCs w:val="36"/>
          <w:lang w:eastAsia="zh-CN"/>
        </w:rPr>
      </w:pPr>
    </w:p>
    <w:p w14:paraId="3BF6BA05">
      <w:pPr>
        <w:rPr>
          <w:rFonts w:hint="eastAsia" w:ascii="Times New Roman" w:hAnsi="Times New Roman" w:eastAsia="宋体" w:cs="Times New Roman"/>
          <w:color w:val="auto"/>
          <w:sz w:val="36"/>
          <w:szCs w:val="36"/>
          <w:lang w:eastAsia="zh-CN"/>
        </w:rPr>
      </w:pPr>
    </w:p>
    <w:p w14:paraId="164AF97C">
      <w:pPr>
        <w:pStyle w:val="15"/>
        <w:rPr>
          <w:rFonts w:hint="eastAsia" w:ascii="Times New Roman" w:hAnsi="Times New Roman" w:eastAsia="宋体"/>
          <w:color w:val="auto"/>
          <w:lang w:eastAsia="zh-CN"/>
        </w:rPr>
      </w:pPr>
    </w:p>
    <w:p w14:paraId="53D1E6C9">
      <w:pPr>
        <w:rPr>
          <w:rFonts w:hint="default" w:ascii="Times New Roman" w:hAnsi="Times New Roman" w:eastAsia="宋体" w:cs="Times New Roman"/>
          <w:color w:val="auto"/>
          <w:sz w:val="36"/>
          <w:szCs w:val="36"/>
        </w:rPr>
      </w:pPr>
    </w:p>
    <w:p w14:paraId="5C43521F">
      <w:pPr>
        <w:widowControl w:val="0"/>
        <w:autoSpaceDE w:val="0"/>
        <w:autoSpaceDN w:val="0"/>
        <w:spacing w:before="0" w:after="0" w:line="240" w:lineRule="auto"/>
        <w:ind w:left="426" w:right="428"/>
        <w:jc w:val="center"/>
        <w:rPr>
          <w:rFonts w:ascii="PMingLiU" w:hAnsi="PMingLiU" w:eastAsia="PMingLiU" w:cs="PMingLiU"/>
          <w:sz w:val="72"/>
          <w:szCs w:val="72"/>
          <w:lang w:val="en-US" w:eastAsia="zh-CN" w:bidi="ar-SA"/>
        </w:rPr>
      </w:pPr>
      <w:r>
        <w:rPr>
          <w:rFonts w:ascii="PMingLiU" w:hAnsi="PMingLiU" w:eastAsia="PMingLiU" w:cs="PMingLiU"/>
          <w:spacing w:val="-1"/>
          <w:sz w:val="72"/>
          <w:szCs w:val="72"/>
          <w:lang w:val="en-US" w:eastAsia="zh-CN" w:bidi="ar-SA"/>
        </w:rPr>
        <w:t>建设项目环境影响报告表</w:t>
      </w:r>
    </w:p>
    <w:p w14:paraId="6BCDBA45">
      <w:pPr>
        <w:pStyle w:val="16"/>
        <w:bidi w:val="0"/>
        <w:rPr>
          <w:rFonts w:hint="default"/>
        </w:rPr>
      </w:pPr>
    </w:p>
    <w:p w14:paraId="251211E9">
      <w:pPr>
        <w:adjustRightInd w:val="0"/>
        <w:snapToGrid w:val="0"/>
        <w:spacing w:before="192" w:beforeLines="80"/>
        <w:jc w:val="center"/>
        <w:rPr>
          <w:rFonts w:hint="default" w:ascii="Times New Roman" w:hAnsi="Times New Roman" w:eastAsia="宋体" w:cs="Times New Roman"/>
          <w:b w:val="0"/>
          <w:bCs/>
          <w:color w:val="auto"/>
          <w:sz w:val="48"/>
          <w:szCs w:val="48"/>
        </w:rPr>
      </w:pPr>
      <w:r>
        <w:rPr>
          <w:rFonts w:hint="default" w:ascii="Times New Roman" w:hAnsi="Times New Roman" w:eastAsia="宋体" w:cs="Times New Roman"/>
          <w:b w:val="0"/>
          <w:bCs/>
          <w:color w:val="auto"/>
          <w:sz w:val="48"/>
          <w:szCs w:val="48"/>
        </w:rPr>
        <w:t>（污染影响类）</w:t>
      </w:r>
    </w:p>
    <w:p w14:paraId="4E3ADA48">
      <w:pPr>
        <w:adjustRightInd w:val="0"/>
        <w:snapToGrid w:val="0"/>
        <w:spacing w:line="288" w:lineRule="auto"/>
        <w:jc w:val="center"/>
        <w:outlineLvl w:val="9"/>
        <w:rPr>
          <w:rFonts w:hint="default" w:ascii="Times New Roman" w:hAnsi="Times New Roman" w:eastAsia="宋体" w:cs="Times New Roman"/>
          <w:color w:val="auto"/>
          <w:kern w:val="44"/>
          <w:sz w:val="44"/>
          <w:szCs w:val="44"/>
        </w:rPr>
      </w:pPr>
    </w:p>
    <w:p w14:paraId="1D4722E3">
      <w:pPr>
        <w:jc w:val="center"/>
        <w:rPr>
          <w:rFonts w:hint="default" w:ascii="Times New Roman" w:hAnsi="Times New Roman" w:eastAsia="宋体" w:cs="Times New Roman"/>
          <w:color w:val="auto"/>
          <w:sz w:val="52"/>
          <w:szCs w:val="52"/>
        </w:rPr>
      </w:pPr>
    </w:p>
    <w:p w14:paraId="5C89A836">
      <w:pPr>
        <w:ind w:firstLine="1040"/>
        <w:rPr>
          <w:rFonts w:hint="eastAsia" w:ascii="Times New Roman" w:hAnsi="Times New Roman" w:eastAsia="宋体" w:cs="Times New Roman"/>
          <w:color w:val="auto"/>
          <w:sz w:val="44"/>
          <w:szCs w:val="44"/>
          <w:lang w:val="en-US" w:eastAsia="zh-CN"/>
        </w:rPr>
      </w:pPr>
    </w:p>
    <w:p w14:paraId="69A206C3">
      <w:pPr>
        <w:ind w:firstLine="1040"/>
        <w:rPr>
          <w:rFonts w:hint="default" w:ascii="Times New Roman" w:hAnsi="Times New Roman" w:eastAsia="宋体" w:cs="Times New Roman"/>
          <w:color w:val="auto"/>
          <w:sz w:val="44"/>
          <w:szCs w:val="44"/>
        </w:rPr>
      </w:pPr>
    </w:p>
    <w:p w14:paraId="083AA7A0">
      <w:pPr>
        <w:ind w:firstLine="1040"/>
        <w:rPr>
          <w:rFonts w:hint="default" w:ascii="Times New Roman" w:hAnsi="Times New Roman" w:eastAsia="宋体" w:cs="Times New Roman"/>
          <w:color w:val="auto"/>
          <w:sz w:val="44"/>
          <w:szCs w:val="44"/>
        </w:rPr>
      </w:pPr>
    </w:p>
    <w:p w14:paraId="49F478B6">
      <w:pPr>
        <w:keepNext w:val="0"/>
        <w:keepLines w:val="0"/>
        <w:pageBreakBefore w:val="0"/>
        <w:widowControl w:val="0"/>
        <w:kinsoku/>
        <w:wordWrap/>
        <w:overflowPunct/>
        <w:topLinePunct w:val="0"/>
        <w:autoSpaceDE/>
        <w:autoSpaceDN/>
        <w:bidi w:val="0"/>
        <w:adjustRightInd w:val="0"/>
        <w:snapToGrid w:val="0"/>
        <w:spacing w:line="288" w:lineRule="auto"/>
        <w:ind w:left="2159" w:leftChars="171" w:hanging="1800" w:hangingChars="500"/>
        <w:textAlignment w:val="auto"/>
        <w:rPr>
          <w:rFonts w:hint="default" w:ascii="Times New Roman" w:hAnsi="Times New Roman" w:eastAsia="宋体" w:cs="Times New Roman"/>
          <w:color w:val="auto"/>
          <w:sz w:val="36"/>
          <w:szCs w:val="36"/>
          <w:lang w:eastAsia="zh-CN"/>
        </w:rPr>
      </w:pPr>
    </w:p>
    <w:p w14:paraId="4B0205CA">
      <w:pPr>
        <w:keepNext w:val="0"/>
        <w:keepLines w:val="0"/>
        <w:pageBreakBefore w:val="0"/>
        <w:widowControl w:val="0"/>
        <w:kinsoku/>
        <w:wordWrap/>
        <w:overflowPunct/>
        <w:topLinePunct w:val="0"/>
        <w:autoSpaceDE/>
        <w:autoSpaceDN/>
        <w:bidi w:val="0"/>
        <w:adjustRightInd w:val="0"/>
        <w:snapToGrid w:val="0"/>
        <w:spacing w:line="288" w:lineRule="auto"/>
        <w:ind w:left="2159" w:leftChars="171" w:hanging="1800" w:hangingChars="500"/>
        <w:textAlignment w:val="auto"/>
        <w:rPr>
          <w:rFonts w:hint="default" w:ascii="Times New Roman" w:hAnsi="Times New Roman" w:eastAsia="宋体" w:cs="Times New Roman"/>
          <w:color w:val="auto"/>
          <w:sz w:val="36"/>
          <w:szCs w:val="36"/>
          <w:u w:val="single"/>
          <w:lang w:val="en-US" w:eastAsia="zh-CN"/>
        </w:rPr>
      </w:pPr>
      <w:r>
        <w:rPr>
          <w:rFonts w:hint="default" w:ascii="Times New Roman" w:hAnsi="Times New Roman" w:eastAsia="宋体" w:cs="Times New Roman"/>
          <w:color w:val="auto"/>
          <w:sz w:val="36"/>
          <w:szCs w:val="36"/>
          <w:lang w:eastAsia="zh-CN"/>
        </w:rPr>
        <w:t>项目</w:t>
      </w:r>
      <w:r>
        <w:rPr>
          <w:rFonts w:hint="default" w:ascii="Times New Roman" w:hAnsi="Times New Roman" w:eastAsia="宋体" w:cs="Times New Roman"/>
          <w:color w:val="auto"/>
          <w:sz w:val="36"/>
          <w:szCs w:val="36"/>
          <w:u w:val="none"/>
          <w:lang w:eastAsia="zh-CN"/>
        </w:rPr>
        <w:t>名称：</w:t>
      </w:r>
      <w:r>
        <w:rPr>
          <w:rFonts w:hint="eastAsia" w:cs="Times New Roman"/>
          <w:color w:val="auto"/>
          <w:sz w:val="36"/>
          <w:szCs w:val="36"/>
          <w:highlight w:val="none"/>
          <w:u w:val="single"/>
          <w:lang w:val="en-US" w:eastAsia="zh-CN"/>
        </w:rPr>
        <w:t>瑞恒建材年产新型建筑材料35万立方米项目</w:t>
      </w:r>
    </w:p>
    <w:p w14:paraId="6F4F8EAB">
      <w:pPr>
        <w:keepNext w:val="0"/>
        <w:keepLines w:val="0"/>
        <w:pageBreakBefore w:val="0"/>
        <w:widowControl w:val="0"/>
        <w:kinsoku/>
        <w:wordWrap/>
        <w:overflowPunct/>
        <w:topLinePunct w:val="0"/>
        <w:autoSpaceDE/>
        <w:autoSpaceDN/>
        <w:bidi w:val="0"/>
        <w:adjustRightInd w:val="0"/>
        <w:snapToGrid w:val="0"/>
        <w:spacing w:line="288" w:lineRule="auto"/>
        <w:ind w:firstLine="360" w:firstLineChars="100"/>
        <w:textAlignment w:val="auto"/>
        <w:rPr>
          <w:rFonts w:hint="default" w:ascii="Times New Roman" w:hAnsi="Times New Roman" w:eastAsia="宋体" w:cs="Times New Roman"/>
          <w:color w:val="auto"/>
          <w:sz w:val="36"/>
          <w:szCs w:val="36"/>
          <w:u w:val="single"/>
          <w:lang w:val="en-US" w:eastAsia="zh-CN"/>
        </w:rPr>
      </w:pPr>
      <w:r>
        <w:rPr>
          <w:rFonts w:hint="default" w:ascii="Times New Roman" w:hAnsi="Times New Roman" w:eastAsia="宋体" w:cs="Times New Roman"/>
          <w:color w:val="auto"/>
          <w:sz w:val="36"/>
          <w:szCs w:val="36"/>
        </w:rPr>
        <w:t>建设单位（盖章）：</w:t>
      </w:r>
      <w:r>
        <w:rPr>
          <w:rFonts w:hint="default" w:ascii="Times New Roman" w:hAnsi="Times New Roman" w:eastAsia="宋体" w:cs="Times New Roman"/>
          <w:color w:val="auto"/>
          <w:sz w:val="36"/>
          <w:szCs w:val="36"/>
          <w:u w:val="single"/>
          <w:lang w:val="en-US" w:eastAsia="zh-CN"/>
        </w:rPr>
        <w:t>福州瑞恒新型建材科技有限公司</w:t>
      </w:r>
      <w:r>
        <w:rPr>
          <w:rFonts w:hint="eastAsia" w:cs="Times New Roman"/>
          <w:color w:val="auto"/>
          <w:sz w:val="36"/>
          <w:szCs w:val="36"/>
          <w:u w:val="single"/>
          <w:lang w:val="en-US" w:eastAsia="zh-CN"/>
        </w:rPr>
        <w:t xml:space="preserve">   </w:t>
      </w:r>
    </w:p>
    <w:p w14:paraId="49910B1B">
      <w:pPr>
        <w:keepNext w:val="0"/>
        <w:keepLines w:val="0"/>
        <w:pageBreakBefore w:val="0"/>
        <w:widowControl w:val="0"/>
        <w:kinsoku/>
        <w:wordWrap/>
        <w:overflowPunct/>
        <w:topLinePunct w:val="0"/>
        <w:autoSpaceDE/>
        <w:autoSpaceDN/>
        <w:bidi w:val="0"/>
        <w:adjustRightInd w:val="0"/>
        <w:snapToGrid w:val="0"/>
        <w:spacing w:line="288" w:lineRule="auto"/>
        <w:ind w:firstLine="360" w:firstLineChars="100"/>
        <w:textAlignment w:val="auto"/>
        <w:rPr>
          <w:rFonts w:hint="default" w:ascii="Times New Roman" w:hAnsi="Times New Roman" w:eastAsia="宋体" w:cs="Times New Roman"/>
          <w:color w:val="auto"/>
          <w:sz w:val="36"/>
          <w:szCs w:val="36"/>
          <w:u w:val="single"/>
          <w:lang w:val="en-US" w:eastAsia="zh-CN"/>
        </w:rPr>
      </w:pPr>
      <w:r>
        <w:rPr>
          <w:rFonts w:hint="default" w:ascii="Times New Roman" w:hAnsi="Times New Roman" w:eastAsia="宋体" w:cs="Times New Roman"/>
          <w:color w:val="auto"/>
          <w:sz w:val="36"/>
          <w:szCs w:val="36"/>
        </w:rPr>
        <w:t>编制日期：</w:t>
      </w:r>
      <w:r>
        <w:rPr>
          <w:rFonts w:hint="eastAsia" w:ascii="Times New Roman" w:hAnsi="Times New Roman" w:eastAsia="宋体" w:cs="Times New Roman"/>
          <w:color w:val="auto"/>
          <w:sz w:val="36"/>
          <w:szCs w:val="36"/>
          <w:highlight w:val="none"/>
          <w:u w:val="single"/>
          <w:lang w:val="en-US" w:eastAsia="zh-CN"/>
        </w:rPr>
        <w:t xml:space="preserve">               2</w:t>
      </w:r>
      <w:r>
        <w:rPr>
          <w:rFonts w:hint="default" w:ascii="Times New Roman" w:hAnsi="Times New Roman" w:eastAsia="宋体" w:cs="Times New Roman"/>
          <w:color w:val="auto"/>
          <w:sz w:val="36"/>
          <w:szCs w:val="36"/>
          <w:highlight w:val="none"/>
          <w:u w:val="single"/>
          <w:lang w:val="en-US" w:eastAsia="zh-CN"/>
        </w:rPr>
        <w:t>0</w:t>
      </w:r>
      <w:r>
        <w:rPr>
          <w:rFonts w:hint="eastAsia" w:ascii="Times New Roman" w:hAnsi="Times New Roman" w:eastAsia="宋体" w:cs="Times New Roman"/>
          <w:color w:val="auto"/>
          <w:sz w:val="36"/>
          <w:szCs w:val="36"/>
          <w:highlight w:val="none"/>
          <w:u w:val="single"/>
          <w:lang w:val="en-US" w:eastAsia="zh-CN"/>
        </w:rPr>
        <w:t>25</w:t>
      </w:r>
      <w:r>
        <w:rPr>
          <w:rFonts w:hint="default" w:ascii="Times New Roman" w:hAnsi="Times New Roman" w:eastAsia="宋体" w:cs="Times New Roman"/>
          <w:color w:val="auto"/>
          <w:sz w:val="36"/>
          <w:szCs w:val="36"/>
          <w:highlight w:val="none"/>
          <w:u w:val="single"/>
          <w:lang w:val="en-US" w:eastAsia="zh-CN"/>
        </w:rPr>
        <w:t>年</w:t>
      </w:r>
      <w:r>
        <w:rPr>
          <w:rFonts w:hint="eastAsia" w:cs="Times New Roman"/>
          <w:color w:val="auto"/>
          <w:sz w:val="36"/>
          <w:szCs w:val="36"/>
          <w:highlight w:val="none"/>
          <w:u w:val="single"/>
          <w:lang w:val="en-US" w:eastAsia="zh-CN"/>
        </w:rPr>
        <w:t>9</w:t>
      </w:r>
      <w:r>
        <w:rPr>
          <w:rFonts w:hint="default" w:ascii="Times New Roman" w:hAnsi="Times New Roman" w:eastAsia="宋体" w:cs="Times New Roman"/>
          <w:color w:val="auto"/>
          <w:sz w:val="36"/>
          <w:szCs w:val="36"/>
          <w:highlight w:val="none"/>
          <w:u w:val="single"/>
          <w:lang w:val="en-US" w:eastAsia="zh-CN"/>
        </w:rPr>
        <w:t>月</w:t>
      </w:r>
      <w:r>
        <w:rPr>
          <w:rFonts w:hint="eastAsia" w:ascii="Times New Roman" w:hAnsi="Times New Roman" w:eastAsia="宋体" w:cs="Times New Roman"/>
          <w:color w:val="auto"/>
          <w:sz w:val="36"/>
          <w:szCs w:val="36"/>
          <w:highlight w:val="none"/>
          <w:u w:val="single"/>
          <w:lang w:val="en-US" w:eastAsia="zh-CN"/>
        </w:rPr>
        <w:t xml:space="preserve">        </w:t>
      </w:r>
      <w:r>
        <w:rPr>
          <w:rFonts w:hint="default" w:ascii="Times New Roman" w:hAnsi="Times New Roman" w:eastAsia="宋体" w:cs="Times New Roman"/>
          <w:color w:val="auto"/>
          <w:sz w:val="36"/>
          <w:szCs w:val="36"/>
          <w:u w:val="single"/>
        </w:rPr>
        <w:t xml:space="preserve">  </w:t>
      </w:r>
      <w:r>
        <w:rPr>
          <w:rFonts w:hint="eastAsia" w:cs="Times New Roman"/>
          <w:color w:val="auto"/>
          <w:sz w:val="36"/>
          <w:szCs w:val="36"/>
          <w:u w:val="single"/>
          <w:lang w:val="en-US" w:eastAsia="zh-CN"/>
        </w:rPr>
        <w:t xml:space="preserve">   </w:t>
      </w:r>
    </w:p>
    <w:p w14:paraId="2E39AD87">
      <w:pPr>
        <w:adjustRightInd w:val="0"/>
        <w:snapToGrid w:val="0"/>
        <w:spacing w:line="288" w:lineRule="auto"/>
        <w:ind w:firstLine="1040"/>
        <w:rPr>
          <w:rFonts w:hint="default" w:ascii="Times New Roman" w:hAnsi="Times New Roman" w:eastAsia="宋体" w:cs="Times New Roman"/>
          <w:color w:val="auto"/>
          <w:sz w:val="36"/>
          <w:szCs w:val="36"/>
          <w:u w:val="single"/>
        </w:rPr>
      </w:pPr>
      <w:bookmarkStart w:id="0" w:name="_Hlk57884087"/>
    </w:p>
    <w:p w14:paraId="3E46DAC3">
      <w:pPr>
        <w:adjustRightInd w:val="0"/>
        <w:snapToGrid w:val="0"/>
        <w:spacing w:line="288" w:lineRule="auto"/>
        <w:ind w:firstLine="1040"/>
        <w:rPr>
          <w:rFonts w:hint="default" w:ascii="Times New Roman" w:hAnsi="Times New Roman" w:eastAsia="宋体" w:cs="Times New Roman"/>
          <w:color w:val="auto"/>
          <w:sz w:val="36"/>
          <w:szCs w:val="36"/>
        </w:rPr>
      </w:pPr>
    </w:p>
    <w:p w14:paraId="45C9FAB8">
      <w:pPr>
        <w:adjustRightInd w:val="0"/>
        <w:snapToGrid w:val="0"/>
        <w:spacing w:line="288" w:lineRule="auto"/>
        <w:ind w:firstLine="1040"/>
        <w:rPr>
          <w:rFonts w:hint="default" w:ascii="Times New Roman" w:hAnsi="Times New Roman" w:eastAsia="宋体" w:cs="Times New Roman"/>
          <w:color w:val="auto"/>
          <w:sz w:val="36"/>
          <w:szCs w:val="36"/>
        </w:rPr>
      </w:pPr>
    </w:p>
    <w:p w14:paraId="445B5464">
      <w:pPr>
        <w:pStyle w:val="15"/>
        <w:rPr>
          <w:rFonts w:hint="default" w:ascii="Times New Roman" w:hAnsi="Times New Roman" w:eastAsia="宋体"/>
          <w:color w:val="auto"/>
        </w:rPr>
      </w:pPr>
    </w:p>
    <w:p w14:paraId="6166E91B">
      <w:pPr>
        <w:adjustRightInd w:val="0"/>
        <w:snapToGrid w:val="0"/>
        <w:spacing w:line="288" w:lineRule="auto"/>
        <w:ind w:firstLine="1040"/>
        <w:rPr>
          <w:rFonts w:hint="default" w:ascii="Times New Roman" w:hAnsi="Times New Roman" w:eastAsia="宋体" w:cs="Times New Roman"/>
          <w:color w:val="auto"/>
          <w:sz w:val="36"/>
          <w:szCs w:val="36"/>
        </w:rPr>
      </w:pPr>
    </w:p>
    <w:bookmarkEnd w:id="0"/>
    <w:p w14:paraId="79D0CF8C">
      <w:pPr>
        <w:adjustRightInd w:val="0"/>
        <w:snapToGrid w:val="0"/>
        <w:spacing w:line="288" w:lineRule="auto"/>
        <w:jc w:val="center"/>
        <w:rPr>
          <w:rFonts w:hint="default" w:ascii="Times New Roman" w:hAnsi="Times New Roman" w:eastAsia="宋体" w:cs="Times New Roman"/>
          <w:color w:val="auto"/>
          <w:sz w:val="36"/>
          <w:szCs w:val="36"/>
        </w:rPr>
      </w:pPr>
      <w:r>
        <w:rPr>
          <w:rFonts w:hint="default" w:ascii="Times New Roman" w:hAnsi="Times New Roman" w:eastAsia="宋体" w:cs="Times New Roman"/>
          <w:color w:val="auto"/>
          <w:sz w:val="36"/>
          <w:szCs w:val="36"/>
        </w:rPr>
        <w:t>中华人民共和国生态环境部制</w:t>
      </w:r>
    </w:p>
    <w:p w14:paraId="424C1B70">
      <w:pPr>
        <w:adjustRightInd w:val="0"/>
        <w:snapToGrid w:val="0"/>
        <w:spacing w:line="288" w:lineRule="auto"/>
        <w:jc w:val="center"/>
        <w:rPr>
          <w:rFonts w:hint="eastAsia" w:ascii="Times New Roman" w:hAnsi="Times New Roman" w:eastAsia="宋体" w:cs="Times New Roman"/>
          <w:color w:val="auto"/>
          <w:sz w:val="36"/>
          <w:szCs w:val="36"/>
          <w:lang w:eastAsia="zh-CN"/>
        </w:rPr>
      </w:pPr>
    </w:p>
    <w:p w14:paraId="58286797">
      <w:pPr>
        <w:adjustRightInd w:val="0"/>
        <w:snapToGrid w:val="0"/>
        <w:spacing w:line="288" w:lineRule="auto"/>
        <w:ind w:firstLine="1040"/>
        <w:rPr>
          <w:rFonts w:hint="default" w:ascii="Times New Roman" w:hAnsi="Times New Roman" w:eastAsia="宋体" w:cs="Times New Roman"/>
          <w:color w:val="auto"/>
          <w:sz w:val="36"/>
          <w:szCs w:val="36"/>
        </w:rPr>
      </w:pPr>
    </w:p>
    <w:p w14:paraId="2EC953D7">
      <w:pPr>
        <w:rPr>
          <w:rFonts w:ascii="宋体" w:hAnsi="宋体" w:eastAsia="宋体" w:cs="Times New Roman"/>
          <w:kern w:val="2"/>
          <w:sz w:val="21"/>
          <w:szCs w:val="24"/>
          <w:lang w:val="en-US" w:eastAsia="zh-CN" w:bidi="ar-SA"/>
        </w:rPr>
      </w:pPr>
      <w:bookmarkStart w:id="1" w:name="_Toc3548"/>
      <w:bookmarkStart w:id="2" w:name="_Toc19820"/>
      <w:bookmarkStart w:id="3" w:name="_Toc26120"/>
      <w:bookmarkStart w:id="4" w:name="_Toc15935"/>
    </w:p>
    <w:p w14:paraId="4C0F94AE">
      <w:pPr>
        <w:rPr>
          <w:rFonts w:ascii="宋体" w:hAnsi="宋体" w:eastAsia="宋体" w:cs="Times New Roman"/>
          <w:kern w:val="2"/>
          <w:sz w:val="21"/>
          <w:szCs w:val="24"/>
          <w:lang w:val="en-US" w:eastAsia="zh-CN" w:bidi="ar-SA"/>
        </w:rPr>
      </w:pPr>
    </w:p>
    <w:p w14:paraId="543162BC">
      <w:pPr>
        <w:pStyle w:val="2"/>
        <w:tabs>
          <w:tab w:val="left" w:pos="0"/>
          <w:tab w:val="clear" w:pos="420"/>
        </w:tabs>
        <w:bidi w:val="0"/>
        <w:spacing w:before="0" w:after="0" w:line="360" w:lineRule="auto"/>
        <w:ind w:left="432" w:leftChars="0" w:hanging="432" w:firstLineChars="0"/>
        <w:rPr>
          <w:rFonts w:ascii="Times New Roman" w:hAnsi="Times New Roman" w:eastAsia="宋体" w:cs="Times New Roman"/>
          <w:b/>
          <w:color w:val="000000" w:themeColor="text1"/>
          <w:highlight w:val="none"/>
          <w14:textFill>
            <w14:solidFill>
              <w14:schemeClr w14:val="tx1"/>
            </w14:solidFill>
          </w14:textFill>
        </w:rPr>
        <w:sectPr>
          <w:headerReference r:id="rId3" w:type="default"/>
          <w:footerReference r:id="rId4" w:type="default"/>
          <w:pgSz w:w="11905" w:h="16838"/>
          <w:pgMar w:top="1417" w:right="1417" w:bottom="1417" w:left="1417" w:header="851" w:footer="1077" w:gutter="0"/>
          <w:pgBorders>
            <w:top w:val="none" w:sz="0" w:space="0"/>
            <w:left w:val="none" w:sz="0" w:space="0"/>
            <w:bottom w:val="none" w:sz="0" w:space="0"/>
            <w:right w:val="none" w:sz="0" w:space="0"/>
          </w:pgBorders>
          <w:pgNumType w:fmt="numberInDash" w:start="1"/>
          <w:cols w:space="0" w:num="1"/>
          <w:docGrid w:linePitch="312" w:charSpace="0"/>
        </w:sectPr>
      </w:pPr>
    </w:p>
    <w:p w14:paraId="1C3B3C19">
      <w:pPr>
        <w:pStyle w:val="2"/>
        <w:tabs>
          <w:tab w:val="left" w:pos="0"/>
          <w:tab w:val="clear" w:pos="420"/>
        </w:tabs>
        <w:bidi w:val="0"/>
        <w:spacing w:before="0" w:after="0" w:line="360" w:lineRule="auto"/>
        <w:ind w:left="432" w:leftChars="0" w:hanging="432" w:firstLineChars="0"/>
        <w:rPr>
          <w:rFonts w:ascii="Times New Roman" w:hAnsi="Times New Roman" w:eastAsia="宋体" w:cs="Times New Roman"/>
          <w:b/>
          <w:color w:val="000000" w:themeColor="text1"/>
          <w:highlight w:val="none"/>
          <w14:textFill>
            <w14:solidFill>
              <w14:schemeClr w14:val="tx1"/>
            </w14:solidFill>
          </w14:textFill>
        </w:rPr>
      </w:pPr>
      <w:bookmarkStart w:id="5" w:name="_Toc12556"/>
      <w:r>
        <w:rPr>
          <w:rFonts w:hint="eastAsia" w:cs="Times New Roman"/>
          <w:b/>
          <w:color w:val="000000" w:themeColor="text1"/>
          <w:highlight w:val="none"/>
          <w:lang w:val="en-US" w:eastAsia="zh-CN"/>
          <w14:textFill>
            <w14:solidFill>
              <w14:schemeClr w14:val="tx1"/>
            </w14:solidFill>
          </w14:textFill>
        </w:rPr>
        <w:t xml:space="preserve"> </w:t>
      </w:r>
      <w:r>
        <w:rPr>
          <w:rFonts w:hint="eastAsia" w:ascii="Times New Roman" w:hAnsi="Times New Roman" w:eastAsia="宋体" w:cs="Times New Roman"/>
          <w:b/>
          <w:color w:val="000000" w:themeColor="text1"/>
          <w:highlight w:val="none"/>
          <w14:textFill>
            <w14:solidFill>
              <w14:schemeClr w14:val="tx1"/>
            </w14:solidFill>
          </w14:textFill>
        </w:rPr>
        <w:t>建设项目基本情况</w:t>
      </w:r>
      <w:bookmarkEnd w:id="1"/>
      <w:bookmarkEnd w:id="2"/>
      <w:bookmarkEnd w:id="3"/>
      <w:bookmarkEnd w:id="4"/>
      <w:bookmarkEnd w:id="5"/>
    </w:p>
    <w:tbl>
      <w:tblPr>
        <w:tblStyle w:val="32"/>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368"/>
        <w:gridCol w:w="2741"/>
        <w:gridCol w:w="1747"/>
        <w:gridCol w:w="3014"/>
      </w:tblGrid>
      <w:tr w14:paraId="4F587F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31" w:type="dxa"/>
            <w:tcMar>
              <w:top w:w="16" w:type="dxa"/>
              <w:left w:w="16" w:type="dxa"/>
              <w:right w:w="16" w:type="dxa"/>
            </w:tcMar>
            <w:vAlign w:val="center"/>
          </w:tcPr>
          <w:p w14:paraId="79238DD5">
            <w:pPr>
              <w:adjustRightInd w:val="0"/>
              <w:snapToGrid w:val="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项目名称</w:t>
            </w:r>
          </w:p>
        </w:tc>
        <w:tc>
          <w:tcPr>
            <w:tcW w:w="7239" w:type="dxa"/>
            <w:gridSpan w:val="3"/>
            <w:vAlign w:val="center"/>
          </w:tcPr>
          <w:p w14:paraId="7AC1BDD4">
            <w:pPr>
              <w:adjustRightInd w:val="0"/>
              <w:snapToGrid w:val="0"/>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瑞恒建材年产新型建筑材料35万立方米项目</w:t>
            </w:r>
          </w:p>
        </w:tc>
      </w:tr>
      <w:tr w14:paraId="3CA582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31" w:type="dxa"/>
            <w:tcMar>
              <w:top w:w="16" w:type="dxa"/>
              <w:left w:w="16" w:type="dxa"/>
              <w:right w:w="16" w:type="dxa"/>
            </w:tcMar>
            <w:vAlign w:val="center"/>
          </w:tcPr>
          <w:p w14:paraId="5AFB0B93">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项目代码</w:t>
            </w:r>
          </w:p>
        </w:tc>
        <w:tc>
          <w:tcPr>
            <w:tcW w:w="7239" w:type="dxa"/>
            <w:gridSpan w:val="3"/>
            <w:vAlign w:val="center"/>
          </w:tcPr>
          <w:p w14:paraId="78CE8BCD">
            <w:pPr>
              <w:adjustRightInd w:val="0"/>
              <w:snapToGrid w:val="0"/>
              <w:jc w:val="center"/>
              <w:rPr>
                <w:rFonts w:hint="default" w:eastAsia="宋体"/>
                <w:color w:val="000000" w:themeColor="text1"/>
                <w:szCs w:val="21"/>
                <w:highlight w:val="none"/>
                <w:lang w:val="en-US" w:eastAsia="zh-CN"/>
                <w14:textFill>
                  <w14:solidFill>
                    <w14:schemeClr w14:val="tx1"/>
                  </w14:solidFill>
                </w14:textFill>
              </w:rPr>
            </w:pPr>
            <w:r>
              <w:rPr>
                <w:rFonts w:hint="default" w:eastAsia="宋体"/>
                <w:color w:val="000000" w:themeColor="text1"/>
                <w:szCs w:val="21"/>
                <w:highlight w:val="none"/>
                <w:shd w:val="clear"/>
                <w:lang w:val="en-US" w:eastAsia="zh-CN"/>
                <w14:textFill>
                  <w14:solidFill>
                    <w14:schemeClr w14:val="tx1"/>
                  </w14:solidFill>
                </w14:textFill>
              </w:rPr>
              <w:t>2509-350124-07-01-393851</w:t>
            </w:r>
          </w:p>
        </w:tc>
      </w:tr>
      <w:tr w14:paraId="05C1C8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31" w:type="dxa"/>
            <w:tcMar>
              <w:top w:w="16" w:type="dxa"/>
              <w:left w:w="16" w:type="dxa"/>
              <w:right w:w="16" w:type="dxa"/>
            </w:tcMar>
            <w:vAlign w:val="center"/>
          </w:tcPr>
          <w:p w14:paraId="34AF8169">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建设单位联系人</w:t>
            </w:r>
          </w:p>
        </w:tc>
        <w:tc>
          <w:tcPr>
            <w:tcW w:w="2808" w:type="dxa"/>
            <w:vAlign w:val="center"/>
          </w:tcPr>
          <w:p w14:paraId="2FE6ADC2">
            <w:pPr>
              <w:adjustRightInd w:val="0"/>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吴**</w:t>
            </w:r>
          </w:p>
        </w:tc>
        <w:tc>
          <w:tcPr>
            <w:tcW w:w="1711" w:type="dxa"/>
            <w:vAlign w:val="center"/>
          </w:tcPr>
          <w:p w14:paraId="2792C4A5">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联系方式</w:t>
            </w:r>
          </w:p>
        </w:tc>
        <w:tc>
          <w:tcPr>
            <w:tcW w:w="2720" w:type="dxa"/>
            <w:vAlign w:val="center"/>
          </w:tcPr>
          <w:p w14:paraId="448D7CE1">
            <w:pPr>
              <w:adjustRightInd w:val="0"/>
              <w:snapToGrid w:val="0"/>
              <w:jc w:val="center"/>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szCs w:val="21"/>
                <w:lang w:val="en-US" w:eastAsia="zh-CN"/>
              </w:rPr>
              <w:t>157</w:t>
            </w:r>
            <w:r>
              <w:rPr>
                <w:rFonts w:hint="eastAsia" w:cs="Times New Roman"/>
                <w:color w:val="000000"/>
                <w:szCs w:val="21"/>
                <w:lang w:val="en-US" w:eastAsia="zh-CN"/>
              </w:rPr>
              <w:t>******</w:t>
            </w:r>
            <w:r>
              <w:rPr>
                <w:rFonts w:hint="eastAsia" w:ascii="Times New Roman" w:hAnsi="Times New Roman" w:eastAsia="宋体" w:cs="Times New Roman"/>
                <w:color w:val="000000"/>
                <w:szCs w:val="21"/>
                <w:lang w:val="en-US" w:eastAsia="zh-CN"/>
              </w:rPr>
              <w:t>588</w:t>
            </w:r>
          </w:p>
        </w:tc>
      </w:tr>
      <w:tr w14:paraId="66F93B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31" w:type="dxa"/>
            <w:tcMar>
              <w:top w:w="16" w:type="dxa"/>
              <w:left w:w="16" w:type="dxa"/>
              <w:right w:w="16" w:type="dxa"/>
            </w:tcMar>
            <w:vAlign w:val="center"/>
          </w:tcPr>
          <w:p w14:paraId="6834C13B">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建设地点</w:t>
            </w:r>
          </w:p>
        </w:tc>
        <w:tc>
          <w:tcPr>
            <w:tcW w:w="7239" w:type="dxa"/>
            <w:gridSpan w:val="3"/>
            <w:vAlign w:val="center"/>
          </w:tcPr>
          <w:p w14:paraId="4845631B">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福建省福州市闽清县池园镇丽山村丽山498号</w:t>
            </w:r>
          </w:p>
        </w:tc>
      </w:tr>
      <w:tr w14:paraId="6B2D92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31" w:type="dxa"/>
            <w:tcMar>
              <w:top w:w="16" w:type="dxa"/>
              <w:left w:w="16" w:type="dxa"/>
              <w:right w:w="16" w:type="dxa"/>
            </w:tcMar>
            <w:vAlign w:val="center"/>
          </w:tcPr>
          <w:p w14:paraId="2BEA5FA8">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地理坐标</w:t>
            </w:r>
          </w:p>
        </w:tc>
        <w:tc>
          <w:tcPr>
            <w:tcW w:w="7239" w:type="dxa"/>
            <w:gridSpan w:val="3"/>
            <w:vAlign w:val="center"/>
          </w:tcPr>
          <w:p w14:paraId="54B2CD72">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w:t>
            </w:r>
            <w:r>
              <w:rPr>
                <w:rFonts w:hint="eastAsia"/>
                <w:color w:val="000000" w:themeColor="text1"/>
                <w:szCs w:val="21"/>
                <w:highlight w:val="none"/>
                <w:u w:val="single"/>
                <w:lang w:val="en-US" w:eastAsia="zh-CN"/>
                <w14:textFill>
                  <w14:solidFill>
                    <w14:schemeClr w14:val="tx1"/>
                  </w14:solidFill>
                </w14:textFill>
              </w:rPr>
              <w:t>118</w:t>
            </w:r>
            <w:r>
              <w:rPr>
                <w:color w:val="000000" w:themeColor="text1"/>
                <w:szCs w:val="21"/>
                <w:highlight w:val="none"/>
                <w14:textFill>
                  <w14:solidFill>
                    <w14:schemeClr w14:val="tx1"/>
                  </w14:solidFill>
                </w14:textFill>
              </w:rPr>
              <w:t>度</w:t>
            </w:r>
            <w:r>
              <w:rPr>
                <w:rFonts w:hint="eastAsia"/>
                <w:color w:val="000000" w:themeColor="text1"/>
                <w:szCs w:val="21"/>
                <w:highlight w:val="none"/>
                <w:u w:val="single"/>
                <w:lang w:val="en-US" w:eastAsia="zh-CN"/>
                <w14:textFill>
                  <w14:solidFill>
                    <w14:schemeClr w14:val="tx1"/>
                  </w14:solidFill>
                </w14:textFill>
              </w:rPr>
              <w:t>40</w:t>
            </w:r>
            <w:r>
              <w:rPr>
                <w:color w:val="000000" w:themeColor="text1"/>
                <w:szCs w:val="21"/>
                <w:highlight w:val="none"/>
                <w14:textFill>
                  <w14:solidFill>
                    <w14:schemeClr w14:val="tx1"/>
                  </w14:solidFill>
                </w14:textFill>
              </w:rPr>
              <w:t>分</w:t>
            </w:r>
            <w:r>
              <w:rPr>
                <w:rFonts w:hint="eastAsia"/>
                <w:color w:val="000000" w:themeColor="text1"/>
                <w:szCs w:val="21"/>
                <w:highlight w:val="none"/>
                <w:u w:val="single"/>
                <w:lang w:val="en-US" w:eastAsia="zh-CN"/>
                <w14:textFill>
                  <w14:solidFill>
                    <w14:schemeClr w14:val="tx1"/>
                  </w14:solidFill>
                </w14:textFill>
              </w:rPr>
              <w:t>50.916</w:t>
            </w:r>
            <w:r>
              <w:rPr>
                <w:color w:val="000000" w:themeColor="text1"/>
                <w:szCs w:val="21"/>
                <w:highlight w:val="none"/>
                <w14:textFill>
                  <w14:solidFill>
                    <w14:schemeClr w14:val="tx1"/>
                  </w14:solidFill>
                </w14:textFill>
              </w:rPr>
              <w:t>秒，</w:t>
            </w:r>
            <w:r>
              <w:rPr>
                <w:color w:val="000000" w:themeColor="text1"/>
                <w:szCs w:val="21"/>
                <w:highlight w:val="none"/>
                <w:u w:val="single"/>
                <w14:textFill>
                  <w14:solidFill>
                    <w14:schemeClr w14:val="tx1"/>
                  </w14:solidFill>
                </w14:textFill>
              </w:rPr>
              <w:t>2</w:t>
            </w:r>
            <w:r>
              <w:rPr>
                <w:rFonts w:hint="eastAsia"/>
                <w:color w:val="000000" w:themeColor="text1"/>
                <w:szCs w:val="21"/>
                <w:highlight w:val="none"/>
                <w:u w:val="single"/>
                <w:lang w:val="en-US" w:eastAsia="zh-CN"/>
                <w14:textFill>
                  <w14:solidFill>
                    <w14:schemeClr w14:val="tx1"/>
                  </w14:solidFill>
                </w14:textFill>
              </w:rPr>
              <w:t>6</w:t>
            </w:r>
            <w:r>
              <w:rPr>
                <w:color w:val="000000" w:themeColor="text1"/>
                <w:szCs w:val="21"/>
                <w:highlight w:val="none"/>
                <w14:textFill>
                  <w14:solidFill>
                    <w14:schemeClr w14:val="tx1"/>
                  </w14:solidFill>
                </w14:textFill>
              </w:rPr>
              <w:t>度</w:t>
            </w:r>
            <w:r>
              <w:rPr>
                <w:rFonts w:hint="eastAsia"/>
                <w:color w:val="000000" w:themeColor="text1"/>
                <w:szCs w:val="21"/>
                <w:highlight w:val="none"/>
                <w:u w:val="single"/>
                <w:lang w:val="en-US" w:eastAsia="zh-CN"/>
                <w14:textFill>
                  <w14:solidFill>
                    <w14:schemeClr w14:val="tx1"/>
                  </w14:solidFill>
                </w14:textFill>
              </w:rPr>
              <w:t>5</w:t>
            </w:r>
            <w:r>
              <w:rPr>
                <w:color w:val="000000" w:themeColor="text1"/>
                <w:szCs w:val="21"/>
                <w:highlight w:val="none"/>
                <w14:textFill>
                  <w14:solidFill>
                    <w14:schemeClr w14:val="tx1"/>
                  </w14:solidFill>
                </w14:textFill>
              </w:rPr>
              <w:t>分</w:t>
            </w:r>
            <w:r>
              <w:rPr>
                <w:rFonts w:hint="eastAsia"/>
                <w:color w:val="000000" w:themeColor="text1"/>
                <w:szCs w:val="21"/>
                <w:highlight w:val="none"/>
                <w:u w:val="single"/>
                <w:lang w:val="en-US" w:eastAsia="zh-CN"/>
                <w14:textFill>
                  <w14:solidFill>
                    <w14:schemeClr w14:val="tx1"/>
                  </w14:solidFill>
                </w14:textFill>
              </w:rPr>
              <w:t>59.017</w:t>
            </w:r>
            <w:r>
              <w:rPr>
                <w:color w:val="000000" w:themeColor="text1"/>
                <w:szCs w:val="21"/>
                <w:highlight w:val="none"/>
                <w14:textFill>
                  <w14:solidFill>
                    <w14:schemeClr w14:val="tx1"/>
                  </w14:solidFill>
                </w14:textFill>
              </w:rPr>
              <w:t>秒）</w:t>
            </w:r>
          </w:p>
        </w:tc>
      </w:tr>
      <w:tr w14:paraId="1891CD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631" w:type="dxa"/>
            <w:tcMar>
              <w:top w:w="16" w:type="dxa"/>
              <w:left w:w="16" w:type="dxa"/>
              <w:right w:w="16" w:type="dxa"/>
            </w:tcMar>
            <w:vAlign w:val="center"/>
          </w:tcPr>
          <w:p w14:paraId="7DEBED3D">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国民经济</w:t>
            </w:r>
          </w:p>
          <w:p w14:paraId="76BF03E5">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行业类别</w:t>
            </w:r>
          </w:p>
        </w:tc>
        <w:tc>
          <w:tcPr>
            <w:tcW w:w="2808" w:type="dxa"/>
            <w:vAlign w:val="center"/>
          </w:tcPr>
          <w:p w14:paraId="2C5FACB7">
            <w:pPr>
              <w:pStyle w:val="44"/>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ascii="Times New Roman" w:hAnsi="Times New Roman"/>
                <w:color w:val="000000"/>
                <w:sz w:val="21"/>
                <w:szCs w:val="21"/>
              </w:rPr>
              <w:t>C3022砼结构构件制造</w:t>
            </w:r>
          </w:p>
        </w:tc>
        <w:tc>
          <w:tcPr>
            <w:tcW w:w="1711" w:type="dxa"/>
            <w:vAlign w:val="center"/>
          </w:tcPr>
          <w:p w14:paraId="0D0989B7">
            <w:pPr>
              <w:adjustRightInd w:val="0"/>
              <w:snapToGrid w:val="0"/>
              <w:jc w:val="center"/>
              <w:rPr>
                <w:color w:val="000000" w:themeColor="text1"/>
                <w:szCs w:val="21"/>
                <w:highlight w:val="none"/>
                <w14:textFill>
                  <w14:solidFill>
                    <w14:schemeClr w14:val="tx1"/>
                  </w14:solidFill>
                </w14:textFill>
              </w:rPr>
            </w:pPr>
            <w:bookmarkStart w:id="6" w:name="_Hlk49843745"/>
            <w:r>
              <w:rPr>
                <w:color w:val="000000" w:themeColor="text1"/>
                <w:szCs w:val="21"/>
                <w:highlight w:val="none"/>
                <w14:textFill>
                  <w14:solidFill>
                    <w14:schemeClr w14:val="tx1"/>
                  </w14:solidFill>
                </w14:textFill>
              </w:rPr>
              <w:t>建设项目</w:t>
            </w:r>
          </w:p>
          <w:p w14:paraId="673695F3">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行业类别</w:t>
            </w:r>
            <w:bookmarkEnd w:id="6"/>
          </w:p>
        </w:tc>
        <w:tc>
          <w:tcPr>
            <w:tcW w:w="2720" w:type="dxa"/>
            <w:vAlign w:val="center"/>
          </w:tcPr>
          <w:p w14:paraId="669CE695">
            <w:pPr>
              <w:pStyle w:val="44"/>
              <w:spacing w:line="240" w:lineRule="auto"/>
              <w:ind w:firstLine="0" w:firstLineChars="0"/>
              <w:rPr>
                <w:rFonts w:hint="default"/>
                <w:color w:val="000000" w:themeColor="text1"/>
                <w:sz w:val="21"/>
                <w:szCs w:val="21"/>
                <w:highlight w:val="none"/>
                <w:lang w:val="en-US"/>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二十七、非金属矿物制品业 30—55、商品混凝土；砼结构构件制造；水泥制品制造</w:t>
            </w:r>
          </w:p>
        </w:tc>
      </w:tr>
      <w:tr w14:paraId="27CF6B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631" w:type="dxa"/>
            <w:tcMar>
              <w:top w:w="16" w:type="dxa"/>
              <w:left w:w="16" w:type="dxa"/>
              <w:right w:w="16" w:type="dxa"/>
            </w:tcMar>
            <w:vAlign w:val="center"/>
          </w:tcPr>
          <w:p w14:paraId="1E8914F7">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建设性质</w:t>
            </w:r>
          </w:p>
        </w:tc>
        <w:tc>
          <w:tcPr>
            <w:tcW w:w="2808" w:type="dxa"/>
            <w:vAlign w:val="center"/>
          </w:tcPr>
          <w:p w14:paraId="1AF7A25E">
            <w:pPr>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sym w:font="Wingdings 2" w:char="00A3"/>
            </w:r>
            <w:r>
              <w:rPr>
                <w:color w:val="000000" w:themeColor="text1"/>
                <w:szCs w:val="21"/>
                <w:highlight w:val="none"/>
                <w14:textFill>
                  <w14:solidFill>
                    <w14:schemeClr w14:val="tx1"/>
                  </w14:solidFill>
                </w14:textFill>
              </w:rPr>
              <w:t>新建（迁建）</w:t>
            </w:r>
          </w:p>
          <w:p w14:paraId="43F96036">
            <w:pPr>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sym w:font="Wingdings 2" w:char="00A3"/>
            </w:r>
            <w:r>
              <w:rPr>
                <w:color w:val="000000" w:themeColor="text1"/>
                <w:szCs w:val="21"/>
                <w:highlight w:val="none"/>
                <w14:textFill>
                  <w14:solidFill>
                    <w14:schemeClr w14:val="tx1"/>
                  </w14:solidFill>
                </w14:textFill>
              </w:rPr>
              <w:t>改建</w:t>
            </w:r>
          </w:p>
          <w:p w14:paraId="3E8DC9D0">
            <w:pPr>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sym w:font="Wingdings 2" w:char="0052"/>
            </w:r>
            <w:r>
              <w:rPr>
                <w:color w:val="000000" w:themeColor="text1"/>
                <w:szCs w:val="21"/>
                <w:highlight w:val="none"/>
                <w14:textFill>
                  <w14:solidFill>
                    <w14:schemeClr w14:val="tx1"/>
                  </w14:solidFill>
                </w14:textFill>
              </w:rPr>
              <w:t>扩建</w:t>
            </w:r>
          </w:p>
          <w:p w14:paraId="47BC1C16">
            <w:pPr>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sym w:font="Wingdings 2" w:char="00A3"/>
            </w:r>
            <w:r>
              <w:rPr>
                <w:color w:val="000000" w:themeColor="text1"/>
                <w:szCs w:val="21"/>
                <w:highlight w:val="none"/>
                <w14:textFill>
                  <w14:solidFill>
                    <w14:schemeClr w14:val="tx1"/>
                  </w14:solidFill>
                </w14:textFill>
              </w:rPr>
              <w:t>技术改造</w:t>
            </w:r>
          </w:p>
        </w:tc>
        <w:tc>
          <w:tcPr>
            <w:tcW w:w="1711" w:type="dxa"/>
            <w:vAlign w:val="center"/>
          </w:tcPr>
          <w:p w14:paraId="17928CF8">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建设项目</w:t>
            </w:r>
          </w:p>
          <w:p w14:paraId="6B64A62C">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申报情形</w:t>
            </w:r>
          </w:p>
        </w:tc>
        <w:tc>
          <w:tcPr>
            <w:tcW w:w="2720" w:type="dxa"/>
            <w:vAlign w:val="center"/>
          </w:tcPr>
          <w:p w14:paraId="42253B78">
            <w:pPr>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sym w:font="Wingdings 2" w:char="0052"/>
            </w:r>
            <w:r>
              <w:rPr>
                <w:color w:val="000000" w:themeColor="text1"/>
                <w:szCs w:val="21"/>
                <w:highlight w:val="none"/>
                <w14:textFill>
                  <w14:solidFill>
                    <w14:schemeClr w14:val="tx1"/>
                  </w14:solidFill>
                </w14:textFill>
              </w:rPr>
              <w:t xml:space="preserve">首次申报项目             </w:t>
            </w:r>
          </w:p>
          <w:p w14:paraId="34E8B53C">
            <w:pPr>
              <w:jc w:val="lef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不予批准后再次申报项目</w:t>
            </w:r>
          </w:p>
          <w:p w14:paraId="41D88CF7">
            <w:pPr>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sym w:font="Wingdings 2" w:char="00A3"/>
            </w:r>
            <w:r>
              <w:rPr>
                <w:color w:val="000000" w:themeColor="text1"/>
                <w:szCs w:val="21"/>
                <w:highlight w:val="none"/>
                <w14:textFill>
                  <w14:solidFill>
                    <w14:schemeClr w14:val="tx1"/>
                  </w14:solidFill>
                </w14:textFill>
              </w:rPr>
              <w:t xml:space="preserve">超五年重新审核项目     </w:t>
            </w:r>
          </w:p>
          <w:p w14:paraId="3BBEAFFD">
            <w:pPr>
              <w:jc w:val="lef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重大变动重新报批项目</w:t>
            </w:r>
          </w:p>
        </w:tc>
      </w:tr>
      <w:tr w14:paraId="28C891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631" w:type="dxa"/>
            <w:tcMar>
              <w:top w:w="16" w:type="dxa"/>
              <w:left w:w="16" w:type="dxa"/>
              <w:right w:w="16" w:type="dxa"/>
            </w:tcMar>
            <w:vAlign w:val="center"/>
          </w:tcPr>
          <w:p w14:paraId="6643F880">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项目审批（核准/</w:t>
            </w:r>
          </w:p>
          <w:p w14:paraId="34EE7ECA">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备案）部门（选填）</w:t>
            </w:r>
          </w:p>
        </w:tc>
        <w:tc>
          <w:tcPr>
            <w:tcW w:w="2808" w:type="dxa"/>
            <w:vAlign w:val="center"/>
          </w:tcPr>
          <w:p w14:paraId="15FA426A">
            <w:pPr>
              <w:adjustRightInd w:val="0"/>
              <w:snapToGrid w:val="0"/>
              <w:jc w:val="center"/>
              <w:rPr>
                <w:rFonts w:hint="default" w:eastAsia="宋体"/>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闽清县</w:t>
            </w:r>
            <w:r>
              <w:rPr>
                <w:rFonts w:hint="eastAsia" w:cs="Times New Roman"/>
                <w:color w:val="000000" w:themeColor="text1"/>
                <w:szCs w:val="21"/>
                <w:highlight w:val="none"/>
                <w:lang w:val="en-US" w:eastAsia="zh-CN"/>
                <w14:textFill>
                  <w14:solidFill>
                    <w14:schemeClr w14:val="tx1"/>
                  </w14:solidFill>
                </w14:textFill>
              </w:rPr>
              <w:t>工信</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局</w:t>
            </w:r>
          </w:p>
        </w:tc>
        <w:tc>
          <w:tcPr>
            <w:tcW w:w="1711" w:type="dxa"/>
            <w:vAlign w:val="center"/>
          </w:tcPr>
          <w:p w14:paraId="4CEE15FA">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项目审批（核准/</w:t>
            </w:r>
          </w:p>
          <w:p w14:paraId="35A09DBD">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备案）文号（选填）</w:t>
            </w:r>
          </w:p>
        </w:tc>
        <w:tc>
          <w:tcPr>
            <w:tcW w:w="2720" w:type="dxa"/>
            <w:vAlign w:val="center"/>
          </w:tcPr>
          <w:p w14:paraId="2FE26845">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闽工信备[2025]A110010号</w:t>
            </w:r>
          </w:p>
        </w:tc>
      </w:tr>
      <w:tr w14:paraId="336C8C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31" w:type="dxa"/>
            <w:tcMar>
              <w:top w:w="16" w:type="dxa"/>
              <w:left w:w="16" w:type="dxa"/>
              <w:right w:w="16" w:type="dxa"/>
            </w:tcMar>
            <w:vAlign w:val="center"/>
          </w:tcPr>
          <w:p w14:paraId="3068B8F9">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总投资（万元）</w:t>
            </w:r>
          </w:p>
        </w:tc>
        <w:tc>
          <w:tcPr>
            <w:tcW w:w="2808" w:type="dxa"/>
            <w:vAlign w:val="center"/>
          </w:tcPr>
          <w:p w14:paraId="268D368C">
            <w:pPr>
              <w:adjustRightInd w:val="0"/>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500</w:t>
            </w:r>
          </w:p>
        </w:tc>
        <w:tc>
          <w:tcPr>
            <w:tcW w:w="1711" w:type="dxa"/>
            <w:tcMar>
              <w:top w:w="16" w:type="dxa"/>
              <w:left w:w="16" w:type="dxa"/>
              <w:right w:w="16" w:type="dxa"/>
            </w:tcMar>
            <w:vAlign w:val="center"/>
          </w:tcPr>
          <w:p w14:paraId="4637A7F4">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环保投资（万元）</w:t>
            </w:r>
          </w:p>
        </w:tc>
        <w:tc>
          <w:tcPr>
            <w:tcW w:w="2720" w:type="dxa"/>
            <w:vAlign w:val="center"/>
          </w:tcPr>
          <w:p w14:paraId="48975A13">
            <w:pPr>
              <w:adjustRightInd w:val="0"/>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50</w:t>
            </w:r>
          </w:p>
        </w:tc>
      </w:tr>
      <w:tr w14:paraId="6C679C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31" w:type="dxa"/>
            <w:tcMar>
              <w:top w:w="16" w:type="dxa"/>
              <w:left w:w="16" w:type="dxa"/>
              <w:right w:w="16" w:type="dxa"/>
            </w:tcMar>
            <w:vAlign w:val="center"/>
          </w:tcPr>
          <w:p w14:paraId="276045B0">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环保投资占比（%）</w:t>
            </w:r>
          </w:p>
        </w:tc>
        <w:tc>
          <w:tcPr>
            <w:tcW w:w="2808" w:type="dxa"/>
            <w:vAlign w:val="center"/>
          </w:tcPr>
          <w:p w14:paraId="5D544B12">
            <w:pPr>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10%</w:t>
            </w:r>
          </w:p>
        </w:tc>
        <w:tc>
          <w:tcPr>
            <w:tcW w:w="1711" w:type="dxa"/>
            <w:tcMar>
              <w:top w:w="16" w:type="dxa"/>
              <w:left w:w="16" w:type="dxa"/>
              <w:right w:w="16" w:type="dxa"/>
            </w:tcMar>
            <w:vAlign w:val="center"/>
          </w:tcPr>
          <w:p w14:paraId="56AD148C">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施工工期</w:t>
            </w:r>
          </w:p>
        </w:tc>
        <w:tc>
          <w:tcPr>
            <w:tcW w:w="2720" w:type="dxa"/>
            <w:vAlign w:val="center"/>
          </w:tcPr>
          <w:p w14:paraId="1A6DD38F">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12</w:t>
            </w:r>
            <w:r>
              <w:rPr>
                <w:color w:val="000000" w:themeColor="text1"/>
                <w:szCs w:val="21"/>
                <w:highlight w:val="none"/>
                <w14:textFill>
                  <w14:solidFill>
                    <w14:schemeClr w14:val="tx1"/>
                  </w14:solidFill>
                </w14:textFill>
              </w:rPr>
              <w:t>个月</w:t>
            </w:r>
          </w:p>
        </w:tc>
      </w:tr>
      <w:tr w14:paraId="7B7660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31" w:type="dxa"/>
            <w:tcMar>
              <w:top w:w="16" w:type="dxa"/>
              <w:left w:w="16" w:type="dxa"/>
              <w:right w:w="16" w:type="dxa"/>
            </w:tcMar>
            <w:vAlign w:val="center"/>
          </w:tcPr>
          <w:p w14:paraId="7072C398">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是否开工建设</w:t>
            </w:r>
          </w:p>
        </w:tc>
        <w:tc>
          <w:tcPr>
            <w:tcW w:w="2808" w:type="dxa"/>
            <w:vAlign w:val="center"/>
          </w:tcPr>
          <w:p w14:paraId="6F855E84">
            <w:pPr>
              <w:adjustRightInd w:val="0"/>
              <w:snapToGrid w:val="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sym w:font="Wingdings 2" w:char="0052"/>
            </w:r>
            <w:r>
              <w:rPr>
                <w:color w:val="000000" w:themeColor="text1"/>
                <w:szCs w:val="21"/>
                <w:highlight w:val="none"/>
                <w14:textFill>
                  <w14:solidFill>
                    <w14:schemeClr w14:val="tx1"/>
                  </w14:solidFill>
                </w14:textFill>
              </w:rPr>
              <w:t>否</w:t>
            </w:r>
          </w:p>
          <w:p w14:paraId="52D55451">
            <w:pPr>
              <w:adjustRightInd w:val="0"/>
              <w:snapToGrid w:val="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sym w:font="Wingdings 2" w:char="00A3"/>
            </w:r>
            <w:r>
              <w:rPr>
                <w:color w:val="000000" w:themeColor="text1"/>
                <w:szCs w:val="21"/>
                <w:highlight w:val="none"/>
                <w14:textFill>
                  <w14:solidFill>
                    <w14:schemeClr w14:val="tx1"/>
                  </w14:solidFill>
                </w14:textFill>
              </w:rPr>
              <w:t>是：</w:t>
            </w:r>
            <w:r>
              <w:rPr>
                <w:rFonts w:hint="eastAsia"/>
                <w:color w:val="000000" w:themeColor="text1"/>
                <w:szCs w:val="21"/>
                <w:highlight w:val="none"/>
                <w:u w:val="single"/>
                <w14:textFill>
                  <w14:solidFill>
                    <w14:schemeClr w14:val="tx1"/>
                  </w14:solidFill>
                </w14:textFill>
              </w:rPr>
              <w:t xml:space="preserve">             </w:t>
            </w:r>
            <w:r>
              <w:rPr>
                <w:color w:val="000000" w:themeColor="text1"/>
                <w:szCs w:val="21"/>
                <w:highlight w:val="none"/>
                <w:u w:val="single"/>
                <w14:textFill>
                  <w14:solidFill>
                    <w14:schemeClr w14:val="tx1"/>
                  </w14:solidFill>
                </w14:textFill>
              </w:rPr>
              <w:t xml:space="preserve">   </w:t>
            </w:r>
          </w:p>
        </w:tc>
        <w:tc>
          <w:tcPr>
            <w:tcW w:w="1711" w:type="dxa"/>
            <w:tcMar>
              <w:top w:w="16" w:type="dxa"/>
              <w:left w:w="16" w:type="dxa"/>
              <w:right w:w="16" w:type="dxa"/>
            </w:tcMar>
            <w:vAlign w:val="center"/>
          </w:tcPr>
          <w:p w14:paraId="2DBB4795">
            <w:pPr>
              <w:adjustRightInd w:val="0"/>
              <w:snapToGrid w:val="0"/>
              <w:jc w:val="center"/>
              <w:rPr>
                <w:color w:val="000000" w:themeColor="text1"/>
                <w:spacing w:val="-6"/>
                <w:szCs w:val="21"/>
                <w:highlight w:val="none"/>
                <w14:textFill>
                  <w14:solidFill>
                    <w14:schemeClr w14:val="tx1"/>
                  </w14:solidFill>
                </w14:textFill>
              </w:rPr>
            </w:pPr>
            <w:r>
              <w:rPr>
                <w:color w:val="000000" w:themeColor="text1"/>
                <w:spacing w:val="-6"/>
                <w:szCs w:val="21"/>
                <w:highlight w:val="none"/>
                <w14:textFill>
                  <w14:solidFill>
                    <w14:schemeClr w14:val="tx1"/>
                  </w14:solidFill>
                </w14:textFill>
              </w:rPr>
              <w:t>用地（用海）</w:t>
            </w:r>
          </w:p>
          <w:p w14:paraId="4B7E7072">
            <w:pPr>
              <w:adjustRightInd w:val="0"/>
              <w:snapToGrid w:val="0"/>
              <w:jc w:val="center"/>
              <w:rPr>
                <w:color w:val="000000" w:themeColor="text1"/>
                <w:szCs w:val="21"/>
                <w:highlight w:val="none"/>
                <w14:textFill>
                  <w14:solidFill>
                    <w14:schemeClr w14:val="tx1"/>
                  </w14:solidFill>
                </w14:textFill>
              </w:rPr>
            </w:pPr>
            <w:r>
              <w:rPr>
                <w:color w:val="000000" w:themeColor="text1"/>
                <w:spacing w:val="-6"/>
                <w:szCs w:val="21"/>
                <w:highlight w:val="none"/>
                <w14:textFill>
                  <w14:solidFill>
                    <w14:schemeClr w14:val="tx1"/>
                  </w14:solidFill>
                </w14:textFill>
              </w:rPr>
              <w:t>面积（m</w:t>
            </w:r>
            <w:r>
              <w:rPr>
                <w:color w:val="000000" w:themeColor="text1"/>
                <w:spacing w:val="-6"/>
                <w:szCs w:val="21"/>
                <w:highlight w:val="none"/>
                <w:vertAlign w:val="superscript"/>
                <w14:textFill>
                  <w14:solidFill>
                    <w14:schemeClr w14:val="tx1"/>
                  </w14:solidFill>
                </w14:textFill>
              </w:rPr>
              <w:t>2</w:t>
            </w:r>
            <w:r>
              <w:rPr>
                <w:color w:val="000000" w:themeColor="text1"/>
                <w:spacing w:val="-6"/>
                <w:szCs w:val="21"/>
                <w:highlight w:val="none"/>
                <w14:textFill>
                  <w14:solidFill>
                    <w14:schemeClr w14:val="tx1"/>
                  </w14:solidFill>
                </w14:textFill>
              </w:rPr>
              <w:t>）</w:t>
            </w:r>
          </w:p>
        </w:tc>
        <w:tc>
          <w:tcPr>
            <w:tcW w:w="2720" w:type="dxa"/>
            <w:vAlign w:val="center"/>
          </w:tcPr>
          <w:p w14:paraId="758E55CD">
            <w:pPr>
              <w:adjustRightInd w:val="0"/>
              <w:snapToGrid w:val="0"/>
              <w:jc w:val="center"/>
              <w:rPr>
                <w:rFonts w:hint="default"/>
                <w:color w:val="000000" w:themeColor="text1"/>
                <w:szCs w:val="21"/>
                <w:highlight w:val="none"/>
                <w:lang w:val="en-US"/>
                <w14:textFill>
                  <w14:solidFill>
                    <w14:schemeClr w14:val="tx1"/>
                  </w14:solidFill>
                </w14:textFill>
              </w:rPr>
            </w:pPr>
            <w:r>
              <w:rPr>
                <w:rFonts w:hint="eastAsia" w:cs="Times New Roman"/>
                <w:color w:val="000000"/>
                <w:sz w:val="21"/>
                <w:szCs w:val="21"/>
                <w:lang w:val="en-US" w:eastAsia="zh-CN"/>
              </w:rPr>
              <w:t>35553</w:t>
            </w:r>
          </w:p>
        </w:tc>
      </w:tr>
      <w:tr w14:paraId="1D0948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4" w:hRule="atLeast"/>
          <w:jc w:val="center"/>
        </w:trPr>
        <w:tc>
          <w:tcPr>
            <w:tcW w:w="1631" w:type="dxa"/>
            <w:vAlign w:val="center"/>
          </w:tcPr>
          <w:p w14:paraId="7E06D5B8">
            <w:pPr>
              <w:autoSpaceDE w:val="0"/>
              <w:autoSpaceDN w:val="0"/>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专项评价设置情况</w:t>
            </w:r>
          </w:p>
        </w:tc>
        <w:tc>
          <w:tcPr>
            <w:tcW w:w="7239" w:type="dxa"/>
            <w:gridSpan w:val="3"/>
            <w:vAlign w:val="center"/>
          </w:tcPr>
          <w:p w14:paraId="07A7CC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对照《建设项目环境影响报告表编制</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技术</w:t>
            </w:r>
            <w:r>
              <w:rPr>
                <w:rFonts w:hint="default" w:ascii="Times New Roman" w:hAnsi="Times New Roman" w:eastAsia="宋体" w:cs="Times New Roman"/>
                <w:color w:val="000000" w:themeColor="text1"/>
                <w:sz w:val="24"/>
                <w:szCs w:val="24"/>
                <w:highlight w:val="none"/>
                <w14:textFill>
                  <w14:solidFill>
                    <w14:schemeClr w14:val="tx1"/>
                  </w14:solidFill>
                </w14:textFill>
              </w:rPr>
              <w:t>指南——污染影响类》专题评价设置原则表，本项目专题评价设置情况判定如下：</w:t>
            </w:r>
          </w:p>
          <w:p w14:paraId="79C418AF">
            <w:pPr>
              <w:pStyle w:val="42"/>
              <w:keepNext/>
              <w:keepLines/>
              <w:pageBreakBefore w:val="0"/>
              <w:widowControl w:val="0"/>
              <w:kinsoku/>
              <w:wordWrap/>
              <w:overflowPunct/>
              <w:topLinePunct w:val="0"/>
              <w:autoSpaceDE/>
              <w:autoSpaceDN/>
              <w:bidi w:val="0"/>
              <w:adjustRightInd/>
              <w:snapToGrid/>
              <w:spacing w:before="157" w:beforeLines="50" w:after="0"/>
              <w:ind w:left="420" w:leftChars="0" w:firstLineChars="0"/>
              <w:jc w:val="center"/>
              <w:textAlignment w:val="auto"/>
              <w:rPr>
                <w:rFonts w:hint="default"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专项评价设置原则表</w:t>
            </w:r>
          </w:p>
          <w:tbl>
            <w:tblPr>
              <w:tblStyle w:val="3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5"/>
              <w:gridCol w:w="2141"/>
              <w:gridCol w:w="3356"/>
              <w:gridCol w:w="930"/>
            </w:tblGrid>
            <w:tr w14:paraId="3FA661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10" w:hRule="atLeast"/>
                <w:tblHeader/>
                <w:jc w:val="center"/>
              </w:trPr>
              <w:tc>
                <w:tcPr>
                  <w:tcW w:w="587" w:type="pct"/>
                  <w:tcBorders>
                    <w:tl2br w:val="nil"/>
                    <w:tr2bl w:val="nil"/>
                  </w:tcBorders>
                  <w:noWrap w:val="0"/>
                  <w:vAlign w:val="center"/>
                </w:tcPr>
                <w:p w14:paraId="1BD8D713">
                  <w:pPr>
                    <w:pStyle w:val="134"/>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专项评价类别</w:t>
                  </w:r>
                </w:p>
              </w:tc>
              <w:tc>
                <w:tcPr>
                  <w:tcW w:w="1469" w:type="pct"/>
                  <w:tcBorders>
                    <w:tl2br w:val="nil"/>
                    <w:tr2bl w:val="nil"/>
                  </w:tcBorders>
                  <w:noWrap w:val="0"/>
                  <w:vAlign w:val="center"/>
                </w:tcPr>
                <w:p w14:paraId="29B942C6">
                  <w:pPr>
                    <w:pStyle w:val="134"/>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设置原则</w:t>
                  </w:r>
                </w:p>
              </w:tc>
              <w:tc>
                <w:tcPr>
                  <w:tcW w:w="2303" w:type="pct"/>
                  <w:tcBorders>
                    <w:tl2br w:val="nil"/>
                    <w:tr2bl w:val="nil"/>
                  </w:tcBorders>
                  <w:noWrap w:val="0"/>
                  <w:vAlign w:val="center"/>
                </w:tcPr>
                <w:p w14:paraId="49FD782C">
                  <w:pPr>
                    <w:pStyle w:val="134"/>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项目情况</w:t>
                  </w:r>
                </w:p>
              </w:tc>
              <w:tc>
                <w:tcPr>
                  <w:tcW w:w="638" w:type="pct"/>
                  <w:tcBorders>
                    <w:tl2br w:val="nil"/>
                    <w:tr2bl w:val="nil"/>
                  </w:tcBorders>
                  <w:noWrap w:val="0"/>
                  <w:vAlign w:val="center"/>
                </w:tcPr>
                <w:p w14:paraId="652A4CDC">
                  <w:pPr>
                    <w:pStyle w:val="134"/>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是否设置专项</w:t>
                  </w:r>
                </w:p>
              </w:tc>
            </w:tr>
            <w:tr w14:paraId="35540B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89" w:hRule="atLeast"/>
                <w:tblHeader/>
                <w:jc w:val="center"/>
              </w:trPr>
              <w:tc>
                <w:tcPr>
                  <w:tcW w:w="587" w:type="pct"/>
                  <w:tcBorders>
                    <w:tl2br w:val="nil"/>
                    <w:tr2bl w:val="nil"/>
                  </w:tcBorders>
                  <w:noWrap w:val="0"/>
                  <w:vAlign w:val="center"/>
                </w:tcPr>
                <w:p w14:paraId="5B1FEBF5">
                  <w:pPr>
                    <w:pStyle w:val="134"/>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大气</w:t>
                  </w:r>
                </w:p>
              </w:tc>
              <w:tc>
                <w:tcPr>
                  <w:tcW w:w="1469" w:type="pct"/>
                  <w:tcBorders>
                    <w:tl2br w:val="nil"/>
                    <w:tr2bl w:val="nil"/>
                  </w:tcBorders>
                  <w:noWrap w:val="0"/>
                  <w:vAlign w:val="center"/>
                </w:tcPr>
                <w:p w14:paraId="1C11673C">
                  <w:pPr>
                    <w:pStyle w:val="134"/>
                    <w:keepNext w:val="0"/>
                    <w:keepLines w:val="0"/>
                    <w:suppressLineNumbers w:val="0"/>
                    <w:bidi w:val="0"/>
                    <w:spacing w:before="0" w:beforeAutospacing="0" w:after="0" w:afterAutospacing="0"/>
                    <w:ind w:left="0" w:right="0"/>
                    <w:jc w:val="both"/>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排放废气含有毒有害污染物、二噁英、苯并芘、氰化物、氯气，且厂界外500米范围内有环境空气保护目标的项目</w:t>
                  </w:r>
                </w:p>
              </w:tc>
              <w:tc>
                <w:tcPr>
                  <w:tcW w:w="2303" w:type="pct"/>
                  <w:tcBorders>
                    <w:tl2br w:val="nil"/>
                    <w:tr2bl w:val="nil"/>
                  </w:tcBorders>
                  <w:noWrap w:val="0"/>
                  <w:vAlign w:val="center"/>
                </w:tcPr>
                <w:p w14:paraId="3C2C5890">
                  <w:pPr>
                    <w:pStyle w:val="134"/>
                    <w:keepNext w:val="0"/>
                    <w:keepLines w:val="0"/>
                    <w:suppressLineNumbers w:val="0"/>
                    <w:bidi w:val="0"/>
                    <w:spacing w:before="0" w:beforeAutospacing="0" w:after="0" w:afterAutospacing="0"/>
                    <w:ind w:left="0" w:right="0"/>
                    <w:jc w:val="both"/>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本项目不涉及</w:t>
                  </w:r>
                  <w:r>
                    <w:rPr>
                      <w:rFonts w:hint="default" w:ascii="Times New Roman" w:hAnsi="Times New Roman" w:eastAsia="宋体" w:cs="Times New Roman"/>
                      <w:color w:val="000000" w:themeColor="text1"/>
                      <w:sz w:val="21"/>
                      <w:szCs w:val="21"/>
                      <w:highlight w:val="none"/>
                      <w14:textFill>
                        <w14:solidFill>
                          <w14:schemeClr w14:val="tx1"/>
                        </w14:solidFill>
                      </w14:textFill>
                    </w:rPr>
                    <w:t>排放废气含有毒有害污染物、二噁英、苯并芘、氰化物、氯气</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638" w:type="pct"/>
                  <w:tcBorders>
                    <w:tl2br w:val="nil"/>
                    <w:tr2bl w:val="nil"/>
                  </w:tcBorders>
                  <w:noWrap w:val="0"/>
                  <w:vAlign w:val="center"/>
                </w:tcPr>
                <w:p w14:paraId="55F4D925">
                  <w:pPr>
                    <w:pStyle w:val="134"/>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否</w:t>
                  </w:r>
                </w:p>
              </w:tc>
            </w:tr>
            <w:tr w14:paraId="499905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87" w:type="pct"/>
                  <w:tcBorders>
                    <w:tl2br w:val="nil"/>
                    <w:tr2bl w:val="nil"/>
                  </w:tcBorders>
                  <w:noWrap w:val="0"/>
                  <w:vAlign w:val="center"/>
                </w:tcPr>
                <w:p w14:paraId="6BBFCC8A">
                  <w:pPr>
                    <w:pStyle w:val="134"/>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地表水</w:t>
                  </w:r>
                </w:p>
              </w:tc>
              <w:tc>
                <w:tcPr>
                  <w:tcW w:w="1469" w:type="pct"/>
                  <w:tcBorders>
                    <w:tl2br w:val="nil"/>
                    <w:tr2bl w:val="nil"/>
                  </w:tcBorders>
                  <w:noWrap w:val="0"/>
                  <w:vAlign w:val="center"/>
                </w:tcPr>
                <w:p w14:paraId="1B725C25">
                  <w:pPr>
                    <w:pStyle w:val="134"/>
                    <w:keepNext w:val="0"/>
                    <w:keepLines w:val="0"/>
                    <w:suppressLineNumbers w:val="0"/>
                    <w:bidi w:val="0"/>
                    <w:spacing w:before="0" w:beforeAutospacing="0" w:after="0" w:afterAutospacing="0"/>
                    <w:ind w:left="0" w:right="0"/>
                    <w:jc w:val="both"/>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新增工业废水直排建设项目（槽罐车外送污水处理厂的除外），新增废水直排的污水集中处理厂</w:t>
                  </w:r>
                </w:p>
              </w:tc>
              <w:tc>
                <w:tcPr>
                  <w:tcW w:w="2303" w:type="pct"/>
                  <w:tcBorders>
                    <w:tl2br w:val="nil"/>
                    <w:tr2bl w:val="nil"/>
                  </w:tcBorders>
                  <w:noWrap w:val="0"/>
                  <w:vAlign w:val="center"/>
                </w:tcPr>
                <w:p w14:paraId="17D2FE2A">
                  <w:pPr>
                    <w:pStyle w:val="134"/>
                    <w:keepNext w:val="0"/>
                    <w:keepLines w:val="0"/>
                    <w:suppressLineNumbers w:val="0"/>
                    <w:bidi w:val="0"/>
                    <w:spacing w:before="0" w:beforeAutospacing="0" w:after="0" w:afterAutospacing="0"/>
                    <w:ind w:left="0" w:right="0"/>
                    <w:jc w:val="both"/>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本项目不涉及新增工业废水直排</w:t>
                  </w:r>
                  <w:r>
                    <w:rPr>
                      <w:rFonts w:hint="eastAsia" w:ascii="Times New Roman" w:hAnsi="Times New Roman" w:eastAsia="宋体"/>
                      <w:bCs/>
                      <w:color w:val="000000" w:themeColor="text1"/>
                      <w:sz w:val="21"/>
                      <w:szCs w:val="21"/>
                      <w:highlight w:val="none"/>
                      <w:lang w:eastAsia="zh-CN"/>
                      <w14:textFill>
                        <w14:solidFill>
                          <w14:schemeClr w14:val="tx1"/>
                        </w14:solidFill>
                      </w14:textFill>
                    </w:rPr>
                    <w:t>。</w:t>
                  </w:r>
                </w:p>
              </w:tc>
              <w:tc>
                <w:tcPr>
                  <w:tcW w:w="638" w:type="pct"/>
                  <w:tcBorders>
                    <w:tl2br w:val="nil"/>
                    <w:tr2bl w:val="nil"/>
                  </w:tcBorders>
                  <w:noWrap w:val="0"/>
                  <w:vAlign w:val="center"/>
                </w:tcPr>
                <w:p w14:paraId="6D59933F">
                  <w:pPr>
                    <w:pStyle w:val="134"/>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否</w:t>
                  </w:r>
                </w:p>
              </w:tc>
            </w:tr>
            <w:tr w14:paraId="1E9309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87" w:type="pct"/>
                  <w:tcBorders>
                    <w:tl2br w:val="nil"/>
                    <w:tr2bl w:val="nil"/>
                  </w:tcBorders>
                  <w:noWrap w:val="0"/>
                  <w:vAlign w:val="center"/>
                </w:tcPr>
                <w:p w14:paraId="2D4FCAE7">
                  <w:pPr>
                    <w:pStyle w:val="134"/>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w:t>
                  </w:r>
                </w:p>
                <w:p w14:paraId="4F83FA89">
                  <w:pPr>
                    <w:pStyle w:val="134"/>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风险</w:t>
                  </w:r>
                </w:p>
              </w:tc>
              <w:tc>
                <w:tcPr>
                  <w:tcW w:w="1469" w:type="pct"/>
                  <w:tcBorders>
                    <w:tl2br w:val="nil"/>
                    <w:tr2bl w:val="nil"/>
                  </w:tcBorders>
                  <w:noWrap w:val="0"/>
                  <w:vAlign w:val="center"/>
                </w:tcPr>
                <w:p w14:paraId="36AC23E7">
                  <w:pPr>
                    <w:pStyle w:val="134"/>
                    <w:keepNext w:val="0"/>
                    <w:keepLines w:val="0"/>
                    <w:suppressLineNumbers w:val="0"/>
                    <w:bidi w:val="0"/>
                    <w:spacing w:before="0" w:beforeAutospacing="0" w:after="0" w:afterAutospacing="0"/>
                    <w:ind w:left="0" w:right="0"/>
                    <w:jc w:val="both"/>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有毒有害和易燃易爆危险物质存储量超过临界量的建设项目</w:t>
                  </w:r>
                </w:p>
              </w:tc>
              <w:tc>
                <w:tcPr>
                  <w:tcW w:w="2303" w:type="pct"/>
                  <w:tcBorders>
                    <w:tl2br w:val="nil"/>
                    <w:tr2bl w:val="nil"/>
                  </w:tcBorders>
                  <w:noWrap w:val="0"/>
                  <w:vAlign w:val="center"/>
                </w:tcPr>
                <w:p w14:paraId="30C8AFC1">
                  <w:pPr>
                    <w:pStyle w:val="134"/>
                    <w:keepNext w:val="0"/>
                    <w:keepLines w:val="0"/>
                    <w:suppressLineNumbers w:val="0"/>
                    <w:bidi w:val="0"/>
                    <w:spacing w:before="0" w:beforeAutospacing="0" w:after="0" w:afterAutospacing="0"/>
                    <w:ind w:left="0" w:right="0"/>
                    <w:jc w:val="both"/>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本项目有毒有害</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和易燃易爆危险物质</w:t>
                  </w:r>
                  <w:r>
                    <w:rPr>
                      <w:rFonts w:hint="eastAsia" w:cs="Times New Roman"/>
                      <w:color w:val="000000" w:themeColor="text1"/>
                      <w:sz w:val="21"/>
                      <w:szCs w:val="21"/>
                      <w:highlight w:val="none"/>
                      <w:lang w:val="en-US" w:eastAsia="zh-CN"/>
                      <w14:textFill>
                        <w14:solidFill>
                          <w14:schemeClr w14:val="tx1"/>
                        </w14:solidFill>
                      </w14:textFill>
                    </w:rPr>
                    <w:t>存储量不超过该临界值</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638" w:type="pct"/>
                  <w:tcBorders>
                    <w:tl2br w:val="nil"/>
                    <w:tr2bl w:val="nil"/>
                  </w:tcBorders>
                  <w:noWrap w:val="0"/>
                  <w:vAlign w:val="center"/>
                </w:tcPr>
                <w:p w14:paraId="3DD07AE3">
                  <w:pPr>
                    <w:pStyle w:val="134"/>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否</w:t>
                  </w:r>
                </w:p>
              </w:tc>
            </w:tr>
            <w:tr w14:paraId="63654A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87" w:type="pct"/>
                  <w:tcBorders>
                    <w:tl2br w:val="nil"/>
                    <w:tr2bl w:val="nil"/>
                  </w:tcBorders>
                  <w:noWrap w:val="0"/>
                  <w:vAlign w:val="center"/>
                </w:tcPr>
                <w:p w14:paraId="13A2200A">
                  <w:pPr>
                    <w:pStyle w:val="134"/>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生态</w:t>
                  </w:r>
                </w:p>
              </w:tc>
              <w:tc>
                <w:tcPr>
                  <w:tcW w:w="1469" w:type="pct"/>
                  <w:tcBorders>
                    <w:tl2br w:val="nil"/>
                    <w:tr2bl w:val="nil"/>
                  </w:tcBorders>
                  <w:noWrap w:val="0"/>
                  <w:vAlign w:val="center"/>
                </w:tcPr>
                <w:p w14:paraId="549CEA71">
                  <w:pPr>
                    <w:pStyle w:val="134"/>
                    <w:keepNext w:val="0"/>
                    <w:keepLines w:val="0"/>
                    <w:suppressLineNumbers w:val="0"/>
                    <w:bidi w:val="0"/>
                    <w:spacing w:before="0" w:beforeAutospacing="0" w:after="0" w:afterAutospacing="0"/>
                    <w:ind w:left="0" w:right="0"/>
                    <w:jc w:val="both"/>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取水口下游500米范围内有重要水生生物的自然产卵场、索饵场、越冬场和洄游通道的新增河道取水的污染类建设项目</w:t>
                  </w:r>
                </w:p>
              </w:tc>
              <w:tc>
                <w:tcPr>
                  <w:tcW w:w="2303" w:type="pct"/>
                  <w:tcBorders>
                    <w:tl2br w:val="nil"/>
                    <w:tr2bl w:val="nil"/>
                  </w:tcBorders>
                  <w:noWrap w:val="0"/>
                  <w:vAlign w:val="center"/>
                </w:tcPr>
                <w:p w14:paraId="330E216C">
                  <w:pPr>
                    <w:pStyle w:val="134"/>
                    <w:keepNext w:val="0"/>
                    <w:keepLines w:val="0"/>
                    <w:suppressLineNumbers w:val="0"/>
                    <w:bidi w:val="0"/>
                    <w:spacing w:before="0" w:beforeAutospacing="0" w:after="0" w:afterAutospacing="0"/>
                    <w:ind w:left="0" w:right="0"/>
                    <w:jc w:val="both"/>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w:t>
                  </w:r>
                  <w:r>
                    <w:rPr>
                      <w:rFonts w:hint="default" w:ascii="Times New Roman" w:hAnsi="Times New Roman" w:eastAsia="宋体" w:cs="Times New Roman"/>
                      <w:color w:val="000000" w:themeColor="text1"/>
                      <w:sz w:val="21"/>
                      <w:szCs w:val="21"/>
                      <w:highlight w:val="none"/>
                      <w14:textFill>
                        <w14:solidFill>
                          <w14:schemeClr w14:val="tx1"/>
                        </w14:solidFill>
                      </w14:textFill>
                    </w:rPr>
                    <w:t>项目</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用水</w:t>
                  </w:r>
                  <w:r>
                    <w:rPr>
                      <w:rFonts w:hint="default" w:ascii="Times New Roman" w:hAnsi="Times New Roman" w:eastAsia="宋体" w:cs="Times New Roman"/>
                      <w:b w:val="0"/>
                      <w:bCs w:val="0"/>
                      <w:iCs/>
                      <w:color w:val="000000" w:themeColor="text1"/>
                      <w:kern w:val="2"/>
                      <w:sz w:val="21"/>
                      <w:szCs w:val="21"/>
                      <w:highlight w:val="none"/>
                      <w:lang w:val="en-US" w:eastAsia="zh-CN" w:bidi="ar-SA"/>
                      <w14:textFill>
                        <w14:solidFill>
                          <w14:schemeClr w14:val="tx1"/>
                        </w14:solidFill>
                      </w14:textFill>
                    </w:rPr>
                    <w:t>由市政给水管</w:t>
                  </w:r>
                  <w:r>
                    <w:rPr>
                      <w:rFonts w:hint="eastAsia" w:cs="Times New Roman"/>
                      <w:b w:val="0"/>
                      <w:bCs w:val="0"/>
                      <w:iCs/>
                      <w:color w:val="000000" w:themeColor="text1"/>
                      <w:kern w:val="2"/>
                      <w:sz w:val="21"/>
                      <w:szCs w:val="21"/>
                      <w:highlight w:val="none"/>
                      <w:lang w:val="en-US" w:eastAsia="zh-CN" w:bidi="ar-SA"/>
                      <w14:textFill>
                        <w14:solidFill>
                          <w14:schemeClr w14:val="tx1"/>
                        </w14:solidFill>
                      </w14:textFill>
                    </w:rPr>
                    <w:t>网</w:t>
                  </w:r>
                  <w:r>
                    <w:rPr>
                      <w:rFonts w:hint="default" w:ascii="Times New Roman" w:hAnsi="Times New Roman" w:eastAsia="宋体" w:cs="Times New Roman"/>
                      <w:b w:val="0"/>
                      <w:bCs w:val="0"/>
                      <w:iCs/>
                      <w:color w:val="000000" w:themeColor="text1"/>
                      <w:kern w:val="2"/>
                      <w:sz w:val="21"/>
                      <w:szCs w:val="21"/>
                      <w:highlight w:val="none"/>
                      <w:lang w:val="en-US" w:eastAsia="zh-CN" w:bidi="ar-SA"/>
                      <w14:textFill>
                        <w14:solidFill>
                          <w14:schemeClr w14:val="tx1"/>
                        </w14:solidFill>
                      </w14:textFill>
                    </w:rPr>
                    <w:t>供给</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w:t>
                  </w:r>
                  <w:r>
                    <w:rPr>
                      <w:rFonts w:hint="default" w:ascii="Times New Roman" w:hAnsi="Times New Roman" w:eastAsia="宋体" w:cs="Times New Roman"/>
                      <w:color w:val="000000" w:themeColor="text1"/>
                      <w:sz w:val="21"/>
                      <w:szCs w:val="21"/>
                      <w:highlight w:val="none"/>
                      <w14:textFill>
                        <w14:solidFill>
                          <w14:schemeClr w14:val="tx1"/>
                        </w14:solidFill>
                      </w14:textFill>
                    </w:rPr>
                    <w:t>设置取水口</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638" w:type="pct"/>
                  <w:tcBorders>
                    <w:tl2br w:val="nil"/>
                    <w:tr2bl w:val="nil"/>
                  </w:tcBorders>
                  <w:noWrap w:val="0"/>
                  <w:vAlign w:val="center"/>
                </w:tcPr>
                <w:p w14:paraId="623CE414">
                  <w:pPr>
                    <w:pStyle w:val="134"/>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否</w:t>
                  </w:r>
                </w:p>
              </w:tc>
            </w:tr>
            <w:tr w14:paraId="454BE9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64" w:hRule="atLeast"/>
                <w:tblHeader/>
                <w:jc w:val="center"/>
              </w:trPr>
              <w:tc>
                <w:tcPr>
                  <w:tcW w:w="587" w:type="pct"/>
                  <w:tcBorders>
                    <w:tl2br w:val="nil"/>
                    <w:tr2bl w:val="nil"/>
                  </w:tcBorders>
                  <w:noWrap w:val="0"/>
                  <w:vAlign w:val="center"/>
                </w:tcPr>
                <w:p w14:paraId="1DEA2446">
                  <w:pPr>
                    <w:pStyle w:val="134"/>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海洋</w:t>
                  </w:r>
                </w:p>
              </w:tc>
              <w:tc>
                <w:tcPr>
                  <w:tcW w:w="1469" w:type="pct"/>
                  <w:tcBorders>
                    <w:tl2br w:val="nil"/>
                    <w:tr2bl w:val="nil"/>
                  </w:tcBorders>
                  <w:noWrap w:val="0"/>
                  <w:vAlign w:val="center"/>
                </w:tcPr>
                <w:p w14:paraId="323CBAE3">
                  <w:pPr>
                    <w:pStyle w:val="134"/>
                    <w:keepNext w:val="0"/>
                    <w:keepLines w:val="0"/>
                    <w:suppressLineNumbers w:val="0"/>
                    <w:bidi w:val="0"/>
                    <w:spacing w:before="0" w:beforeAutospacing="0" w:after="0" w:afterAutospacing="0"/>
                    <w:ind w:left="0" w:right="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直接向海排放污染物的海洋工程建设项目</w:t>
                  </w:r>
                </w:p>
              </w:tc>
              <w:tc>
                <w:tcPr>
                  <w:tcW w:w="2303" w:type="pct"/>
                  <w:tcBorders>
                    <w:tl2br w:val="nil"/>
                    <w:tr2bl w:val="nil"/>
                  </w:tcBorders>
                  <w:noWrap w:val="0"/>
                  <w:vAlign w:val="center"/>
                </w:tcPr>
                <w:p w14:paraId="75677B6D">
                  <w:pPr>
                    <w:pStyle w:val="134"/>
                    <w:keepNext w:val="0"/>
                    <w:keepLines w:val="0"/>
                    <w:suppressLineNumbers w:val="0"/>
                    <w:bidi w:val="0"/>
                    <w:spacing w:before="0" w:beforeAutospacing="0" w:after="0" w:afterAutospacing="0"/>
                    <w:ind w:left="0" w:right="0"/>
                    <w:jc w:val="left"/>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本项目不属于海洋工程建设项目</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638" w:type="pct"/>
                  <w:tcBorders>
                    <w:tl2br w:val="nil"/>
                    <w:tr2bl w:val="nil"/>
                  </w:tcBorders>
                  <w:noWrap w:val="0"/>
                  <w:vAlign w:val="center"/>
                </w:tcPr>
                <w:p w14:paraId="6F8DBB15">
                  <w:pPr>
                    <w:pStyle w:val="134"/>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否</w:t>
                  </w:r>
                </w:p>
              </w:tc>
            </w:tr>
          </w:tbl>
          <w:p w14:paraId="406A092D">
            <w:pPr>
              <w:autoSpaceDE w:val="0"/>
              <w:autoSpaceDN w:val="0"/>
              <w:adjustRightInd w:val="0"/>
              <w:snapToGrid w:val="0"/>
              <w:jc w:val="center"/>
              <w:rPr>
                <w:color w:val="000000" w:themeColor="text1"/>
                <w:kern w:val="0"/>
                <w:szCs w:val="21"/>
                <w:highlight w:val="none"/>
                <w14:textFill>
                  <w14:solidFill>
                    <w14:schemeClr w14:val="tx1"/>
                  </w14:solidFill>
                </w14:textFill>
              </w:rPr>
            </w:pPr>
          </w:p>
        </w:tc>
      </w:tr>
      <w:tr w14:paraId="0DBE85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1631" w:type="dxa"/>
            <w:vAlign w:val="center"/>
          </w:tcPr>
          <w:p w14:paraId="27A07872">
            <w:pPr>
              <w:autoSpaceDE w:val="0"/>
              <w:autoSpaceDN w:val="0"/>
              <w:adjustRightInd w:val="0"/>
              <w:snapToGrid w:val="0"/>
              <w:jc w:val="center"/>
              <w:rPr>
                <w:color w:val="000000" w:themeColor="text1"/>
                <w:kern w:val="0"/>
                <w:szCs w:val="21"/>
                <w:highlight w:val="none"/>
                <w14:textFill>
                  <w14:solidFill>
                    <w14:schemeClr w14:val="tx1"/>
                  </w14:solidFill>
                </w14:textFill>
              </w:rPr>
            </w:pPr>
            <w:r>
              <w:rPr>
                <w:color w:val="000000" w:themeColor="text1"/>
                <w:szCs w:val="21"/>
                <w:highlight w:val="none"/>
                <w14:textFill>
                  <w14:solidFill>
                    <w14:schemeClr w14:val="tx1"/>
                  </w14:solidFill>
                </w14:textFill>
              </w:rPr>
              <w:t>规划情况</w:t>
            </w:r>
          </w:p>
        </w:tc>
        <w:tc>
          <w:tcPr>
            <w:tcW w:w="7239" w:type="dxa"/>
            <w:gridSpan w:val="3"/>
            <w:vAlign w:val="center"/>
          </w:tcPr>
          <w:p w14:paraId="4371FBA3">
            <w:pPr>
              <w:pStyle w:val="44"/>
              <w:spacing w:line="360" w:lineRule="auto"/>
              <w:ind w:firstLine="0" w:firstLineChars="0"/>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无</w:t>
            </w:r>
          </w:p>
        </w:tc>
      </w:tr>
      <w:tr w14:paraId="2053A4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84" w:hRule="atLeast"/>
          <w:jc w:val="center"/>
        </w:trPr>
        <w:tc>
          <w:tcPr>
            <w:tcW w:w="1631" w:type="dxa"/>
            <w:vAlign w:val="center"/>
          </w:tcPr>
          <w:p w14:paraId="0259E9E3">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规划环境影响</w:t>
            </w:r>
          </w:p>
          <w:p w14:paraId="73431F18">
            <w:pPr>
              <w:adjustRightInd w:val="0"/>
              <w:snapToGrid w:val="0"/>
              <w:jc w:val="center"/>
              <w:rPr>
                <w:color w:val="000000" w:themeColor="text1"/>
                <w:kern w:val="0"/>
                <w:szCs w:val="21"/>
                <w:highlight w:val="none"/>
                <w14:textFill>
                  <w14:solidFill>
                    <w14:schemeClr w14:val="tx1"/>
                  </w14:solidFill>
                </w14:textFill>
              </w:rPr>
            </w:pPr>
            <w:r>
              <w:rPr>
                <w:color w:val="000000" w:themeColor="text1"/>
                <w:szCs w:val="21"/>
                <w:highlight w:val="none"/>
                <w14:textFill>
                  <w14:solidFill>
                    <w14:schemeClr w14:val="tx1"/>
                  </w14:solidFill>
                </w14:textFill>
              </w:rPr>
              <w:t>评价情况</w:t>
            </w:r>
          </w:p>
        </w:tc>
        <w:tc>
          <w:tcPr>
            <w:tcW w:w="7239" w:type="dxa"/>
            <w:gridSpan w:val="3"/>
            <w:vAlign w:val="center"/>
          </w:tcPr>
          <w:p w14:paraId="0C1C45CF">
            <w:pPr>
              <w:pStyle w:val="44"/>
              <w:keepNext w:val="0"/>
              <w:keepLines w:val="0"/>
              <w:pageBreakBefore w:val="0"/>
              <w:widowControl w:val="0"/>
              <w:kinsoku/>
              <w:wordWrap/>
              <w:overflowPunct/>
              <w:topLinePunct w:val="0"/>
              <w:autoSpaceDE w:val="0"/>
              <w:autoSpaceDN w:val="0"/>
              <w:bidi w:val="0"/>
              <w:adjustRightInd/>
              <w:snapToGrid/>
              <w:spacing w:line="336" w:lineRule="auto"/>
              <w:ind w:firstLine="480"/>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根据《规划环境影响评价条例》中华人民共和国国务院令第559号，第二条：“国务院有关部门、</w:t>
            </w:r>
            <w:r>
              <w:rPr>
                <w:rFonts w:hint="eastAsia"/>
                <w:b/>
                <w:bCs/>
                <w:color w:val="000000" w:themeColor="text1"/>
                <w:highlight w:val="none"/>
                <w:lang w:val="en-US" w:eastAsia="zh-CN"/>
                <w14:textFill>
                  <w14:solidFill>
                    <w14:schemeClr w14:val="tx1"/>
                  </w14:solidFill>
                </w14:textFill>
              </w:rPr>
              <w:t>设区的市级以上地方人民政府及其有关部门，</w:t>
            </w:r>
            <w:r>
              <w:rPr>
                <w:rFonts w:hint="eastAsia"/>
                <w:color w:val="000000" w:themeColor="text1"/>
                <w:highlight w:val="none"/>
                <w:lang w:val="en-US" w:eastAsia="zh-CN"/>
                <w14:textFill>
                  <w14:solidFill>
                    <w14:schemeClr w14:val="tx1"/>
                  </w14:solidFill>
                </w14:textFill>
              </w:rPr>
              <w:t>对其组织编制的土地利用的有关规划和区域、流域、海域的建设、开发利用规划(以下简称综合性规划)，以及工业、农业、畜牧业、林业、能源、水利、交通、城市建设、旅游、自然资源开发的有关专项规划(以下简称专项规划)，应当进行环境影响评价。”</w:t>
            </w:r>
          </w:p>
          <w:p w14:paraId="58AC88D7">
            <w:pPr>
              <w:pStyle w:val="44"/>
              <w:keepNext w:val="0"/>
              <w:keepLines w:val="0"/>
              <w:pageBreakBefore w:val="0"/>
              <w:widowControl w:val="0"/>
              <w:kinsoku/>
              <w:wordWrap/>
              <w:overflowPunct/>
              <w:topLinePunct w:val="0"/>
              <w:autoSpaceDE w:val="0"/>
              <w:autoSpaceDN w:val="0"/>
              <w:bidi w:val="0"/>
              <w:adjustRightInd/>
              <w:snapToGrid/>
              <w:spacing w:line="336" w:lineRule="auto"/>
              <w:ind w:firstLine="480"/>
              <w:textAlignment w:val="auto"/>
              <w:rPr>
                <w:color w:val="000000" w:themeColor="text1"/>
                <w:sz w:val="24"/>
                <w:szCs w:val="24"/>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本项目位于闽清县池园镇，属于乡镇，无需编制规划环境影响评价。</w:t>
            </w:r>
          </w:p>
        </w:tc>
      </w:tr>
      <w:tr w14:paraId="079C5D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1" w:type="dxa"/>
            <w:vAlign w:val="center"/>
          </w:tcPr>
          <w:p w14:paraId="7B0CE63B">
            <w:pPr>
              <w:autoSpaceDE w:val="0"/>
              <w:autoSpaceDN w:val="0"/>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规划及规划环境影响评价符合性分析</w:t>
            </w:r>
          </w:p>
        </w:tc>
        <w:tc>
          <w:tcPr>
            <w:tcW w:w="7239" w:type="dxa"/>
            <w:gridSpan w:val="3"/>
            <w:vAlign w:val="center"/>
          </w:tcPr>
          <w:p w14:paraId="614CCA26">
            <w:pPr>
              <w:pStyle w:val="44"/>
              <w:ind w:firstLine="48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无</w:t>
            </w:r>
          </w:p>
        </w:tc>
      </w:tr>
      <w:tr w14:paraId="03A7CA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52" w:hRule="atLeast"/>
          <w:jc w:val="center"/>
        </w:trPr>
        <w:tc>
          <w:tcPr>
            <w:tcW w:w="1631" w:type="dxa"/>
            <w:vAlign w:val="center"/>
          </w:tcPr>
          <w:p w14:paraId="0CD88354">
            <w:pPr>
              <w:autoSpaceDE w:val="0"/>
              <w:autoSpaceDN w:val="0"/>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其他符合性分析</w:t>
            </w:r>
          </w:p>
        </w:tc>
        <w:tc>
          <w:tcPr>
            <w:tcW w:w="7239" w:type="dxa"/>
            <w:gridSpan w:val="3"/>
            <w:vAlign w:val="center"/>
          </w:tcPr>
          <w:p w14:paraId="731975CB">
            <w:pPr>
              <w:pStyle w:val="3"/>
              <w:tabs>
                <w:tab w:val="left" w:pos="0"/>
                <w:tab w:val="clear" w:pos="420"/>
              </w:tabs>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产业政策</w:t>
            </w:r>
            <w:r>
              <w:rPr>
                <w:color w:val="000000" w:themeColor="text1"/>
                <w:highlight w:val="none"/>
                <w14:textFill>
                  <w14:solidFill>
                    <w14:schemeClr w14:val="tx1"/>
                  </w14:solidFill>
                </w14:textFill>
              </w:rPr>
              <w:t>项目符合性分析</w:t>
            </w:r>
          </w:p>
          <w:p w14:paraId="615D7071">
            <w:pPr>
              <w:spacing w:line="360" w:lineRule="auto"/>
              <w:ind w:firstLine="480" w:firstLineChars="200"/>
              <w:rPr>
                <w:rFonts w:hint="eastAsia"/>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本项目</w:t>
            </w:r>
            <w:r>
              <w:rPr>
                <w:rFonts w:hint="eastAsia"/>
                <w:color w:val="000000" w:themeColor="text1"/>
                <w:sz w:val="24"/>
                <w:highlight w:val="none"/>
                <w14:textFill>
                  <w14:solidFill>
                    <w14:schemeClr w14:val="tx1"/>
                  </w14:solidFill>
                </w14:textFill>
              </w:rPr>
              <w:t>为砼结构构件制造项目</w:t>
            </w: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采用的生产工艺和设备不属于</w:t>
            </w:r>
            <w:r>
              <w:rPr>
                <w:color w:val="000000" w:themeColor="text1"/>
                <w:sz w:val="24"/>
                <w:highlight w:val="none"/>
                <w14:textFill>
                  <w14:solidFill>
                    <w14:schemeClr w14:val="tx1"/>
                  </w14:solidFill>
                </w14:textFill>
              </w:rPr>
              <w:t>《产业结构调整指导目录（20</w:t>
            </w:r>
            <w:r>
              <w:rPr>
                <w:rFonts w:hint="eastAsia"/>
                <w:color w:val="000000" w:themeColor="text1"/>
                <w:sz w:val="24"/>
                <w:highlight w:val="none"/>
                <w:lang w:val="en-US" w:eastAsia="zh-CN"/>
                <w14:textFill>
                  <w14:solidFill>
                    <w14:schemeClr w14:val="tx1"/>
                  </w14:solidFill>
                </w14:textFill>
              </w:rPr>
              <w:t>24</w:t>
            </w:r>
            <w:r>
              <w:rPr>
                <w:color w:val="000000" w:themeColor="text1"/>
                <w:sz w:val="24"/>
                <w:highlight w:val="none"/>
                <w14:textFill>
                  <w14:solidFill>
                    <w14:schemeClr w14:val="tx1"/>
                  </w14:solidFill>
                </w14:textFill>
              </w:rPr>
              <w:t>年本）》</w:t>
            </w:r>
            <w:r>
              <w:rPr>
                <w:rFonts w:hint="eastAsia"/>
                <w:color w:val="000000" w:themeColor="text1"/>
                <w:sz w:val="24"/>
                <w:highlight w:val="none"/>
                <w14:textFill>
                  <w14:solidFill>
                    <w14:schemeClr w14:val="tx1"/>
                  </w14:solidFill>
                </w14:textFill>
              </w:rPr>
              <w:t>中的限制类、淘汰类项目。</w:t>
            </w:r>
            <w:r>
              <w:rPr>
                <w:rFonts w:hint="eastAsia"/>
                <w:color w:val="000000" w:themeColor="text1"/>
                <w:sz w:val="24"/>
                <w:highlight w:val="none"/>
                <w:shd w:val="clear"/>
                <w14:textFill>
                  <w14:solidFill>
                    <w14:schemeClr w14:val="tx1"/>
                  </w14:solidFill>
                </w14:textFill>
              </w:rPr>
              <w:t>建设单位于202</w:t>
            </w:r>
            <w:r>
              <w:rPr>
                <w:rFonts w:hint="eastAsia"/>
                <w:color w:val="000000" w:themeColor="text1"/>
                <w:sz w:val="24"/>
                <w:highlight w:val="none"/>
                <w:shd w:val="clear"/>
                <w:lang w:val="en-US" w:eastAsia="zh-CN"/>
                <w14:textFill>
                  <w14:solidFill>
                    <w14:schemeClr w14:val="tx1"/>
                  </w14:solidFill>
                </w14:textFill>
              </w:rPr>
              <w:t>5</w:t>
            </w:r>
            <w:r>
              <w:rPr>
                <w:rFonts w:hint="eastAsia"/>
                <w:color w:val="000000" w:themeColor="text1"/>
                <w:sz w:val="24"/>
                <w:highlight w:val="none"/>
                <w:shd w:val="clear"/>
                <w14:textFill>
                  <w14:solidFill>
                    <w14:schemeClr w14:val="tx1"/>
                  </w14:solidFill>
                </w14:textFill>
              </w:rPr>
              <w:t>年</w:t>
            </w:r>
            <w:r>
              <w:rPr>
                <w:rFonts w:hint="eastAsia"/>
                <w:color w:val="000000" w:themeColor="text1"/>
                <w:sz w:val="24"/>
                <w:highlight w:val="none"/>
                <w:shd w:val="clear"/>
                <w:lang w:val="en-US" w:eastAsia="zh-CN"/>
                <w14:textFill>
                  <w14:solidFill>
                    <w14:schemeClr w14:val="tx1"/>
                  </w14:solidFill>
                </w14:textFill>
              </w:rPr>
              <w:t>9</w:t>
            </w:r>
            <w:r>
              <w:rPr>
                <w:rFonts w:hint="eastAsia"/>
                <w:color w:val="000000" w:themeColor="text1"/>
                <w:sz w:val="24"/>
                <w:highlight w:val="none"/>
                <w:shd w:val="clear"/>
                <w14:textFill>
                  <w14:solidFill>
                    <w14:schemeClr w14:val="tx1"/>
                  </w14:solidFill>
                </w14:textFill>
              </w:rPr>
              <w:t>月</w:t>
            </w:r>
            <w:r>
              <w:rPr>
                <w:rFonts w:hint="eastAsia"/>
                <w:color w:val="000000" w:themeColor="text1"/>
                <w:sz w:val="24"/>
                <w:highlight w:val="none"/>
                <w:shd w:val="clear"/>
                <w:lang w:val="en-US" w:eastAsia="zh-CN"/>
                <w14:textFill>
                  <w14:solidFill>
                    <w14:schemeClr w14:val="tx1"/>
                  </w14:solidFill>
                </w14:textFill>
              </w:rPr>
              <w:t>22</w:t>
            </w:r>
            <w:r>
              <w:rPr>
                <w:rFonts w:hint="eastAsia"/>
                <w:color w:val="000000" w:themeColor="text1"/>
                <w:sz w:val="24"/>
                <w:highlight w:val="none"/>
                <w:shd w:val="clear"/>
                <w14:textFill>
                  <w14:solidFill>
                    <w14:schemeClr w14:val="tx1"/>
                  </w14:solidFill>
                </w14:textFill>
              </w:rPr>
              <w:t>日取得了</w:t>
            </w:r>
            <w:r>
              <w:rPr>
                <w:rFonts w:hint="eastAsia"/>
                <w:color w:val="000000" w:themeColor="text1"/>
                <w:sz w:val="24"/>
                <w:highlight w:val="none"/>
                <w:shd w:val="clear"/>
                <w:lang w:val="en-US" w:eastAsia="zh-CN"/>
                <w14:textFill>
                  <w14:solidFill>
                    <w14:schemeClr w14:val="tx1"/>
                  </w14:solidFill>
                </w14:textFill>
              </w:rPr>
              <w:t>闽清县工信局</w:t>
            </w:r>
            <w:r>
              <w:rPr>
                <w:rFonts w:hint="eastAsia"/>
                <w:color w:val="000000" w:themeColor="text1"/>
                <w:sz w:val="24"/>
                <w:highlight w:val="none"/>
                <w:shd w:val="clear"/>
                <w14:textFill>
                  <w14:solidFill>
                    <w14:schemeClr w14:val="tx1"/>
                  </w14:solidFill>
                </w14:textFill>
              </w:rPr>
              <w:t>出具的《福建省投资项目备案证明（内资）》（闽</w:t>
            </w:r>
            <w:r>
              <w:rPr>
                <w:rFonts w:hint="eastAsia"/>
                <w:color w:val="000000" w:themeColor="text1"/>
                <w:sz w:val="24"/>
                <w:highlight w:val="none"/>
                <w:shd w:val="clear"/>
                <w:lang w:val="en-US" w:eastAsia="zh-CN"/>
                <w14:textFill>
                  <w14:solidFill>
                    <w14:schemeClr w14:val="tx1"/>
                  </w14:solidFill>
                </w14:textFill>
              </w:rPr>
              <w:t>工信</w:t>
            </w:r>
            <w:r>
              <w:rPr>
                <w:rFonts w:hint="eastAsia"/>
                <w:color w:val="000000" w:themeColor="text1"/>
                <w:sz w:val="24"/>
                <w:highlight w:val="none"/>
                <w:shd w:val="clear"/>
                <w14:textFill>
                  <w14:solidFill>
                    <w14:schemeClr w14:val="tx1"/>
                  </w14:solidFill>
                </w14:textFill>
              </w:rPr>
              <w:t>备[2025]A</w:t>
            </w:r>
            <w:r>
              <w:rPr>
                <w:rFonts w:hint="eastAsia"/>
                <w:color w:val="000000" w:themeColor="text1"/>
                <w:sz w:val="24"/>
                <w:highlight w:val="none"/>
                <w:shd w:val="clear"/>
                <w:lang w:val="en-US" w:eastAsia="zh-CN"/>
                <w14:textFill>
                  <w14:solidFill>
                    <w14:schemeClr w14:val="tx1"/>
                  </w14:solidFill>
                </w14:textFill>
              </w:rPr>
              <w:t>110010</w:t>
            </w:r>
            <w:r>
              <w:rPr>
                <w:rFonts w:hint="eastAsia"/>
                <w:color w:val="000000" w:themeColor="text1"/>
                <w:sz w:val="24"/>
                <w:highlight w:val="none"/>
                <w:shd w:val="clear"/>
                <w14:textFill>
                  <w14:solidFill>
                    <w14:schemeClr w14:val="tx1"/>
                  </w14:solidFill>
                </w14:textFill>
              </w:rPr>
              <w:t>号，附件2），</w:t>
            </w:r>
            <w:r>
              <w:rPr>
                <w:rFonts w:hint="eastAsia"/>
                <w:color w:val="000000" w:themeColor="text1"/>
                <w:sz w:val="24"/>
                <w:highlight w:val="none"/>
                <w14:textFill>
                  <w14:solidFill>
                    <w14:schemeClr w14:val="tx1"/>
                  </w14:solidFill>
                </w14:textFill>
              </w:rPr>
              <w:t>因此项目的建设符合国家和地方的产业政策要求。</w:t>
            </w:r>
          </w:p>
          <w:p w14:paraId="6C6DEDDC">
            <w:pPr>
              <w:pStyle w:val="3"/>
              <w:tabs>
                <w:tab w:val="left" w:pos="0"/>
                <w:tab w:val="clear" w:pos="420"/>
              </w:tabs>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与土地利用规划符合性分析</w:t>
            </w:r>
          </w:p>
          <w:p w14:paraId="3A34681E">
            <w:pPr>
              <w:spacing w:line="360" w:lineRule="auto"/>
              <w:ind w:firstLine="480" w:firstLineChars="200"/>
              <w:rPr>
                <w:rFonts w:hint="eastAsia"/>
                <w:color w:val="000000" w:themeColor="text1"/>
                <w:sz w:val="24"/>
                <w:highlight w:val="none"/>
                <w:lang w:eastAsia="zh-CN"/>
                <w14:textFill>
                  <w14:solidFill>
                    <w14:schemeClr w14:val="tx1"/>
                  </w14:solidFill>
                </w14:textFill>
              </w:rPr>
            </w:pPr>
            <w:r>
              <w:rPr>
                <w:rFonts w:hint="eastAsia"/>
                <w:color w:val="000000" w:themeColor="text1"/>
                <w:sz w:val="24"/>
                <w:highlight w:val="none"/>
                <w14:textFill>
                  <w14:solidFill>
                    <w14:schemeClr w14:val="tx1"/>
                  </w14:solidFill>
                </w14:textFill>
              </w:rPr>
              <w:t>本项目位于</w:t>
            </w:r>
            <w:r>
              <w:rPr>
                <w:rFonts w:hint="eastAsia"/>
                <w:color w:val="000000" w:themeColor="text1"/>
                <w:sz w:val="24"/>
                <w:highlight w:val="none"/>
                <w:lang w:eastAsia="zh-CN"/>
                <w14:textFill>
                  <w14:solidFill>
                    <w14:schemeClr w14:val="tx1"/>
                  </w14:solidFill>
                </w14:textFill>
              </w:rPr>
              <w:t>福建省福州市闽清县池园镇丽山村</w:t>
            </w:r>
            <w:r>
              <w:rPr>
                <w:rFonts w:hint="eastAsia"/>
                <w:color w:val="000000" w:themeColor="text1"/>
                <w:sz w:val="24"/>
                <w:highlight w:val="none"/>
                <w14:textFill>
                  <w14:solidFill>
                    <w14:schemeClr w14:val="tx1"/>
                  </w14:solidFill>
                </w14:textFill>
              </w:rPr>
              <w:t>，为</w:t>
            </w:r>
            <w:r>
              <w:rPr>
                <w:rFonts w:hint="eastAsia"/>
                <w:color w:val="000000" w:themeColor="text1"/>
                <w:sz w:val="24"/>
                <w:highlight w:val="none"/>
                <w:lang w:val="en-US" w:eastAsia="zh-CN"/>
                <w14:textFill>
                  <w14:solidFill>
                    <w14:schemeClr w14:val="tx1"/>
                  </w14:solidFill>
                </w14:textFill>
              </w:rPr>
              <w:t>租赁福州宏睿工贸有限公司的合法工业场地，根据附件4（产权证），</w:t>
            </w:r>
            <w:r>
              <w:rPr>
                <w:rFonts w:hint="eastAsia"/>
                <w:color w:val="000000" w:themeColor="text1"/>
                <w:sz w:val="24"/>
                <w:highlight w:val="none"/>
                <w14:textFill>
                  <w14:solidFill>
                    <w14:schemeClr w14:val="tx1"/>
                  </w14:solidFill>
                </w14:textFill>
              </w:rPr>
              <w:t>用地属非住宅、非违法建筑，可用于生产、经营场所使用。且项目用地不在《限制用地项目目录（2012年本）》和《禁止用地项目目录（2012年本）》目录中，因此，符合</w:t>
            </w:r>
            <w:r>
              <w:rPr>
                <w:rFonts w:hint="eastAsia"/>
                <w:color w:val="000000" w:themeColor="text1"/>
                <w:sz w:val="24"/>
                <w:highlight w:val="none"/>
                <w:lang w:val="en-US" w:eastAsia="zh-CN"/>
                <w14:textFill>
                  <w14:solidFill>
                    <w14:schemeClr w14:val="tx1"/>
                  </w14:solidFill>
                </w14:textFill>
              </w:rPr>
              <w:t>区域</w:t>
            </w:r>
            <w:r>
              <w:rPr>
                <w:rFonts w:hint="eastAsia"/>
                <w:color w:val="000000" w:themeColor="text1"/>
                <w:sz w:val="24"/>
                <w:highlight w:val="none"/>
                <w14:textFill>
                  <w14:solidFill>
                    <w14:schemeClr w14:val="tx1"/>
                  </w14:solidFill>
                </w14:textFill>
              </w:rPr>
              <w:t>土地利用规划</w:t>
            </w:r>
            <w:r>
              <w:rPr>
                <w:rFonts w:hint="eastAsia"/>
                <w:color w:val="000000" w:themeColor="text1"/>
                <w:sz w:val="24"/>
                <w:highlight w:val="none"/>
                <w:lang w:eastAsia="zh-CN"/>
                <w14:textFill>
                  <w14:solidFill>
                    <w14:schemeClr w14:val="tx1"/>
                  </w14:solidFill>
                </w14:textFill>
              </w:rPr>
              <w:t>。</w:t>
            </w:r>
          </w:p>
          <w:p w14:paraId="53CBE5B1">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综上所述，项目选址可行。</w:t>
            </w:r>
          </w:p>
          <w:p w14:paraId="23B7A76F">
            <w:pPr>
              <w:pStyle w:val="3"/>
              <w:tabs>
                <w:tab w:val="left" w:pos="0"/>
                <w:tab w:val="clear" w:pos="420"/>
              </w:tabs>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“三线一单”控制要求符合性分析</w:t>
            </w:r>
          </w:p>
          <w:p w14:paraId="099D62E1">
            <w:pPr>
              <w:keepNext w:val="0"/>
              <w:keepLines w:val="0"/>
              <w:suppressLineNumbers w:val="0"/>
              <w:spacing w:before="0" w:beforeAutospacing="0" w:after="0" w:afterAutospacing="0" w:line="360" w:lineRule="auto"/>
              <w:ind w:left="0" w:right="0" w:firstLine="480"/>
              <w:rPr>
                <w:rFonts w:hint="default"/>
                <w:color w:val="000000" w:themeColor="text1"/>
                <w14:textFill>
                  <w14:solidFill>
                    <w14:schemeClr w14:val="tx1"/>
                  </w14:solidFill>
                </w14:textFill>
              </w:rPr>
            </w:pPr>
            <w:r>
              <w:rPr>
                <w:rFonts w:hint="eastAsia"/>
                <w:color w:val="000000" w:themeColor="text1"/>
                <w:sz w:val="24"/>
                <w:szCs w:val="20"/>
                <w14:textFill>
                  <w14:solidFill>
                    <w14:schemeClr w14:val="tx1"/>
                  </w14:solidFill>
                </w14:textFill>
              </w:rPr>
              <w:t>根据</w:t>
            </w:r>
            <w:r>
              <w:rPr>
                <w:rFonts w:hint="eastAsia" w:ascii="Times New Roman" w:hAnsi="Times New Roman" w:eastAsia="宋体" w:cs="Times New Roman"/>
                <w:color w:val="000000" w:themeColor="text1"/>
                <w:kern w:val="0"/>
                <w:sz w:val="24"/>
                <w:szCs w:val="20"/>
                <w14:textFill>
                  <w14:solidFill>
                    <w14:schemeClr w14:val="tx1"/>
                  </w14:solidFill>
                </w14:textFill>
              </w:rPr>
              <w:t>《福州市人民政府关于实施“三线一单”生态分区管控的通知》</w:t>
            </w:r>
            <w:r>
              <w:rPr>
                <w:rFonts w:hint="eastAsia"/>
                <w:color w:val="000000" w:themeColor="text1"/>
                <w:lang w:eastAsia="zh-CN"/>
                <w14:textFill>
                  <w14:solidFill>
                    <w14:schemeClr w14:val="tx1"/>
                  </w14:solidFill>
                </w14:textFill>
              </w:rPr>
              <w:t>，</w:t>
            </w:r>
            <w:r>
              <w:rPr>
                <w:rFonts w:hint="eastAsia"/>
                <w:color w:val="000000" w:themeColor="text1"/>
                <w:sz w:val="24"/>
                <w:szCs w:val="20"/>
                <w14:textFill>
                  <w14:solidFill>
                    <w14:schemeClr w14:val="tx1"/>
                  </w14:solidFill>
                </w14:textFill>
              </w:rPr>
              <w:t>本项目与</w:t>
            </w:r>
            <w:r>
              <w:rPr>
                <w:rFonts w:hint="eastAsia"/>
                <w:color w:val="000000" w:themeColor="text1"/>
                <w:sz w:val="24"/>
                <w:szCs w:val="20"/>
                <w:lang w:val="en-US" w:eastAsia="zh-CN"/>
                <w14:textFill>
                  <w14:solidFill>
                    <w14:schemeClr w14:val="tx1"/>
                  </w14:solidFill>
                </w14:textFill>
              </w:rPr>
              <w:t>福州</w:t>
            </w:r>
            <w:r>
              <w:rPr>
                <w:rFonts w:hint="eastAsia"/>
                <w:color w:val="000000" w:themeColor="text1"/>
                <w:sz w:val="24"/>
                <w:szCs w:val="20"/>
                <w14:textFill>
                  <w14:solidFill>
                    <w14:schemeClr w14:val="tx1"/>
                  </w14:solidFill>
                </w14:textFill>
              </w:rPr>
              <w:t>市“三线一单”管控要求符合性分析如下：</w:t>
            </w:r>
          </w:p>
          <w:p w14:paraId="1C87911B">
            <w:pPr>
              <w:pStyle w:val="4"/>
              <w:bidi w:val="0"/>
              <w:ind w:left="720" w:leftChars="0" w:hanging="72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生态保护红线</w:t>
            </w:r>
          </w:p>
          <w:p w14:paraId="30C626AC">
            <w:pPr>
              <w:pStyle w:val="44"/>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w:t>
            </w:r>
            <w:r>
              <w:rPr>
                <w:rFonts w:hint="eastAsia" w:ascii="Times New Roman" w:hAnsi="Times New Roman" w:eastAsia="宋体" w:cs="Times New Roman"/>
                <w:color w:val="000000" w:themeColor="text1"/>
                <w:kern w:val="0"/>
                <w:sz w:val="24"/>
                <w:szCs w:val="20"/>
                <w14:textFill>
                  <w14:solidFill>
                    <w14:schemeClr w14:val="tx1"/>
                  </w14:solidFill>
                </w14:textFill>
              </w:rPr>
              <w:t>《福州市人民政府关于实施“三线一单”生态分区管控的通知》</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福州</w:t>
            </w:r>
            <w:r>
              <w:rPr>
                <w:rFonts w:hint="eastAsia"/>
                <w:color w:val="000000" w:themeColor="text1"/>
                <w:highlight w:val="none"/>
                <w14:textFill>
                  <w14:solidFill>
                    <w14:schemeClr w14:val="tx1"/>
                  </w14:solidFill>
                </w14:textFill>
              </w:rPr>
              <w:t>市生态保护红线为全市生态空间范围内具有特殊重要生态功能、必须强制性严格保护的区域，包括水源涵养、生物多样性维护、水土保持、海岸防护等生态功能极重要区域，水土流失、海岸侵蚀及沙源流失等生态极脆弱区域，以及其他具有潜在重要生态价值的区域。</w:t>
            </w:r>
            <w:r>
              <w:rPr>
                <w:rFonts w:hint="eastAsia"/>
                <w:color w:val="000000" w:themeColor="text1"/>
                <w:highlight w:val="none"/>
                <w:lang w:val="en-US" w:eastAsia="zh-CN"/>
                <w14:textFill>
                  <w14:solidFill>
                    <w14:schemeClr w14:val="tx1"/>
                  </w14:solidFill>
                </w14:textFill>
              </w:rPr>
              <w:t>福州</w:t>
            </w:r>
            <w:r>
              <w:rPr>
                <w:rFonts w:hint="eastAsia"/>
                <w:color w:val="000000" w:themeColor="text1"/>
                <w:highlight w:val="none"/>
                <w14:textFill>
                  <w14:solidFill>
                    <w14:schemeClr w14:val="tx1"/>
                  </w14:solidFill>
                </w14:textFill>
              </w:rPr>
              <w:t>市生态保护红线最终范围和面积以省政府发布结果为准。经对照，项目建设区未涉及生态保护红线，因此，项目建设与生态保护红线管控要求不冲突</w:t>
            </w:r>
            <w:r>
              <w:rPr>
                <w:color w:val="000000" w:themeColor="text1"/>
                <w:highlight w:val="none"/>
                <w14:textFill>
                  <w14:solidFill>
                    <w14:schemeClr w14:val="tx1"/>
                  </w14:solidFill>
                </w14:textFill>
              </w:rPr>
              <w:t>。</w:t>
            </w:r>
          </w:p>
          <w:p w14:paraId="6BED09FC">
            <w:pPr>
              <w:pStyle w:val="4"/>
              <w:bidi w:val="0"/>
              <w:ind w:left="720" w:leftChars="0" w:hanging="72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环境质量底线</w:t>
            </w:r>
          </w:p>
          <w:p w14:paraId="6CDD4065">
            <w:pPr>
              <w:pStyle w:val="44"/>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default"/>
                <w:color w:val="000000" w:themeColor="text1"/>
                <w:lang w:val="en-US" w:eastAsia="zh-CN"/>
                <w14:textFill>
                  <w14:solidFill>
                    <w14:schemeClr w14:val="tx1"/>
                  </w14:solidFill>
                </w14:textFill>
              </w:rPr>
              <w:t>水环境质量底线</w:t>
            </w:r>
          </w:p>
          <w:p w14:paraId="3409D42A">
            <w:pPr>
              <w:pStyle w:val="44"/>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textAlignment w:val="auto"/>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根据</w:t>
            </w:r>
            <w:r>
              <w:rPr>
                <w:rFonts w:hint="default"/>
                <w:color w:val="000000" w:themeColor="text1"/>
                <w:lang w:val="en-US" w:eastAsia="zh-CN"/>
                <w14:textFill>
                  <w14:solidFill>
                    <w14:schemeClr w14:val="tx1"/>
                  </w14:solidFill>
                </w14:textFill>
              </w:rPr>
              <w:t>《福州市人民政府关于实施“三线一单”生态分区管控的通知》</w:t>
            </w:r>
            <w:r>
              <w:rPr>
                <w:rFonts w:hint="default"/>
                <w:color w:val="000000" w:themeColor="text1"/>
                <w14:textFill>
                  <w14:solidFill>
                    <w14:schemeClr w14:val="tx1"/>
                  </w14:solidFill>
                </w14:textFill>
              </w:rPr>
              <w:t>，到2025年，国省控断面水质优良（达到或优于Ⅲ类）比例总体达到90.0%，福清海口桥断面水质稳定达到Ⅳ类；县级以上集中式饮用水水源水质达标率达100%。到2030年，国省控断面水质优良（达到或优于Ⅲ类）比例总体达到90.0%；县级以上城市建成区黑臭水体总体得到消除；县级以上集中式饮用水水源水质达标率达100%。到2035年，国省考断面水质优良（达到或优于Ⅲ类）比例总体达到95.0%；生态系统实现良性循环。</w:t>
            </w:r>
          </w:p>
          <w:p w14:paraId="302D9465">
            <w:pPr>
              <w:pStyle w:val="44"/>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jc w:val="both"/>
              <w:textAlignment w:val="auto"/>
              <w:rPr>
                <w:rFonts w:hint="default"/>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0"/>
                <w14:textFill>
                  <w14:solidFill>
                    <w14:schemeClr w14:val="tx1"/>
                  </w14:solidFill>
                </w14:textFill>
              </w:rPr>
              <w:t>项目</w:t>
            </w:r>
            <w:r>
              <w:rPr>
                <w:rFonts w:hint="eastAsia" w:cs="Times New Roman"/>
                <w:color w:val="000000" w:themeColor="text1"/>
                <w:kern w:val="0"/>
                <w:sz w:val="24"/>
                <w:szCs w:val="20"/>
                <w:lang w:val="en-US" w:eastAsia="zh-CN"/>
                <w14:textFill>
                  <w14:solidFill>
                    <w14:schemeClr w14:val="tx1"/>
                  </w14:solidFill>
                </w14:textFill>
              </w:rPr>
              <w:t>生产废水循环使用不外排</w:t>
            </w:r>
            <w:r>
              <w:rPr>
                <w:rFonts w:hint="default" w:ascii="Times New Roman" w:hAnsi="Times New Roman" w:eastAsia="宋体" w:cs="Times New Roman"/>
                <w:color w:val="000000" w:themeColor="text1"/>
                <w:kern w:val="0"/>
                <w:sz w:val="24"/>
                <w:szCs w:val="20"/>
                <w14:textFill>
                  <w14:solidFill>
                    <w14:schemeClr w14:val="tx1"/>
                  </w14:solidFill>
                </w14:textFill>
              </w:rPr>
              <w:t>，</w:t>
            </w:r>
            <w:r>
              <w:rPr>
                <w:rFonts w:hint="eastAsia" w:ascii="Times New Roman" w:hAnsi="Times New Roman" w:eastAsia="宋体" w:cs="Times New Roman"/>
                <w:color w:val="000000" w:themeColor="text1"/>
                <w:kern w:val="0"/>
                <w:sz w:val="24"/>
                <w:szCs w:val="20"/>
                <w:lang w:val="en-US" w:eastAsia="zh-CN"/>
                <w14:textFill>
                  <w14:solidFill>
                    <w14:schemeClr w14:val="tx1"/>
                  </w14:solidFill>
                </w14:textFill>
              </w:rPr>
              <w:t>外排废水</w:t>
            </w:r>
            <w:r>
              <w:rPr>
                <w:rFonts w:hint="default" w:ascii="Times New Roman" w:hAnsi="Times New Roman" w:eastAsia="宋体" w:cs="Times New Roman"/>
                <w:color w:val="000000" w:themeColor="text1"/>
                <w:kern w:val="0"/>
                <w:sz w:val="24"/>
                <w:szCs w:val="20"/>
                <w14:textFill>
                  <w14:solidFill>
                    <w14:schemeClr w14:val="tx1"/>
                  </w14:solidFill>
                </w14:textFill>
              </w:rPr>
              <w:t>主要为职工的生活污水，生活污水经化粪池处理达标后，</w:t>
            </w:r>
            <w:r>
              <w:rPr>
                <w:rFonts w:hint="eastAsia" w:ascii="Times New Roman" w:hAnsi="Times New Roman" w:eastAsia="宋体" w:cs="Times New Roman"/>
                <w:color w:val="000000" w:themeColor="text1"/>
                <w:kern w:val="0"/>
                <w:sz w:val="24"/>
                <w:szCs w:val="20"/>
                <w:lang w:val="en-US" w:eastAsia="zh-CN"/>
                <w14:textFill>
                  <w14:solidFill>
                    <w14:schemeClr w14:val="tx1"/>
                  </w14:solidFill>
                </w14:textFill>
              </w:rPr>
              <w:t>通过市政管网排入</w:t>
            </w:r>
            <w:r>
              <w:rPr>
                <w:rFonts w:hint="eastAsia" w:cs="Times New Roman"/>
                <w:color w:val="000000" w:themeColor="text1"/>
                <w:kern w:val="0"/>
                <w:sz w:val="24"/>
                <w:szCs w:val="20"/>
                <w:lang w:val="en-US" w:eastAsia="zh-CN"/>
                <w14:textFill>
                  <w14:solidFill>
                    <w14:schemeClr w14:val="tx1"/>
                  </w14:solidFill>
                </w14:textFill>
              </w:rPr>
              <w:t>闽清县白金工业园区污水处理厂</w:t>
            </w:r>
            <w:r>
              <w:rPr>
                <w:rFonts w:hint="eastAsia" w:cs="Times New Roman"/>
                <w:color w:val="000000" w:themeColor="text1"/>
                <w:shd w:val="clear"/>
                <w:lang w:eastAsia="zh-CN"/>
                <w14:textFill>
                  <w14:solidFill>
                    <w14:schemeClr w14:val="tx1"/>
                  </w14:solidFill>
                </w14:textFill>
              </w:rPr>
              <w:t>处理</w:t>
            </w:r>
            <w:r>
              <w:rPr>
                <w:rFonts w:hint="default" w:ascii="Times New Roman" w:hAnsi="Times New Roman" w:eastAsia="宋体" w:cs="Times New Roman"/>
                <w:color w:val="000000" w:themeColor="text1"/>
                <w:kern w:val="0"/>
                <w:sz w:val="24"/>
                <w:szCs w:val="20"/>
                <w:shd w:val="clear"/>
                <w14:textFill>
                  <w14:solidFill>
                    <w14:schemeClr w14:val="tx1"/>
                  </w14:solidFill>
                </w14:textFill>
              </w:rPr>
              <w:t>。项目建设对区域水环境质量影响较小，</w:t>
            </w:r>
            <w:r>
              <w:rPr>
                <w:rFonts w:hint="default" w:ascii="Times New Roman" w:hAnsi="Times New Roman" w:eastAsia="宋体" w:cs="Times New Roman"/>
                <w:color w:val="000000" w:themeColor="text1"/>
                <w:kern w:val="0"/>
                <w:sz w:val="24"/>
                <w:szCs w:val="20"/>
                <w14:textFill>
                  <w14:solidFill>
                    <w14:schemeClr w14:val="tx1"/>
                  </w14:solidFill>
                </w14:textFill>
              </w:rPr>
              <w:t>不会突破环境质量底线。</w:t>
            </w:r>
          </w:p>
          <w:p w14:paraId="7E5ED4C5">
            <w:pPr>
              <w:pStyle w:val="44"/>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textAlignment w:val="auto"/>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lang w:val="en-US" w:eastAsia="zh-CN"/>
                <w14:textFill>
                  <w14:solidFill>
                    <w14:schemeClr w14:val="tx1"/>
                  </w14:solidFill>
                </w14:textFill>
              </w:rPr>
              <w:t>大气环境质量底线</w:t>
            </w:r>
          </w:p>
          <w:p w14:paraId="10E3D617">
            <w:pPr>
              <w:pStyle w:val="5"/>
              <w:keepNext/>
              <w:keepLines/>
              <w:pageBreakBefore w:val="0"/>
              <w:widowControl w:val="0"/>
              <w:numPr>
                <w:ilvl w:val="3"/>
                <w:numId w:val="0"/>
              </w:numPr>
              <w:suppressLineNumbers w:val="0"/>
              <w:tabs>
                <w:tab w:val="left" w:pos="0"/>
                <w:tab w:val="clear" w:pos="420"/>
              </w:tabs>
              <w:kinsoku/>
              <w:wordWrap/>
              <w:overflowPunct/>
              <w:topLinePunct w:val="0"/>
              <w:autoSpaceDE/>
              <w:autoSpaceDN/>
              <w:bidi w:val="0"/>
              <w:adjustRightInd/>
              <w:snapToGrid/>
              <w:spacing w:before="0" w:beforeAutospacing="0" w:after="0" w:afterAutospacing="0" w:line="360" w:lineRule="auto"/>
              <w:ind w:leftChars="0" w:right="0" w:rightChars="0" w:firstLine="480" w:firstLineChars="200"/>
              <w:jc w:val="both"/>
              <w:textAlignment w:val="auto"/>
              <w:rPr>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0"/>
                <w:lang w:val="en-US" w:eastAsia="zh-CN" w:bidi="ar-SA"/>
                <w14:textFill>
                  <w14:solidFill>
                    <w14:schemeClr w14:val="tx1"/>
                  </w14:solidFill>
                </w14:textFill>
              </w:rPr>
              <w:t>根据</w:t>
            </w:r>
            <w:r>
              <w:rPr>
                <w:rFonts w:hint="default" w:ascii="Times New Roman" w:hAnsi="Times New Roman" w:eastAsia="宋体" w:cs="Times New Roman"/>
                <w:b w:val="0"/>
                <w:bCs w:val="0"/>
                <w:color w:val="000000" w:themeColor="text1"/>
                <w:kern w:val="0"/>
                <w:sz w:val="24"/>
                <w:szCs w:val="20"/>
                <w:lang w:val="en-US" w:eastAsia="zh-CN" w:bidi="ar-SA"/>
                <w14:textFill>
                  <w14:solidFill>
                    <w14:schemeClr w14:val="tx1"/>
                  </w14:solidFill>
                </w14:textFill>
              </w:rPr>
              <w:t>《福州市人民政府关于实施“三线一单”生态分区管控的通知》，</w:t>
            </w:r>
            <w:r>
              <w:rPr>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到2025年，中心城区PM</w:t>
            </w:r>
            <w:r>
              <w:rPr>
                <w:rFonts w:hint="default" w:ascii="Times New Roman" w:hAnsi="Times New Roman" w:eastAsia="宋体" w:cs="Times New Roman"/>
                <w:b w:val="0"/>
                <w:bCs w:val="0"/>
                <w:color w:val="000000" w:themeColor="text1"/>
                <w:kern w:val="0"/>
                <w:sz w:val="24"/>
                <w:szCs w:val="24"/>
                <w:vertAlign w:val="subscript"/>
                <w:lang w:val="en-US" w:eastAsia="zh-CN"/>
                <w14:textFill>
                  <w14:solidFill>
                    <w14:schemeClr w14:val="tx1"/>
                  </w14:solidFill>
                </w14:textFill>
              </w:rPr>
              <w:t>2.5</w:t>
            </w:r>
            <w:r>
              <w:rPr>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年平均浓度不高于23μg/m</w:t>
            </w:r>
            <w:r>
              <w:rPr>
                <w:rFonts w:hint="default" w:ascii="Times New Roman" w:hAnsi="Times New Roman" w:eastAsia="宋体" w:cs="Times New Roman"/>
                <w:b w:val="0"/>
                <w:bCs w:val="0"/>
                <w:color w:val="000000" w:themeColor="text1"/>
                <w:kern w:val="0"/>
                <w:sz w:val="24"/>
                <w:szCs w:val="24"/>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。到2035年，县级以上地区空气质量PM</w:t>
            </w:r>
            <w:r>
              <w:rPr>
                <w:rFonts w:hint="default" w:ascii="Times New Roman" w:hAnsi="Times New Roman" w:eastAsia="宋体" w:cs="Times New Roman"/>
                <w:b w:val="0"/>
                <w:bCs w:val="0"/>
                <w:color w:val="000000" w:themeColor="text1"/>
                <w:kern w:val="0"/>
                <w:sz w:val="24"/>
                <w:szCs w:val="24"/>
                <w:vertAlign w:val="subscript"/>
                <w:lang w:val="en-US" w:eastAsia="zh-CN"/>
                <w14:textFill>
                  <w14:solidFill>
                    <w14:schemeClr w14:val="tx1"/>
                  </w14:solidFill>
                </w14:textFill>
              </w:rPr>
              <w:t>2.5</w:t>
            </w:r>
            <w:r>
              <w:rPr>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年平均浓度不高于18μg/m</w:t>
            </w:r>
            <w:r>
              <w:rPr>
                <w:rFonts w:hint="default" w:ascii="Times New Roman" w:hAnsi="Times New Roman" w:eastAsia="宋体" w:cs="Times New Roman"/>
                <w:b w:val="0"/>
                <w:bCs w:val="0"/>
                <w:color w:val="000000" w:themeColor="text1"/>
                <w:kern w:val="0"/>
                <w:sz w:val="24"/>
                <w:szCs w:val="24"/>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w:t>
            </w:r>
          </w:p>
          <w:p w14:paraId="484AEA5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leftChars="0" w:right="0" w:firstLine="480" w:firstLineChars="200"/>
              <w:textAlignment w:val="auto"/>
              <w:rPr>
                <w:rFonts w:hint="default"/>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0"/>
                <w14:textFill>
                  <w14:solidFill>
                    <w14:schemeClr w14:val="tx1"/>
                  </w14:solidFill>
                </w14:textFill>
              </w:rPr>
              <w:t>本项目</w:t>
            </w:r>
            <w:r>
              <w:rPr>
                <w:rFonts w:hint="eastAsia" w:ascii="Times New Roman" w:hAnsi="Times New Roman" w:eastAsia="宋体" w:cs="Times New Roman"/>
                <w:color w:val="000000" w:themeColor="text1"/>
                <w:kern w:val="0"/>
                <w:sz w:val="24"/>
                <w:szCs w:val="20"/>
                <w:lang w:val="en-US" w:eastAsia="zh-CN"/>
                <w14:textFill>
                  <w14:solidFill>
                    <w14:schemeClr w14:val="tx1"/>
                  </w14:solidFill>
                </w14:textFill>
              </w:rPr>
              <w:t>为</w:t>
            </w:r>
            <w:r>
              <w:rPr>
                <w:rFonts w:hint="eastAsia" w:ascii="宋体" w:hAnsi="宋体" w:cs="宋体"/>
                <w:color w:val="000000" w:themeColor="text1"/>
                <w:sz w:val="24"/>
                <w:szCs w:val="24"/>
                <w:u w:val="none"/>
                <w:lang w:val="en-US" w:eastAsia="zh-CN"/>
                <w14:textFill>
                  <w14:solidFill>
                    <w14:schemeClr w14:val="tx1"/>
                  </w14:solidFill>
                </w14:textFill>
              </w:rPr>
              <w:t>砼结构构件制造</w:t>
            </w:r>
            <w:r>
              <w:rPr>
                <w:rFonts w:hint="eastAsia" w:ascii="宋体" w:hAnsi="宋体" w:eastAsia="宋体" w:cs="宋体"/>
                <w:color w:val="000000" w:themeColor="text1"/>
                <w:sz w:val="24"/>
                <w:szCs w:val="24"/>
                <w:u w:val="none"/>
                <w14:textFill>
                  <w14:solidFill>
                    <w14:schemeClr w14:val="tx1"/>
                  </w14:solidFill>
                </w14:textFill>
              </w:rPr>
              <w:t>项目</w:t>
            </w:r>
            <w:r>
              <w:rPr>
                <w:rFonts w:hint="eastAsia" w:ascii="Times New Roman" w:hAnsi="Times New Roman" w:eastAsia="宋体" w:cs="Times New Roman"/>
                <w:color w:val="000000" w:themeColor="text1"/>
                <w:kern w:val="0"/>
                <w:sz w:val="24"/>
                <w:szCs w:val="20"/>
                <w14:textFill>
                  <w14:solidFill>
                    <w14:schemeClr w14:val="tx1"/>
                  </w14:solidFill>
                </w14:textFill>
              </w:rPr>
              <w:t>，不属于S</w:t>
            </w:r>
            <w:r>
              <w:rPr>
                <w:rFonts w:hint="default" w:ascii="Times New Roman" w:hAnsi="Times New Roman" w:eastAsia="宋体" w:cs="Times New Roman"/>
                <w:color w:val="000000" w:themeColor="text1"/>
                <w:kern w:val="0"/>
                <w:sz w:val="24"/>
                <w:szCs w:val="20"/>
                <w14:textFill>
                  <w14:solidFill>
                    <w14:schemeClr w14:val="tx1"/>
                  </w14:solidFill>
                </w14:textFill>
              </w:rPr>
              <w:t>O</w:t>
            </w:r>
            <w:r>
              <w:rPr>
                <w:rFonts w:hint="default" w:ascii="Times New Roman" w:hAnsi="Times New Roman" w:eastAsia="宋体" w:cs="Times New Roman"/>
                <w:color w:val="000000" w:themeColor="text1"/>
                <w:kern w:val="0"/>
                <w:sz w:val="24"/>
                <w:szCs w:val="20"/>
                <w:vertAlign w:val="subscript"/>
                <w14:textFill>
                  <w14:solidFill>
                    <w14:schemeClr w14:val="tx1"/>
                  </w14:solidFill>
                </w14:textFill>
              </w:rPr>
              <w:t>2</w:t>
            </w:r>
            <w:r>
              <w:rPr>
                <w:rFonts w:hint="eastAsia" w:ascii="Times New Roman" w:hAnsi="Times New Roman" w:eastAsia="宋体" w:cs="Times New Roman"/>
                <w:color w:val="000000" w:themeColor="text1"/>
                <w:kern w:val="0"/>
                <w:sz w:val="24"/>
                <w:szCs w:val="20"/>
                <w14:textFill>
                  <w14:solidFill>
                    <w14:schemeClr w14:val="tx1"/>
                  </w14:solidFill>
                </w14:textFill>
              </w:rPr>
              <w:t>、NOx、VOCs排放量较大的重点行业；大气污染物</w:t>
            </w:r>
            <w:r>
              <w:rPr>
                <w:rFonts w:hint="eastAsia" w:ascii="Times New Roman" w:hAnsi="Times New Roman" w:eastAsia="宋体" w:cs="Times New Roman"/>
                <w:color w:val="000000" w:themeColor="text1"/>
                <w:kern w:val="0"/>
                <w:sz w:val="24"/>
                <w:szCs w:val="20"/>
                <w:lang w:val="en-US" w:eastAsia="zh-CN"/>
                <w14:textFill>
                  <w14:solidFill>
                    <w14:schemeClr w14:val="tx1"/>
                  </w14:solidFill>
                </w14:textFill>
              </w:rPr>
              <w:t>为颗粒物、VOCs</w:t>
            </w:r>
            <w:r>
              <w:rPr>
                <w:rFonts w:hint="eastAsia" w:ascii="Times New Roman" w:hAnsi="Times New Roman" w:eastAsia="宋体" w:cs="Times New Roman"/>
                <w:color w:val="000000" w:themeColor="text1"/>
                <w:kern w:val="0"/>
                <w:sz w:val="24"/>
                <w:szCs w:val="20"/>
                <w14:textFill>
                  <w14:solidFill>
                    <w14:schemeClr w14:val="tx1"/>
                  </w14:solidFill>
                </w14:textFill>
              </w:rPr>
              <w:t>，采取措施后可做到达标排放，不</w:t>
            </w:r>
            <w:r>
              <w:rPr>
                <w:rFonts w:hint="eastAsia" w:cs="Times New Roman"/>
                <w:color w:val="000000" w:themeColor="text1"/>
                <w:kern w:val="0"/>
                <w:sz w:val="24"/>
                <w:szCs w:val="20"/>
                <w:lang w:val="en-US" w:eastAsia="zh-CN"/>
                <w14:textFill>
                  <w14:solidFill>
                    <w14:schemeClr w14:val="tx1"/>
                  </w14:solidFill>
                </w14:textFill>
              </w:rPr>
              <w:t>会</w:t>
            </w:r>
            <w:r>
              <w:rPr>
                <w:rFonts w:hint="eastAsia" w:ascii="Times New Roman" w:hAnsi="Times New Roman" w:eastAsia="宋体" w:cs="Times New Roman"/>
                <w:color w:val="000000" w:themeColor="text1"/>
                <w:kern w:val="0"/>
                <w:sz w:val="24"/>
                <w:szCs w:val="20"/>
                <w14:textFill>
                  <w14:solidFill>
                    <w14:schemeClr w14:val="tx1"/>
                  </w14:solidFill>
                </w14:textFill>
              </w:rPr>
              <w:t>突破</w:t>
            </w:r>
            <w:r>
              <w:rPr>
                <w:rFonts w:hint="eastAsia" w:cs="Times New Roman"/>
                <w:color w:val="000000" w:themeColor="text1"/>
                <w:kern w:val="0"/>
                <w:sz w:val="24"/>
                <w:szCs w:val="20"/>
                <w:lang w:val="en-US" w:eastAsia="zh-CN"/>
                <w14:textFill>
                  <w14:solidFill>
                    <w14:schemeClr w14:val="tx1"/>
                  </w14:solidFill>
                </w14:textFill>
              </w:rPr>
              <w:t>环境质量</w:t>
            </w:r>
            <w:r>
              <w:rPr>
                <w:rFonts w:hint="eastAsia" w:ascii="Times New Roman" w:hAnsi="Times New Roman" w:eastAsia="宋体" w:cs="Times New Roman"/>
                <w:color w:val="000000" w:themeColor="text1"/>
                <w:kern w:val="0"/>
                <w:sz w:val="24"/>
                <w:szCs w:val="20"/>
                <w14:textFill>
                  <w14:solidFill>
                    <w14:schemeClr w14:val="tx1"/>
                  </w14:solidFill>
                </w14:textFill>
              </w:rPr>
              <w:t>底线。</w:t>
            </w:r>
          </w:p>
          <w:p w14:paraId="1AA70AF0">
            <w:pPr>
              <w:pStyle w:val="44"/>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color w:val="000000" w:themeColor="text1"/>
                <w:lang w:val="en-US" w:eastAsia="zh-CN"/>
                <w14:textFill>
                  <w14:solidFill>
                    <w14:schemeClr w14:val="tx1"/>
                  </w14:solidFill>
                </w14:textFill>
              </w:rPr>
              <w:t>土壤环境质量底线</w:t>
            </w:r>
          </w:p>
          <w:p w14:paraId="61B3B1BC">
            <w:pPr>
              <w:keepNext w:val="0"/>
              <w:keepLines w:val="0"/>
              <w:widowControl/>
              <w:suppressLineNumbers w:val="0"/>
              <w:snapToGrid w:val="0"/>
              <w:spacing w:before="0" w:beforeAutospacing="0" w:after="0" w:afterAutospacing="0" w:line="336" w:lineRule="auto"/>
              <w:ind w:left="0" w:right="0" w:firstLine="480" w:firstLineChars="200"/>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0"/>
                <w:lang w:val="en-US" w:eastAsia="zh-CN" w:bidi="ar-SA"/>
                <w14:textFill>
                  <w14:solidFill>
                    <w14:schemeClr w14:val="tx1"/>
                  </w14:solidFill>
                </w14:textFill>
              </w:rPr>
              <w:t>根据</w:t>
            </w:r>
            <w:r>
              <w:rPr>
                <w:rFonts w:hint="default" w:ascii="Times New Roman" w:hAnsi="Times New Roman" w:eastAsia="宋体" w:cs="Times New Roman"/>
                <w:b w:val="0"/>
                <w:bCs w:val="0"/>
                <w:color w:val="000000" w:themeColor="text1"/>
                <w:kern w:val="0"/>
                <w:sz w:val="24"/>
                <w:szCs w:val="20"/>
                <w:lang w:val="en-US" w:eastAsia="zh-CN" w:bidi="ar-SA"/>
                <w14:textFill>
                  <w14:solidFill>
                    <w14:schemeClr w14:val="tx1"/>
                  </w14:solidFill>
                </w14:textFill>
              </w:rPr>
              <w:t>《福州市人民政府关于实施“三线一单”生态分区管控的通知》</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，到2025年，全市土壤环境质量保持稳定，土壤环境风险得到管控，受污染耕地和污染地块安全利用率达93</w:t>
            </w:r>
            <w:r>
              <w:rPr>
                <w:rFonts w:hint="eastAsia" w:ascii="Times New Roman" w:hAnsi="Times New Roman" w:cs="Times New Roman"/>
                <w:color w:val="000000" w:themeColor="text1"/>
                <w:kern w:val="0"/>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以上。到2035年，全市土壤环境质量稳中向好，土壤环境风险得到全面管控，受污染耕地和污染地块安全利用率达95</w:t>
            </w:r>
            <w:r>
              <w:rPr>
                <w:rFonts w:hint="eastAsia" w:ascii="Times New Roman" w:hAnsi="Times New Roman" w:cs="Times New Roman"/>
                <w:color w:val="000000" w:themeColor="text1"/>
                <w:kern w:val="0"/>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以上。</w:t>
            </w:r>
          </w:p>
          <w:p w14:paraId="49B7085A">
            <w:pPr>
              <w:pStyle w:val="30"/>
              <w:widowControl w:val="0"/>
              <w:spacing w:before="0" w:beforeAutospacing="0" w:after="0" w:afterAutospacing="0" w:line="360" w:lineRule="auto"/>
              <w:ind w:firstLine="480" w:firstLineChars="200"/>
              <w:jc w:val="both"/>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kern w:val="0"/>
                <w:sz w:val="24"/>
                <w:szCs w:val="20"/>
                <w14:textFill>
                  <w14:solidFill>
                    <w14:schemeClr w14:val="tx1"/>
                  </w14:solidFill>
                </w14:textFill>
              </w:rPr>
              <w:t>项目无</w:t>
            </w:r>
            <w:r>
              <w:rPr>
                <w:rFonts w:hint="eastAsia" w:cs="Times New Roman"/>
                <w:color w:val="000000" w:themeColor="text1"/>
                <w:kern w:val="0"/>
                <w:sz w:val="24"/>
                <w:szCs w:val="20"/>
                <w:lang w:val="en-US" w:eastAsia="zh-CN"/>
                <w14:textFill>
                  <w14:solidFill>
                    <w14:schemeClr w14:val="tx1"/>
                  </w14:solidFill>
                </w14:textFill>
              </w:rPr>
              <w:t>工业</w:t>
            </w:r>
            <w:r>
              <w:rPr>
                <w:rFonts w:hint="eastAsia" w:ascii="Times New Roman" w:hAnsi="Times New Roman" w:eastAsia="宋体" w:cs="Times New Roman"/>
                <w:color w:val="000000" w:themeColor="text1"/>
                <w:kern w:val="0"/>
                <w:sz w:val="24"/>
                <w:szCs w:val="20"/>
                <w14:textFill>
                  <w14:solidFill>
                    <w14:schemeClr w14:val="tx1"/>
                  </w14:solidFill>
                </w14:textFill>
              </w:rPr>
              <w:t>废水外排</w:t>
            </w:r>
            <w:r>
              <w:rPr>
                <w:rFonts w:hint="eastAsia" w:cs="Times New Roman"/>
                <w:color w:val="000000" w:themeColor="text1"/>
                <w:kern w:val="0"/>
                <w:sz w:val="24"/>
                <w:szCs w:val="20"/>
                <w:lang w:eastAsia="zh-CN"/>
                <w14:textFill>
                  <w14:solidFill>
                    <w14:schemeClr w14:val="tx1"/>
                  </w14:solidFill>
                </w14:textFill>
              </w:rPr>
              <w:t>，</w:t>
            </w:r>
            <w:r>
              <w:rPr>
                <w:rFonts w:hint="eastAsia" w:cs="Times New Roman"/>
                <w:color w:val="000000" w:themeColor="text1"/>
                <w:kern w:val="0"/>
                <w:sz w:val="24"/>
                <w:szCs w:val="20"/>
                <w:lang w:val="en-US" w:eastAsia="zh-CN"/>
                <w14:textFill>
                  <w14:solidFill>
                    <w14:schemeClr w14:val="tx1"/>
                  </w14:solidFill>
                </w14:textFill>
              </w:rPr>
              <w:t>危险废物、</w:t>
            </w:r>
            <w:r>
              <w:rPr>
                <w:rFonts w:hint="eastAsia" w:ascii="Times New Roman" w:hAnsi="Times New Roman" w:eastAsia="宋体" w:cs="Times New Roman"/>
                <w:color w:val="000000" w:themeColor="text1"/>
                <w:kern w:val="0"/>
                <w:sz w:val="24"/>
                <w:szCs w:val="20"/>
                <w14:textFill>
                  <w14:solidFill>
                    <w14:schemeClr w14:val="tx1"/>
                  </w14:solidFill>
                </w14:textFill>
              </w:rPr>
              <w:t>—般固废</w:t>
            </w:r>
            <w:r>
              <w:rPr>
                <w:rFonts w:hint="eastAsia" w:cs="Times New Roman"/>
                <w:color w:val="000000" w:themeColor="text1"/>
                <w:kern w:val="0"/>
                <w:sz w:val="24"/>
                <w:szCs w:val="20"/>
                <w:lang w:val="en-US" w:eastAsia="zh-CN"/>
                <w14:textFill>
                  <w14:solidFill>
                    <w14:schemeClr w14:val="tx1"/>
                  </w14:solidFill>
                </w14:textFill>
              </w:rPr>
              <w:t>和生活垃圾</w:t>
            </w:r>
            <w:r>
              <w:rPr>
                <w:rFonts w:hint="eastAsia" w:ascii="Times New Roman" w:hAnsi="Times New Roman" w:eastAsia="宋体" w:cs="Times New Roman"/>
                <w:color w:val="000000" w:themeColor="text1"/>
                <w:kern w:val="0"/>
                <w:sz w:val="24"/>
                <w:szCs w:val="20"/>
                <w14:textFill>
                  <w14:solidFill>
                    <w14:schemeClr w14:val="tx1"/>
                  </w14:solidFill>
                </w14:textFill>
              </w:rPr>
              <w:t>分类收集、贮存和处置，不会改变环境区划功能，符合土壤环境风险管控底线要求。</w:t>
            </w:r>
          </w:p>
          <w:p w14:paraId="541FC20E">
            <w:pPr>
              <w:pStyle w:val="4"/>
              <w:bidi w:val="0"/>
              <w:ind w:left="720" w:leftChars="0" w:hanging="72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资源利用上线</w:t>
            </w:r>
          </w:p>
          <w:p w14:paraId="70185D3D">
            <w:pPr>
              <w:pStyle w:val="44"/>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项目用水、用电为区域集中供应，项目运行过程通过内部管理、设备选择、原辅材料的选用和管理、废物回收利用、污染治理等多方面采取合理可行的防治措施，以“节能、降耗、减污”为目标，有效</w:t>
            </w:r>
            <w:r>
              <w:rPr>
                <w:rFonts w:hint="eastAsia"/>
                <w:color w:val="000000" w:themeColor="text1"/>
                <w:highlight w:val="none"/>
                <w:lang w:eastAsia="zh-CN"/>
                <w14:textFill>
                  <w14:solidFill>
                    <w14:schemeClr w14:val="tx1"/>
                  </w14:solidFill>
                </w14:textFill>
              </w:rPr>
              <w:t>地</w:t>
            </w:r>
            <w:r>
              <w:rPr>
                <w:rFonts w:hint="eastAsia"/>
                <w:color w:val="000000" w:themeColor="text1"/>
                <w:highlight w:val="none"/>
                <w14:textFill>
                  <w14:solidFill>
                    <w14:schemeClr w14:val="tx1"/>
                  </w14:solidFill>
                </w14:textFill>
              </w:rPr>
              <w:t>控制污染。项目运营期水、原料等资源利用不会突破区域的资源利用上线。</w:t>
            </w:r>
          </w:p>
          <w:p w14:paraId="43877E2A">
            <w:pPr>
              <w:pStyle w:val="4"/>
              <w:bidi w:val="0"/>
              <w:ind w:left="720" w:leftChars="0" w:hanging="72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与生态环境准入清单要求符合性分析</w:t>
            </w:r>
          </w:p>
          <w:p w14:paraId="0721A363">
            <w:pPr>
              <w:pStyle w:val="44"/>
              <w:ind w:firstLine="480"/>
              <w:rPr>
                <w:rFonts w:hint="eastAsia" w:ascii="Times New Roman" w:hAnsi="Times New Roman" w:eastAsia="宋体" w:cs="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14:textFill>
                  <w14:solidFill>
                    <w14:schemeClr w14:val="tx1"/>
                  </w14:solidFill>
                </w14:textFill>
              </w:rPr>
              <w:t>根据《福州市人民政府关于实施“三线一单”生态分区管控的通知》及</w:t>
            </w:r>
            <w:r>
              <w:rPr>
                <w:rFonts w:hint="eastAsia"/>
                <w:color w:val="000000" w:themeColor="text1"/>
                <w:sz w:val="24"/>
                <w:szCs w:val="24"/>
                <w:lang w:val="en-US" w:eastAsia="zh-CN"/>
                <w14:textFill>
                  <w14:solidFill>
                    <w14:schemeClr w14:val="tx1"/>
                  </w14:solidFill>
                </w14:textFill>
              </w:rPr>
              <w:t>福建省生态环境分区管控综合查询报告</w:t>
            </w:r>
            <w:r>
              <w:rPr>
                <w:rFonts w:hint="eastAsia"/>
                <w:color w:val="000000" w:themeColor="text1"/>
                <w:kern w:val="0"/>
                <w:szCs w:val="21"/>
                <w:highlight w:val="none"/>
                <w14:textFill>
                  <w14:solidFill>
                    <w14:schemeClr w14:val="tx1"/>
                  </w14:solidFill>
                </w14:textFill>
              </w:rPr>
              <w:t>（附件</w:t>
            </w:r>
            <w:r>
              <w:rPr>
                <w:rFonts w:hint="eastAsia"/>
                <w:color w:val="000000" w:themeColor="text1"/>
                <w:kern w:val="0"/>
                <w:szCs w:val="21"/>
                <w:highlight w:val="none"/>
                <w:lang w:val="en-US" w:eastAsia="zh-CN"/>
                <w14:textFill>
                  <w14:solidFill>
                    <w14:schemeClr w14:val="tx1"/>
                  </w14:solidFill>
                </w14:textFill>
              </w:rPr>
              <w:t>5</w:t>
            </w:r>
            <w:r>
              <w:rPr>
                <w:rFonts w:hint="eastAsia"/>
                <w:color w:val="000000" w:themeColor="text1"/>
                <w:kern w:val="0"/>
                <w:szCs w:val="21"/>
                <w:highlight w:val="none"/>
                <w14:textFill>
                  <w14:solidFill>
                    <w14:schemeClr w14:val="tx1"/>
                  </w14:solidFill>
                </w14:textFill>
              </w:rPr>
              <w:t>），本项目所在地管控单位类别为重点管控单元（环境管控单元编码：</w:t>
            </w:r>
            <w:r>
              <w:rPr>
                <w:rFonts w:hint="eastAsia"/>
                <w:color w:val="000000" w:themeColor="text1"/>
                <w:kern w:val="0"/>
                <w:szCs w:val="21"/>
                <w:highlight w:val="none"/>
                <w:lang w:val="en-US" w:eastAsia="zh-CN"/>
                <w14:textFill>
                  <w14:solidFill>
                    <w14:schemeClr w14:val="tx1"/>
                  </w14:solidFill>
                </w14:textFill>
              </w:rPr>
              <w:t>ZH35012420003</w:t>
            </w:r>
            <w:r>
              <w:rPr>
                <w:rFonts w:hint="eastAsia"/>
                <w:color w:val="000000" w:themeColor="text1"/>
                <w:kern w:val="0"/>
                <w:szCs w:val="21"/>
                <w:highlight w:val="none"/>
                <w14:textFill>
                  <w14:solidFill>
                    <w14:schemeClr w14:val="tx1"/>
                  </w14:solidFill>
                </w14:textFill>
              </w:rPr>
              <w:t>），空间布局约束管控要求。</w:t>
            </w:r>
            <w:r>
              <w:rPr>
                <w:rFonts w:hint="default" w:ascii="Times New Roman" w:hAnsi="Times New Roman" w:eastAsia="宋体" w:cs="宋体"/>
                <w:color w:val="000000" w:themeColor="text1"/>
                <w:kern w:val="0"/>
                <w:szCs w:val="21"/>
                <w:highlight w:val="none"/>
                <w14:textFill>
                  <w14:solidFill>
                    <w14:schemeClr w14:val="tx1"/>
                  </w14:solidFill>
                </w14:textFill>
              </w:rPr>
              <w:t>项目位于</w:t>
            </w:r>
            <w:r>
              <w:rPr>
                <w:rFonts w:hint="eastAsia" w:cs="宋体"/>
                <w:color w:val="000000" w:themeColor="text1"/>
                <w:kern w:val="0"/>
                <w:szCs w:val="21"/>
                <w:highlight w:val="none"/>
                <w:lang w:eastAsia="zh-CN"/>
                <w14:textFill>
                  <w14:solidFill>
                    <w14:schemeClr w14:val="tx1"/>
                  </w14:solidFill>
                </w14:textFill>
              </w:rPr>
              <w:t>闽清县池园镇</w:t>
            </w:r>
            <w:r>
              <w:rPr>
                <w:rFonts w:hint="eastAsia" w:cs="宋体"/>
                <w:color w:val="000000" w:themeColor="text1"/>
                <w:kern w:val="0"/>
                <w:szCs w:val="21"/>
                <w:highlight w:val="none"/>
                <w:lang w:val="en-US" w:eastAsia="zh-CN"/>
                <w14:textFill>
                  <w14:solidFill>
                    <w14:schemeClr w14:val="tx1"/>
                  </w14:solidFill>
                </w14:textFill>
              </w:rPr>
              <w:t>丽山村丽山498号</w:t>
            </w:r>
            <w:r>
              <w:rPr>
                <w:rFonts w:hint="default" w:ascii="Times New Roman" w:hAnsi="Times New Roman" w:eastAsia="宋体" w:cs="宋体"/>
                <w:color w:val="000000" w:themeColor="text1"/>
                <w:kern w:val="0"/>
                <w:szCs w:val="21"/>
                <w:highlight w:val="none"/>
                <w14:textFill>
                  <w14:solidFill>
                    <w14:schemeClr w14:val="tx1"/>
                  </w14:solidFill>
                </w14:textFill>
              </w:rPr>
              <w:t>，属于</w:t>
            </w:r>
            <w:r>
              <w:rPr>
                <w:rFonts w:hint="eastAsia" w:ascii="Times New Roman" w:hAnsi="Times New Roman" w:eastAsia="宋体" w:cs="宋体"/>
                <w:color w:val="000000" w:themeColor="text1"/>
                <w:kern w:val="0"/>
                <w:szCs w:val="21"/>
                <w:highlight w:val="none"/>
                <w:lang w:val="en-US" w:eastAsia="zh-CN"/>
                <w14:textFill>
                  <w14:solidFill>
                    <w14:schemeClr w14:val="tx1"/>
                  </w14:solidFill>
                </w14:textFill>
              </w:rPr>
              <w:t>工业用地，</w:t>
            </w:r>
            <w:r>
              <w:rPr>
                <w:rFonts w:hint="eastAsia" w:cs="宋体"/>
                <w:color w:val="000000" w:themeColor="text1"/>
                <w:kern w:val="0"/>
                <w:szCs w:val="21"/>
                <w:highlight w:val="none"/>
                <w:lang w:val="en-US" w:eastAsia="zh-CN"/>
                <w14:textFill>
                  <w14:solidFill>
                    <w14:schemeClr w14:val="tx1"/>
                  </w14:solidFill>
                </w14:textFill>
              </w:rPr>
              <w:t>属砼结构构件制造</w:t>
            </w:r>
            <w:r>
              <w:rPr>
                <w:rFonts w:hint="eastAsia" w:ascii="Times New Roman" w:hAnsi="Times New Roman" w:eastAsia="宋体" w:cs="宋体"/>
                <w:color w:val="000000" w:themeColor="text1"/>
                <w:kern w:val="0"/>
                <w:szCs w:val="21"/>
                <w:highlight w:val="none"/>
                <w:lang w:val="en-US" w:eastAsia="zh-CN"/>
                <w14:textFill>
                  <w14:solidFill>
                    <w14:schemeClr w14:val="tx1"/>
                  </w14:solidFill>
                </w14:textFill>
              </w:rPr>
              <w:t>业</w:t>
            </w:r>
            <w:r>
              <w:rPr>
                <w:rFonts w:hint="default" w:ascii="Times New Roman" w:hAnsi="Times New Roman" w:eastAsia="宋体" w:cs="宋体"/>
                <w:color w:val="000000" w:themeColor="text1"/>
                <w:kern w:val="0"/>
                <w:szCs w:val="21"/>
                <w:highlight w:val="none"/>
                <w14:textFill>
                  <w14:solidFill>
                    <w14:schemeClr w14:val="tx1"/>
                  </w14:solidFill>
                </w14:textFill>
              </w:rPr>
              <w:t>。项目生活污水</w:t>
            </w:r>
            <w:r>
              <w:rPr>
                <w:rFonts w:hint="eastAsia" w:ascii="Times New Roman" w:hAnsi="Times New Roman" w:eastAsia="宋体" w:cs="宋体"/>
                <w:color w:val="000000" w:themeColor="text1"/>
                <w:kern w:val="0"/>
                <w:szCs w:val="21"/>
                <w:highlight w:val="none"/>
                <w:lang w:val="en-US" w:eastAsia="zh-CN"/>
                <w14:textFill>
                  <w14:solidFill>
                    <w14:schemeClr w14:val="tx1"/>
                  </w14:solidFill>
                </w14:textFill>
              </w:rPr>
              <w:t>经</w:t>
            </w:r>
            <w:r>
              <w:rPr>
                <w:rFonts w:hint="default" w:ascii="Times New Roman" w:hAnsi="Times New Roman" w:eastAsia="宋体" w:cs="宋体"/>
                <w:color w:val="000000" w:themeColor="text1"/>
                <w:kern w:val="0"/>
                <w:szCs w:val="21"/>
                <w:highlight w:val="none"/>
                <w14:textFill>
                  <w14:solidFill>
                    <w14:schemeClr w14:val="tx1"/>
                  </w14:solidFill>
                </w14:textFill>
              </w:rPr>
              <w:t>化粪池处理后排入市政污水管网</w:t>
            </w:r>
            <w:r>
              <w:rPr>
                <w:rFonts w:hint="eastAsia" w:ascii="Times New Roman" w:hAnsi="Times New Roman" w:eastAsia="宋体" w:cs="宋体"/>
                <w:color w:val="000000" w:themeColor="text1"/>
                <w:kern w:val="0"/>
                <w:szCs w:val="21"/>
                <w:highlight w:val="none"/>
                <w:lang w:eastAsia="zh-CN"/>
                <w14:textFill>
                  <w14:solidFill>
                    <w14:schemeClr w14:val="tx1"/>
                  </w14:solidFill>
                </w14:textFill>
              </w:rPr>
              <w:t>，</w:t>
            </w:r>
            <w:r>
              <w:rPr>
                <w:rFonts w:hint="default" w:ascii="Times New Roman" w:hAnsi="Times New Roman" w:eastAsia="宋体" w:cs="宋体"/>
                <w:color w:val="000000" w:themeColor="text1"/>
                <w:kern w:val="0"/>
                <w:szCs w:val="21"/>
                <w:highlight w:val="none"/>
                <w14:textFill>
                  <w14:solidFill>
                    <w14:schemeClr w14:val="tx1"/>
                  </w14:solidFill>
                </w14:textFill>
              </w:rPr>
              <w:t>不属于以上约束管控的禁止项目，与生态环境准入条件不冲突。</w:t>
            </w:r>
          </w:p>
          <w:p w14:paraId="7F3DE6B3">
            <w:pPr>
              <w:pStyle w:val="44"/>
              <w:ind w:firstLine="480"/>
              <w:rPr>
                <w:rFonts w:hint="eastAsia" w:eastAsia="宋体"/>
                <w:color w:val="000000" w:themeColor="text1"/>
                <w:kern w:val="0"/>
                <w:szCs w:val="21"/>
                <w:highlight w:val="none"/>
                <w:lang w:eastAsia="zh-CN"/>
                <w14:textFill>
                  <w14:solidFill>
                    <w14:schemeClr w14:val="tx1"/>
                  </w14:solidFill>
                </w14:textFill>
              </w:rPr>
            </w:pPr>
            <w:r>
              <w:rPr>
                <w:rFonts w:hint="eastAsia"/>
                <w:color w:val="000000" w:themeColor="text1"/>
                <w:kern w:val="0"/>
                <w:szCs w:val="21"/>
                <w:highlight w:val="none"/>
                <w14:textFill>
                  <w14:solidFill>
                    <w14:schemeClr w14:val="tx1"/>
                  </w14:solidFill>
                </w14:textFill>
              </w:rPr>
              <w:t>(1)与</w:t>
            </w:r>
            <w:r>
              <w:rPr>
                <w:rFonts w:hint="eastAsia"/>
                <w:color w:val="000000" w:themeColor="text1"/>
                <w:kern w:val="0"/>
                <w:szCs w:val="21"/>
                <w:highlight w:val="none"/>
                <w:lang w:val="en-GB"/>
                <w14:textFill>
                  <w14:solidFill>
                    <w14:schemeClr w14:val="tx1"/>
                  </w14:solidFill>
                </w14:textFill>
              </w:rPr>
              <w:t>《福建省人民政府关于实施“三线一单”生态环境分区管控的通知》</w:t>
            </w:r>
            <w:r>
              <w:rPr>
                <w:rFonts w:hint="eastAsia"/>
                <w:color w:val="000000" w:themeColor="text1"/>
                <w:kern w:val="0"/>
                <w:szCs w:val="21"/>
                <w:highlight w:val="none"/>
                <w14:textFill>
                  <w14:solidFill>
                    <w14:schemeClr w14:val="tx1"/>
                  </w14:solidFill>
                </w14:textFill>
              </w:rPr>
              <w:t>符合性分析</w:t>
            </w:r>
          </w:p>
          <w:p w14:paraId="7FB81E89">
            <w:pPr>
              <w:pStyle w:val="44"/>
              <w:ind w:firstLine="480"/>
              <w:rPr>
                <w:rFonts w:hint="default" w:ascii="Times New Roman" w:hAnsi="Times New Roman" w:eastAsia="宋体" w:cs="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项目与</w:t>
            </w:r>
            <w:r>
              <w:rPr>
                <w:rFonts w:hint="eastAsia"/>
                <w:color w:val="000000" w:themeColor="text1"/>
                <w:kern w:val="0"/>
                <w:szCs w:val="21"/>
                <w:highlight w:val="none"/>
                <w14:textFill>
                  <w14:solidFill>
                    <w14:schemeClr w14:val="tx1"/>
                  </w14:solidFill>
                </w14:textFill>
              </w:rPr>
              <w:t>《福建省人民政府关于实施“三线一单”生态环境分区管控的通知》(闽政[2020]12号)相关要求</w:t>
            </w:r>
            <w:r>
              <w:rPr>
                <w:rFonts w:hint="eastAsia"/>
                <w:color w:val="000000" w:themeColor="text1"/>
                <w:kern w:val="0"/>
                <w:szCs w:val="21"/>
                <w:highlight w:val="none"/>
                <w:lang w:val="en-US" w:eastAsia="zh-CN"/>
                <w14:textFill>
                  <w14:solidFill>
                    <w14:schemeClr w14:val="tx1"/>
                  </w14:solidFill>
                </w14:textFill>
              </w:rPr>
              <w:t>符合性分析</w:t>
            </w:r>
            <w:r>
              <w:rPr>
                <w:rFonts w:hint="eastAsia"/>
                <w:color w:val="000000" w:themeColor="text1"/>
                <w:kern w:val="0"/>
                <w:szCs w:val="21"/>
                <w:highlight w:val="none"/>
                <w14:textFill>
                  <w14:solidFill>
                    <w14:schemeClr w14:val="tx1"/>
                  </w14:solidFill>
                </w14:textFill>
              </w:rPr>
              <w:t>见</w:t>
            </w:r>
            <w:r>
              <w:rPr>
                <w:rFonts w:hint="eastAsia"/>
                <w:color w:val="000000" w:themeColor="text1"/>
                <w:kern w:val="0"/>
                <w:szCs w:val="21"/>
                <w:highlight w:val="none"/>
                <w:lang w:val="en-US" w:eastAsia="zh-CN"/>
                <w14:textFill>
                  <w14:solidFill>
                    <w14:schemeClr w14:val="tx1"/>
                  </w14:solidFill>
                </w14:textFill>
              </w:rPr>
              <w:t>表1.8-1。</w:t>
            </w:r>
          </w:p>
          <w:p w14:paraId="2666DADF">
            <w:pPr>
              <w:pStyle w:val="42"/>
              <w:keepNext w:val="0"/>
              <w:keepLines w:val="0"/>
              <w:pageBreakBefore w:val="0"/>
              <w:widowControl w:val="0"/>
              <w:suppressLineNumbers w:val="0"/>
              <w:tabs>
                <w:tab w:val="left" w:pos="0"/>
                <w:tab w:val="clear" w:pos="420"/>
              </w:tabs>
              <w:kinsoku/>
              <w:wordWrap/>
              <w:overflowPunct/>
              <w:topLinePunct w:val="0"/>
              <w:autoSpaceDE/>
              <w:autoSpaceDN/>
              <w:bidi w:val="0"/>
              <w:adjustRightInd/>
              <w:snapToGrid/>
              <w:spacing w:beforeAutospacing="0" w:after="0" w:afterAutospacing="0"/>
              <w:ind w:left="210" w:leftChars="0" w:right="0" w:firstLineChars="0"/>
              <w:jc w:val="center"/>
              <w:textAlignment w:val="auto"/>
              <w:rPr>
                <w:rFonts w:hint="eastAsia" w:ascii="Times New Roman" w:hAnsi="Times New Roman" w:eastAsia="宋体" w:cs="宋体"/>
                <w:color w:val="000000" w:themeColor="text1"/>
                <w:lang w:eastAsia="zh-CN"/>
                <w14:textFill>
                  <w14:solidFill>
                    <w14:schemeClr w14:val="tx1"/>
                  </w14:solidFill>
                </w14:textFill>
              </w:rPr>
            </w:pPr>
            <w:r>
              <w:rPr>
                <w:rFonts w:hint="eastAsia" w:ascii="Times New Roman" w:hAnsi="Times New Roman" w:eastAsia="宋体" w:cs="宋体"/>
                <w:color w:val="000000" w:themeColor="text1"/>
                <w:lang w:eastAsia="zh-CN"/>
                <w14:textFill>
                  <w14:solidFill>
                    <w14:schemeClr w14:val="tx1"/>
                  </w14:solidFill>
                </w14:textFill>
              </w:rPr>
              <w:t>与全省生态环境总体准入要求的符合性分析</w:t>
            </w:r>
          </w:p>
          <w:tbl>
            <w:tblPr>
              <w:tblStyle w:val="32"/>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691"/>
              <w:gridCol w:w="324"/>
              <w:gridCol w:w="3636"/>
              <w:gridCol w:w="1727"/>
              <w:gridCol w:w="662"/>
            </w:tblGrid>
            <w:tr w14:paraId="34E6BF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69" w:hRule="atLeast"/>
                <w:jc w:val="center"/>
              </w:trPr>
              <w:tc>
                <w:tcPr>
                  <w:tcW w:w="691" w:type="dxa"/>
                  <w:noWrap w:val="0"/>
                  <w:vAlign w:val="center"/>
                </w:tcPr>
                <w:p w14:paraId="5FA90720">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适用范围</w:t>
                  </w:r>
                </w:p>
              </w:tc>
              <w:tc>
                <w:tcPr>
                  <w:tcW w:w="3960" w:type="dxa"/>
                  <w:gridSpan w:val="2"/>
                  <w:noWrap w:val="0"/>
                  <w:vAlign w:val="center"/>
                </w:tcPr>
                <w:p w14:paraId="13FBF2BF">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准入要求</w:t>
                  </w:r>
                </w:p>
              </w:tc>
              <w:tc>
                <w:tcPr>
                  <w:tcW w:w="1727" w:type="dxa"/>
                  <w:noWrap w:val="0"/>
                  <w:vAlign w:val="center"/>
                </w:tcPr>
                <w:p w14:paraId="19020329">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本项目情况</w:t>
                  </w:r>
                </w:p>
              </w:tc>
              <w:tc>
                <w:tcPr>
                  <w:tcW w:w="662" w:type="dxa"/>
                  <w:noWrap w:val="0"/>
                  <w:vAlign w:val="center"/>
                </w:tcPr>
                <w:p w14:paraId="60F095EE">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符合性</w:t>
                  </w:r>
                </w:p>
              </w:tc>
            </w:tr>
            <w:tr w14:paraId="5888F6E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9" w:hRule="atLeast"/>
                <w:jc w:val="center"/>
              </w:trPr>
              <w:tc>
                <w:tcPr>
                  <w:tcW w:w="691" w:type="dxa"/>
                  <w:vMerge w:val="restart"/>
                  <w:noWrap w:val="0"/>
                  <w:vAlign w:val="center"/>
                </w:tcPr>
                <w:p w14:paraId="299A875B">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全省陆域</w:t>
                  </w:r>
                </w:p>
              </w:tc>
              <w:tc>
                <w:tcPr>
                  <w:tcW w:w="324" w:type="dxa"/>
                  <w:noWrap w:val="0"/>
                  <w:vAlign w:val="center"/>
                </w:tcPr>
                <w:p w14:paraId="24A50179">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空间布局约束</w:t>
                  </w:r>
                </w:p>
              </w:tc>
              <w:tc>
                <w:tcPr>
                  <w:tcW w:w="3636" w:type="dxa"/>
                  <w:noWrap w:val="0"/>
                  <w:vAlign w:val="center"/>
                </w:tcPr>
                <w:p w14:paraId="423DAB20">
                  <w:pPr>
                    <w:pStyle w:val="93"/>
                    <w:tabs>
                      <w:tab w:val="left" w:pos="0"/>
                      <w:tab w:val="clear" w:pos="3825"/>
                      <w:tab w:val="clear" w:pos="4680"/>
                    </w:tabs>
                    <w:spacing w:line="340" w:lineRule="exact"/>
                    <w:ind w:left="0" w:leftChars="0"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1、石化、汽车、船舶、冶金、水泥、制浆造纸、印染等重点产业，要符合全省规划布局要求。</w:t>
                  </w:r>
                </w:p>
                <w:p w14:paraId="6F652B8B">
                  <w:pPr>
                    <w:pStyle w:val="93"/>
                    <w:tabs>
                      <w:tab w:val="left" w:pos="0"/>
                      <w:tab w:val="clear" w:pos="3825"/>
                      <w:tab w:val="clear" w:pos="4680"/>
                    </w:tabs>
                    <w:spacing w:line="340" w:lineRule="exact"/>
                    <w:ind w:left="0" w:leftChars="0"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2、严控钢铁、水泥、平板玻璃等产能过剩行业新增产能，新增产能应实施产能等量或减量置换。</w:t>
                  </w:r>
                </w:p>
                <w:p w14:paraId="711C0F09">
                  <w:pPr>
                    <w:pStyle w:val="93"/>
                    <w:tabs>
                      <w:tab w:val="left" w:pos="0"/>
                      <w:tab w:val="clear" w:pos="3825"/>
                      <w:tab w:val="clear" w:pos="4680"/>
                    </w:tabs>
                    <w:spacing w:line="340" w:lineRule="exact"/>
                    <w:ind w:left="0" w:leftChars="0"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3、除列入国家规划的大型煤电和符合相关要求的等容量替代项目，以及以供热为主的热电联产项目外，原则上不再建设新的煤电项目。</w:t>
                  </w:r>
                </w:p>
                <w:p w14:paraId="1E004069">
                  <w:pPr>
                    <w:pStyle w:val="93"/>
                    <w:tabs>
                      <w:tab w:val="left" w:pos="0"/>
                      <w:tab w:val="clear" w:pos="3825"/>
                      <w:tab w:val="clear" w:pos="4680"/>
                    </w:tabs>
                    <w:spacing w:line="340" w:lineRule="exact"/>
                    <w:ind w:left="0" w:leftChars="0"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4、氟化工产业应集中布局在《关于促进我省氟化工产业绿色高效发展的若干意见》中确定的园区，在上述园区之外不再新建氟化工项目，园区之外现有氟化工项目不再扩大规模。</w:t>
                  </w:r>
                </w:p>
                <w:p w14:paraId="6A997F8B">
                  <w:pPr>
                    <w:pStyle w:val="93"/>
                    <w:tabs>
                      <w:tab w:val="left" w:pos="0"/>
                      <w:tab w:val="clear" w:pos="3825"/>
                      <w:tab w:val="clear" w:pos="4680"/>
                    </w:tabs>
                    <w:spacing w:line="340" w:lineRule="exact"/>
                    <w:ind w:left="0" w:leftChars="0"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5、禁止在水环境质量不能稳定达标的区域内，建设新增相应不达标污染物指标排放量的工业项目。</w:t>
                  </w:r>
                </w:p>
              </w:tc>
              <w:tc>
                <w:tcPr>
                  <w:tcW w:w="1727" w:type="dxa"/>
                  <w:noWrap w:val="0"/>
                  <w:vAlign w:val="center"/>
                </w:tcPr>
                <w:p w14:paraId="79C58202">
                  <w:pPr>
                    <w:pBdr>
                      <w:top w:val="none" w:color="auto" w:sz="0" w:space="1"/>
                      <w:left w:val="none" w:color="auto" w:sz="0" w:space="4"/>
                      <w:bottom w:val="none" w:color="auto" w:sz="0" w:space="1"/>
                      <w:right w:val="none" w:color="auto" w:sz="0" w:space="4"/>
                    </w:pBdr>
                    <w:spacing w:line="340" w:lineRule="exac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1、项目不属于</w:t>
                  </w:r>
                  <w:r>
                    <w:rPr>
                      <w:rFonts w:hint="default" w:ascii="Times New Roman" w:hAnsi="Times New Roman" w:eastAsia="宋体" w:cs="Times New Roman"/>
                      <w:color w:val="auto"/>
                      <w:sz w:val="21"/>
                      <w:szCs w:val="21"/>
                    </w:rPr>
                    <w:t>石化、汽车、船舶、冶金、水泥、制浆造纸、印染</w:t>
                  </w:r>
                  <w:r>
                    <w:rPr>
                      <w:rFonts w:hint="eastAsia" w:ascii="Times New Roman" w:hAnsi="Times New Roman" w:eastAsia="宋体" w:cs="Times New Roman"/>
                      <w:color w:val="auto"/>
                      <w:sz w:val="21"/>
                      <w:szCs w:val="21"/>
                      <w:lang w:val="en-US" w:eastAsia="zh-CN"/>
                    </w:rPr>
                    <w:t>等产业。</w:t>
                  </w:r>
                </w:p>
                <w:p w14:paraId="4E5500AB">
                  <w:pPr>
                    <w:pBdr>
                      <w:top w:val="none" w:color="auto" w:sz="0" w:space="1"/>
                      <w:left w:val="none" w:color="auto" w:sz="0" w:space="4"/>
                      <w:bottom w:val="none" w:color="auto" w:sz="0" w:space="1"/>
                      <w:right w:val="none" w:color="auto" w:sz="0" w:space="4"/>
                    </w:pBdr>
                    <w:spacing w:line="340" w:lineRule="exact"/>
                    <w:jc w:val="lef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2</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项目不属于</w:t>
                  </w:r>
                  <w:r>
                    <w:rPr>
                      <w:rFonts w:hint="default" w:ascii="Times New Roman" w:hAnsi="Times New Roman" w:eastAsia="宋体" w:cs="Times New Roman"/>
                      <w:color w:val="auto"/>
                      <w:sz w:val="21"/>
                      <w:szCs w:val="21"/>
                    </w:rPr>
                    <w:t>钢铁、水泥、平板玻璃</w:t>
                  </w:r>
                  <w:r>
                    <w:rPr>
                      <w:rFonts w:hint="eastAsia" w:ascii="Times New Roman" w:hAnsi="Times New Roman" w:eastAsia="宋体" w:cs="Times New Roman"/>
                      <w:color w:val="auto"/>
                      <w:sz w:val="21"/>
                      <w:szCs w:val="21"/>
                      <w:lang w:val="en-US" w:eastAsia="zh-CN"/>
                    </w:rPr>
                    <w:t>等行业</w:t>
                  </w:r>
                  <w:r>
                    <w:rPr>
                      <w:rFonts w:hint="eastAsia" w:ascii="Times New Roman" w:hAnsi="Times New Roman" w:eastAsia="宋体" w:cs="Times New Roman"/>
                      <w:color w:val="auto"/>
                      <w:sz w:val="21"/>
                      <w:szCs w:val="21"/>
                      <w:lang w:eastAsia="zh-CN"/>
                    </w:rPr>
                    <w:t>。</w:t>
                  </w:r>
                </w:p>
                <w:p w14:paraId="58262C63">
                  <w:pPr>
                    <w:pBdr>
                      <w:top w:val="none" w:color="auto" w:sz="0" w:space="1"/>
                      <w:left w:val="none" w:color="auto" w:sz="0" w:space="4"/>
                      <w:bottom w:val="none" w:color="auto" w:sz="0" w:space="1"/>
                      <w:right w:val="none" w:color="auto" w:sz="0" w:space="4"/>
                    </w:pBdr>
                    <w:spacing w:line="340" w:lineRule="exact"/>
                    <w:jc w:val="lef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3、项目不属于</w:t>
                  </w:r>
                  <w:r>
                    <w:rPr>
                      <w:rFonts w:hint="default" w:ascii="Times New Roman" w:hAnsi="Times New Roman" w:eastAsia="宋体" w:cs="Times New Roman"/>
                      <w:color w:val="auto"/>
                      <w:sz w:val="21"/>
                      <w:szCs w:val="21"/>
                    </w:rPr>
                    <w:t>热电联产</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煤电项目</w:t>
                  </w:r>
                  <w:r>
                    <w:rPr>
                      <w:rFonts w:hint="eastAsia" w:ascii="Times New Roman" w:hAnsi="Times New Roman" w:eastAsia="宋体" w:cs="Times New Roman"/>
                      <w:color w:val="auto"/>
                      <w:sz w:val="21"/>
                      <w:szCs w:val="21"/>
                      <w:lang w:eastAsia="zh-CN"/>
                    </w:rPr>
                    <w:t>。</w:t>
                  </w:r>
                </w:p>
                <w:p w14:paraId="57F8CA2C">
                  <w:pPr>
                    <w:pBdr>
                      <w:top w:val="none" w:color="auto" w:sz="0" w:space="1"/>
                      <w:left w:val="none" w:color="auto" w:sz="0" w:space="4"/>
                      <w:bottom w:val="none" w:color="auto" w:sz="0" w:space="1"/>
                      <w:right w:val="none" w:color="auto" w:sz="0" w:space="4"/>
                    </w:pBdr>
                    <w:spacing w:line="340" w:lineRule="exact"/>
                    <w:jc w:val="lef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4、项目不属于</w:t>
                  </w:r>
                  <w:r>
                    <w:rPr>
                      <w:rFonts w:hint="default" w:ascii="Times New Roman" w:hAnsi="Times New Roman" w:eastAsia="宋体" w:cs="Times New Roman"/>
                      <w:color w:val="auto"/>
                      <w:sz w:val="21"/>
                      <w:szCs w:val="21"/>
                    </w:rPr>
                    <w:t>氟化工产业</w:t>
                  </w:r>
                  <w:r>
                    <w:rPr>
                      <w:rFonts w:hint="eastAsia" w:ascii="Times New Roman" w:hAnsi="Times New Roman" w:eastAsia="宋体" w:cs="Times New Roman"/>
                      <w:color w:val="auto"/>
                      <w:sz w:val="21"/>
                      <w:szCs w:val="21"/>
                      <w:lang w:eastAsia="zh-CN"/>
                    </w:rPr>
                    <w:t>。</w:t>
                  </w:r>
                </w:p>
                <w:p w14:paraId="1B4181FB">
                  <w:pPr>
                    <w:pBdr>
                      <w:top w:val="none" w:color="auto" w:sz="0" w:space="1"/>
                      <w:left w:val="none" w:color="auto" w:sz="0" w:space="4"/>
                      <w:bottom w:val="none" w:color="auto" w:sz="0" w:space="1"/>
                      <w:right w:val="none" w:color="auto" w:sz="0" w:space="4"/>
                    </w:pBdr>
                    <w:spacing w:line="340" w:lineRule="exact"/>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项目所在区域水环境质量能稳定达标排放，</w:t>
                  </w:r>
                  <w:r>
                    <w:rPr>
                      <w:rFonts w:hint="eastAsia" w:ascii="Times New Roman" w:hAnsi="Times New Roman" w:eastAsia="宋体" w:cs="Times New Roman"/>
                      <w:color w:val="auto"/>
                      <w:sz w:val="21"/>
                      <w:szCs w:val="21"/>
                      <w:lang w:val="en-US" w:eastAsia="zh-CN"/>
                    </w:rPr>
                    <w:t>项目无生产废水排放，</w:t>
                  </w:r>
                  <w:r>
                    <w:rPr>
                      <w:rFonts w:hint="eastAsia" w:ascii="Times New Roman" w:hAnsi="Times New Roman" w:eastAsia="宋体" w:cs="Times New Roman"/>
                      <w:color w:val="auto"/>
                      <w:sz w:val="21"/>
                      <w:szCs w:val="21"/>
                      <w:highlight w:val="none"/>
                      <w:lang w:val="en-US" w:eastAsia="zh-CN"/>
                    </w:rPr>
                    <w:t>生活污水经化粪池处理达标后排入市政污水管网</w:t>
                  </w:r>
                </w:p>
              </w:tc>
              <w:tc>
                <w:tcPr>
                  <w:tcW w:w="662" w:type="dxa"/>
                  <w:noWrap w:val="0"/>
                  <w:vAlign w:val="center"/>
                </w:tcPr>
                <w:p w14:paraId="73BE46AC">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5899D2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9" w:hRule="atLeast"/>
                <w:jc w:val="center"/>
              </w:trPr>
              <w:tc>
                <w:tcPr>
                  <w:tcW w:w="691" w:type="dxa"/>
                  <w:vMerge w:val="continue"/>
                  <w:noWrap w:val="0"/>
                  <w:vAlign w:val="center"/>
                </w:tcPr>
                <w:p w14:paraId="515A2D2A">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 w:val="21"/>
                      <w:szCs w:val="21"/>
                    </w:rPr>
                  </w:pPr>
                </w:p>
              </w:tc>
              <w:tc>
                <w:tcPr>
                  <w:tcW w:w="324" w:type="dxa"/>
                  <w:noWrap w:val="0"/>
                  <w:vAlign w:val="center"/>
                </w:tcPr>
                <w:p w14:paraId="5FD39836">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污染物排放管控</w:t>
                  </w:r>
                </w:p>
              </w:tc>
              <w:tc>
                <w:tcPr>
                  <w:tcW w:w="3636" w:type="dxa"/>
                  <w:noWrap w:val="0"/>
                  <w:vAlign w:val="center"/>
                </w:tcPr>
                <w:p w14:paraId="6CB20950">
                  <w:pPr>
                    <w:pBdr>
                      <w:top w:val="none" w:color="auto" w:sz="0" w:space="1"/>
                      <w:left w:val="none" w:color="auto" w:sz="0" w:space="4"/>
                      <w:bottom w:val="none" w:color="auto" w:sz="0" w:space="1"/>
                      <w:right w:val="none" w:color="auto" w:sz="0" w:space="4"/>
                    </w:pBdr>
                    <w:spacing w:line="34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建设项目新增的主要污染物排放量应按要求实行等量或倍量替代。涉及总磷排放的建设项目应按照要求实行总磷排放量倍量或等量削减替代。涉及重金属重点行业建设项目新增的重点重金属污染物应按要求实行“减量置换”或等量替换"。涉新增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排放项目，VOC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排放实行区域内等量替代。福州、厦门、漳州、泉州、莆田、宁德等6个重点控制区可实施倍量替代。</w:t>
                  </w:r>
                </w:p>
                <w:p w14:paraId="7C557A2F">
                  <w:pPr>
                    <w:pBdr>
                      <w:top w:val="none" w:color="auto" w:sz="0" w:space="1"/>
                      <w:left w:val="none" w:color="auto" w:sz="0" w:space="4"/>
                      <w:bottom w:val="none" w:color="auto" w:sz="0" w:space="1"/>
                      <w:right w:val="none" w:color="auto" w:sz="0" w:space="4"/>
                    </w:pBdr>
                    <w:spacing w:line="34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2、新建水泥、有色金属项目应执行大气污染物特别排放限值，钢铁项目应执行超低排放指标要求，火电项目应达到超低排放限值。</w:t>
                  </w:r>
                </w:p>
                <w:p w14:paraId="398BACCB">
                  <w:pPr>
                    <w:pBdr>
                      <w:top w:val="none" w:color="auto" w:sz="0" w:space="1"/>
                      <w:left w:val="none" w:color="auto" w:sz="0" w:space="4"/>
                      <w:bottom w:val="none" w:color="auto" w:sz="0" w:space="1"/>
                      <w:right w:val="none" w:color="auto" w:sz="0" w:space="4"/>
                    </w:pBdr>
                    <w:spacing w:line="34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3、尾水排入近岸海域汇水区域、“六江两溪”流域以及湖泊、水库等封闭、半封闭水域的城镇污水处理设施执行不低于一级 A 排放标准。</w:t>
                  </w:r>
                </w:p>
              </w:tc>
              <w:tc>
                <w:tcPr>
                  <w:tcW w:w="1727" w:type="dxa"/>
                  <w:noWrap w:val="0"/>
                  <w:vAlign w:val="center"/>
                </w:tcPr>
                <w:p w14:paraId="2FBFA2F6">
                  <w:pPr>
                    <w:pBdr>
                      <w:top w:val="none" w:color="auto" w:sz="0" w:space="1"/>
                      <w:left w:val="none" w:color="auto" w:sz="0" w:space="4"/>
                      <w:bottom w:val="none" w:color="auto" w:sz="0" w:space="1"/>
                      <w:right w:val="none" w:color="auto" w:sz="0" w:space="4"/>
                    </w:pBdr>
                    <w:spacing w:line="34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项目位于福州市</w:t>
                  </w:r>
                  <w:r>
                    <w:rPr>
                      <w:rFonts w:hint="eastAsia" w:cs="Times New Roman"/>
                      <w:color w:val="auto"/>
                      <w:sz w:val="21"/>
                      <w:szCs w:val="21"/>
                      <w:lang w:val="en-US" w:eastAsia="zh-CN"/>
                    </w:rPr>
                    <w:t>闽清县池园镇</w:t>
                  </w:r>
                  <w:r>
                    <w:rPr>
                      <w:rFonts w:hint="default" w:ascii="Times New Roman" w:hAnsi="Times New Roman" w:eastAsia="宋体" w:cs="Times New Roman"/>
                      <w:color w:val="auto"/>
                      <w:sz w:val="21"/>
                      <w:szCs w:val="21"/>
                      <w:lang w:val="en-US" w:eastAsia="zh-CN"/>
                    </w:rPr>
                    <w:t>，属于其规定的污染物管控区域。项目</w:t>
                  </w:r>
                  <w:r>
                    <w:rPr>
                      <w:rFonts w:hint="eastAsia" w:cs="Times New Roman"/>
                      <w:color w:val="auto"/>
                      <w:sz w:val="21"/>
                      <w:szCs w:val="21"/>
                      <w:lang w:val="en-US" w:eastAsia="zh-CN"/>
                    </w:rPr>
                    <w:t>不</w:t>
                  </w:r>
                  <w:r>
                    <w:rPr>
                      <w:rFonts w:hint="default" w:ascii="Times New Roman" w:hAnsi="Times New Roman" w:eastAsia="宋体" w:cs="Times New Roman"/>
                      <w:color w:val="auto"/>
                      <w:sz w:val="21"/>
                      <w:szCs w:val="21"/>
                      <w:lang w:val="en-US" w:eastAsia="zh-CN"/>
                    </w:rPr>
                    <w:t>涉VOCs排放。</w:t>
                  </w:r>
                </w:p>
                <w:p w14:paraId="62501338">
                  <w:pPr>
                    <w:pBdr>
                      <w:top w:val="none" w:color="auto" w:sz="0" w:space="1"/>
                      <w:left w:val="none" w:color="auto" w:sz="0" w:space="4"/>
                      <w:bottom w:val="none" w:color="auto" w:sz="0" w:space="1"/>
                      <w:right w:val="none" w:color="auto" w:sz="0" w:space="4"/>
                    </w:pBdr>
                    <w:spacing w:line="34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2、项目不属于水泥、有色金属、钢铁、火电项目。</w:t>
                  </w:r>
                </w:p>
                <w:p w14:paraId="6A7A1873">
                  <w:pPr>
                    <w:pBdr>
                      <w:top w:val="none" w:color="auto" w:sz="0" w:space="1"/>
                      <w:left w:val="none" w:color="auto" w:sz="0" w:space="4"/>
                      <w:bottom w:val="none" w:color="auto" w:sz="0" w:space="1"/>
                      <w:right w:val="none" w:color="auto" w:sz="0" w:space="4"/>
                    </w:pBdr>
                    <w:spacing w:line="34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r>
                    <w:rPr>
                      <w:rFonts w:hint="eastAsia" w:ascii="Times New Roman" w:hAnsi="Times New Roman" w:eastAsia="宋体" w:cs="Times New Roman"/>
                      <w:color w:val="auto"/>
                      <w:sz w:val="21"/>
                      <w:szCs w:val="21"/>
                      <w:lang w:val="en-US" w:eastAsia="zh-CN"/>
                    </w:rPr>
                    <w:t>项目无生产废水排放，</w:t>
                  </w:r>
                  <w:r>
                    <w:rPr>
                      <w:rFonts w:hint="eastAsia" w:ascii="Times New Roman" w:hAnsi="Times New Roman" w:eastAsia="宋体" w:cs="Times New Roman"/>
                      <w:color w:val="auto"/>
                      <w:sz w:val="21"/>
                      <w:szCs w:val="21"/>
                      <w:highlight w:val="none"/>
                      <w:lang w:val="en-US" w:eastAsia="zh-CN"/>
                    </w:rPr>
                    <w:t>生活污水经化粪池处理达标后排入市政污水管网</w:t>
                  </w:r>
                </w:p>
              </w:tc>
              <w:tc>
                <w:tcPr>
                  <w:tcW w:w="662" w:type="dxa"/>
                  <w:noWrap w:val="0"/>
                  <w:vAlign w:val="center"/>
                </w:tcPr>
                <w:p w14:paraId="4897C58F">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bl>
          <w:p w14:paraId="40FA808D">
            <w:pPr>
              <w:pStyle w:val="44"/>
              <w:ind w:firstLine="480"/>
              <w:rPr>
                <w:rFonts w:hint="eastAsia" w:ascii="Times New Roman" w:hAnsi="Times New Roman" w:eastAsia="宋体" w:cs="宋体"/>
                <w:color w:val="000000" w:themeColor="text1"/>
                <w:kern w:val="0"/>
                <w:szCs w:val="21"/>
                <w:highlight w:val="none"/>
                <w:lang w:val="en-GB"/>
                <w14:textFill>
                  <w14:solidFill>
                    <w14:schemeClr w14:val="tx1"/>
                  </w14:solidFill>
                </w14:textFill>
              </w:rPr>
            </w:pPr>
            <w:r>
              <w:rPr>
                <w:rFonts w:hint="eastAsia" w:ascii="Times New Roman" w:hAnsi="Times New Roman" w:eastAsia="宋体" w:cs="宋体"/>
                <w:color w:val="000000" w:themeColor="text1"/>
                <w:kern w:val="0"/>
                <w:szCs w:val="21"/>
                <w:highlight w:val="none"/>
                <w:lang w:val="en-GB"/>
                <w14:textFill>
                  <w14:solidFill>
                    <w14:schemeClr w14:val="tx1"/>
                  </w14:solidFill>
                </w14:textFill>
              </w:rPr>
              <w:t>(2)</w:t>
            </w:r>
            <w:r>
              <w:rPr>
                <w:rFonts w:hint="eastAsia" w:ascii="Times New Roman" w:hAnsi="Times New Roman" w:eastAsia="宋体" w:cs="宋体"/>
                <w:color w:val="000000" w:themeColor="text1"/>
                <w:kern w:val="0"/>
                <w:szCs w:val="21"/>
                <w:highlight w:val="none"/>
                <w:lang w:val="en-US" w:eastAsia="zh-CN"/>
                <w14:textFill>
                  <w14:solidFill>
                    <w14:schemeClr w14:val="tx1"/>
                  </w14:solidFill>
                </w14:textFill>
              </w:rPr>
              <w:t>与“《福州市生态环境分区管控方案（2023年更新）》”符合性分析</w:t>
            </w:r>
          </w:p>
          <w:p w14:paraId="7EBB94B9">
            <w:pPr>
              <w:pStyle w:val="44"/>
              <w:ind w:firstLine="480"/>
              <w:rPr>
                <w:rFonts w:hint="eastAsia" w:ascii="Times New Roman" w:hAnsi="Times New Roman" w:eastAsia="宋体" w:cs="宋体"/>
                <w:color w:val="000000" w:themeColor="text1"/>
                <w:kern w:val="0"/>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kern w:val="0"/>
                <w:szCs w:val="21"/>
                <w:highlight w:val="none"/>
                <w:lang w:val="en-US" w:eastAsia="zh-CN"/>
                <w14:textFill>
                  <w14:solidFill>
                    <w14:schemeClr w14:val="tx1"/>
                  </w14:solidFill>
                </w14:textFill>
              </w:rPr>
              <w:t>根据《福州市人民政府办公厅关于印发《福州市生态环境分区管控方案（2023年更新）》的通知》(榕政办规〔2024〕20号)相关要求，本项目与通知中“福州市生态环境分区管控方案（2023年更新）”管控要求的符合性分析详如下：</w:t>
            </w:r>
          </w:p>
          <w:p w14:paraId="34D30D0A">
            <w:pPr>
              <w:numPr>
                <w:ilvl w:val="0"/>
                <w:numId w:val="0"/>
              </w:numPr>
              <w:spacing w:before="120" w:beforeLines="50"/>
              <w:jc w:val="both"/>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①与福州市全市总体准入要求的符合性分析</w:t>
            </w:r>
          </w:p>
          <w:p w14:paraId="4F89CB4D">
            <w:pPr>
              <w:pStyle w:val="42"/>
              <w:keepNext w:val="0"/>
              <w:keepLines w:val="0"/>
              <w:pageBreakBefore w:val="0"/>
              <w:widowControl w:val="0"/>
              <w:numPr>
                <w:ilvl w:val="7"/>
                <w:numId w:val="0"/>
              </w:numPr>
              <w:suppressLineNumbers w:val="0"/>
              <w:tabs>
                <w:tab w:val="left" w:pos="0"/>
                <w:tab w:val="clear" w:pos="420"/>
              </w:tabs>
              <w:kinsoku/>
              <w:wordWrap/>
              <w:overflowPunct/>
              <w:topLinePunct w:val="0"/>
              <w:autoSpaceDE/>
              <w:autoSpaceDN/>
              <w:bidi w:val="0"/>
              <w:adjustRightInd/>
              <w:snapToGrid/>
              <w:spacing w:beforeAutospacing="0" w:after="0" w:afterAutospacing="0"/>
              <w:ind w:left="210" w:leftChars="0" w:right="0" w:rightChars="0"/>
              <w:jc w:val="both"/>
              <w:textAlignment w:val="auto"/>
              <w:rPr>
                <w:rFonts w:hint="eastAsia" w:ascii="Times New Roman" w:hAnsi="Times New Roman" w:eastAsia="宋体" w:cs="宋体"/>
                <w:color w:val="000000" w:themeColor="text1"/>
                <w:lang w:val="en-US" w:eastAsia="zh-CN"/>
                <w14:textFill>
                  <w14:solidFill>
                    <w14:schemeClr w14:val="tx1"/>
                  </w14:solidFill>
                </w14:textFill>
              </w:rPr>
            </w:pPr>
          </w:p>
          <w:p w14:paraId="74B4B2A7">
            <w:pPr>
              <w:pStyle w:val="42"/>
              <w:keepNext w:val="0"/>
              <w:keepLines w:val="0"/>
              <w:pageBreakBefore w:val="0"/>
              <w:widowControl w:val="0"/>
              <w:suppressLineNumbers w:val="0"/>
              <w:tabs>
                <w:tab w:val="left" w:pos="0"/>
                <w:tab w:val="clear" w:pos="420"/>
              </w:tabs>
              <w:kinsoku/>
              <w:wordWrap/>
              <w:overflowPunct/>
              <w:topLinePunct w:val="0"/>
              <w:autoSpaceDE/>
              <w:autoSpaceDN/>
              <w:bidi w:val="0"/>
              <w:adjustRightInd/>
              <w:snapToGrid/>
              <w:spacing w:beforeAutospacing="0" w:after="0" w:afterAutospacing="0"/>
              <w:ind w:left="210" w:leftChars="0" w:right="0" w:firstLineChars="0"/>
              <w:jc w:val="center"/>
              <w:textAlignment w:val="auto"/>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项目与《</w:t>
            </w:r>
            <w:r>
              <w:rPr>
                <w:rFonts w:hint="eastAsia"/>
                <w:color w:val="000000" w:themeColor="text1"/>
                <w:lang w:val="en-US" w:eastAsia="zh-CN"/>
                <w14:textFill>
                  <w14:solidFill>
                    <w14:schemeClr w14:val="tx1"/>
                  </w14:solidFill>
                </w14:textFill>
              </w:rPr>
              <w:t>福州市</w:t>
            </w:r>
            <w:r>
              <w:rPr>
                <w:rFonts w:hint="eastAsia"/>
                <w:color w:val="000000" w:themeColor="text1"/>
                <w:lang w:eastAsia="zh-CN"/>
                <w14:textFill>
                  <w14:solidFill>
                    <w14:schemeClr w14:val="tx1"/>
                  </w14:solidFill>
                </w14:textFill>
              </w:rPr>
              <w:t>生态环境总体准入要求》符合性分析</w:t>
            </w:r>
          </w:p>
          <w:tbl>
            <w:tblPr>
              <w:tblStyle w:val="32"/>
              <w:tblW w:w="70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09"/>
              <w:gridCol w:w="3887"/>
              <w:gridCol w:w="1736"/>
              <w:gridCol w:w="666"/>
            </w:tblGrid>
            <w:tr w14:paraId="297B67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696" w:type="dxa"/>
                  <w:gridSpan w:val="2"/>
                  <w:tcBorders>
                    <w:tl2br w:val="nil"/>
                    <w:tr2bl w:val="nil"/>
                  </w:tcBorders>
                  <w:shd w:val="clear" w:color="auto" w:fill="auto"/>
                  <w:vAlign w:val="center"/>
                </w:tcPr>
                <w:p w14:paraId="5C7FE108">
                  <w:pPr>
                    <w:pStyle w:val="90"/>
                    <w:keepNext w:val="0"/>
                    <w:keepLines w:val="0"/>
                    <w:widowControl/>
                    <w:suppressLineNumbers w:val="0"/>
                    <w:spacing w:before="0" w:beforeAutospacing="0" w:after="0" w:afterAutospacing="0"/>
                    <w:ind w:left="0" w:right="0"/>
                    <w:rPr>
                      <w:rFonts w:hint="default"/>
                      <w:color w:val="000000" w:themeColor="text1"/>
                      <w:lang w:val="en-US"/>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准入要求</w:t>
                  </w:r>
                </w:p>
              </w:tc>
              <w:tc>
                <w:tcPr>
                  <w:tcW w:w="1736" w:type="dxa"/>
                  <w:tcBorders>
                    <w:tl2br w:val="nil"/>
                    <w:tr2bl w:val="nil"/>
                  </w:tcBorders>
                  <w:shd w:val="clear" w:color="auto" w:fill="auto"/>
                  <w:vAlign w:val="center"/>
                </w:tcPr>
                <w:p w14:paraId="75F33712">
                  <w:pPr>
                    <w:pStyle w:val="90"/>
                    <w:keepNext w:val="0"/>
                    <w:keepLines w:val="0"/>
                    <w:widowControl/>
                    <w:suppressLineNumbers w:val="0"/>
                    <w:spacing w:before="0" w:beforeAutospacing="0" w:after="0" w:afterAutospacing="0"/>
                    <w:ind w:left="0" w:right="0"/>
                    <w:rPr>
                      <w:rFonts w:hint="default"/>
                      <w:color w:val="000000" w:themeColor="text1"/>
                      <w:lang w:val="en-US"/>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本项目</w:t>
                  </w:r>
                </w:p>
              </w:tc>
              <w:tc>
                <w:tcPr>
                  <w:tcW w:w="666" w:type="dxa"/>
                  <w:tcBorders>
                    <w:tl2br w:val="nil"/>
                    <w:tr2bl w:val="nil"/>
                  </w:tcBorders>
                  <w:shd w:val="clear" w:color="auto" w:fill="auto"/>
                  <w:vAlign w:val="center"/>
                </w:tcPr>
                <w:p w14:paraId="24B730F6">
                  <w:pPr>
                    <w:pStyle w:val="90"/>
                    <w:keepNext w:val="0"/>
                    <w:keepLines w:val="0"/>
                    <w:widowControl/>
                    <w:suppressLineNumbers w:val="0"/>
                    <w:spacing w:before="0" w:beforeAutospacing="0" w:after="0" w:afterAutospacing="0"/>
                    <w:ind w:left="0" w:right="0"/>
                    <w:rPr>
                      <w:rFonts w:hint="default"/>
                      <w:color w:val="000000" w:themeColor="text1"/>
                      <w:lang w:val="en-US"/>
                      <w14:textFill>
                        <w14:solidFill>
                          <w14:schemeClr w14:val="tx1"/>
                        </w14:solidFill>
                      </w14:textFill>
                    </w:rPr>
                  </w:pPr>
                  <w:r>
                    <w:rPr>
                      <w:rFonts w:hint="eastAsia" w:cs="Times New Roman"/>
                      <w:color w:val="000000" w:themeColor="text1"/>
                      <w:spacing w:val="7"/>
                      <w:sz w:val="21"/>
                      <w:szCs w:val="21"/>
                      <w:lang w:val="en-US" w:eastAsia="zh-CN"/>
                      <w14:textFill>
                        <w14:solidFill>
                          <w14:schemeClr w14:val="tx1"/>
                        </w14:solidFill>
                      </w14:textFill>
                    </w:rPr>
                    <w:t>符合性</w:t>
                  </w:r>
                </w:p>
              </w:tc>
            </w:tr>
            <w:tr w14:paraId="4FF206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809" w:type="dxa"/>
                  <w:tcBorders>
                    <w:tl2br w:val="nil"/>
                    <w:tr2bl w:val="nil"/>
                  </w:tcBorders>
                  <w:shd w:val="clear" w:color="auto" w:fill="auto"/>
                  <w:vAlign w:val="center"/>
                </w:tcPr>
                <w:p w14:paraId="039FE2F8">
                  <w:pPr>
                    <w:pStyle w:val="90"/>
                    <w:keepNext w:val="0"/>
                    <w:keepLines w:val="0"/>
                    <w:widowControl/>
                    <w:suppressLineNumbers w:val="0"/>
                    <w:spacing w:before="0" w:beforeAutospacing="0" w:after="0" w:afterAutospacing="0"/>
                    <w:ind w:left="0" w:right="0"/>
                    <w:rPr>
                      <w:rFonts w:hint="default"/>
                      <w:color w:val="000000" w:themeColor="text1"/>
                      <w:lang w:val="en-US"/>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空间布局</w:t>
                  </w:r>
                </w:p>
              </w:tc>
              <w:tc>
                <w:tcPr>
                  <w:tcW w:w="3887" w:type="dxa"/>
                  <w:tcBorders>
                    <w:tl2br w:val="nil"/>
                    <w:tr2bl w:val="nil"/>
                  </w:tcBorders>
                  <w:shd w:val="clear" w:color="auto" w:fill="auto"/>
                  <w:vAlign w:val="center"/>
                </w:tcPr>
                <w:p w14:paraId="5F14E496">
                  <w:pPr>
                    <w:pStyle w:val="90"/>
                    <w:keepNext w:val="0"/>
                    <w:keepLines w:val="0"/>
                    <w:widowControl/>
                    <w:numPr>
                      <w:ilvl w:val="0"/>
                      <w:numId w:val="0"/>
                    </w:numPr>
                    <w:suppressLineNumbers w:val="0"/>
                    <w:spacing w:before="0" w:beforeAutospacing="0" w:after="0" w:afterAutospacing="0"/>
                    <w:ind w:right="0" w:rightChars="0"/>
                    <w:jc w:val="left"/>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福州市石化中上游项目重点在福州江阴港城经济区、可门港经济区化工新材料产业园布局。2.禁止在闽江马尾罗星塔以上流域范围新、扩建制革项目，严控新（扩）建植物制浆、印染、合成革及人造革、电镀项目。3.禁止在通风廊道和主导风向的上风向布局大气重污染企业，推进建成区大气重污染企业搬迁或升级改造、环境风险企业搬迁或关闭退出。4.禁止新、改、扩建生产高VOCs含量有机溶剂型涂料、油墨和胶黏剂的项目。5.持续加强闽清等地建陶产业的环境综合治理，充分衔接国土空间规划和生态环境分区管控，并对照产业政策、城市总体发展规划等要求，进一步明确发展定位，优化产业布局和规模。6.新建、扩建的涉及重点重金属污染物［1］的有色金属冶炼、电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年底专业电镀企业入园率达到90%以上。7.禁止在流域上游新建、扩建重污染企业和项目。8.重要敏感水体及富营养化湖库生态缓冲带除相关政府部门批准的科学研究活动外，禁止其它可能对保护区构成危害或不良影响的大规模生产、建设活动。9.新、改、扩建煤电、钢铁、建材、石化、化工等“两高”项目，严格落实国家、省、市产业规划、产业政策、“三线一单”、规划环评，以及产能置换、煤炭消费减量替代、区域污染削减等相关要求。10.单元内涉及永久基本农田的，应按照《福建省基本农田保护条例》（2010年修正本）、《国土资源部关于全面实行永久共本农田特殊保护的通知》（国土资规〔2018〕1号）、《中共中央国务院关于加强耕地保护和改进占补平衡的意见》（2017年1月9日）等相关文件要求进</w:t>
                  </w:r>
                  <w:r>
                    <w:rPr>
                      <w:rFonts w:hint="eastAsia" w:cs="Times New Roman"/>
                      <w:color w:val="000000" w:themeColor="text1"/>
                      <w:kern w:val="2"/>
                      <w:sz w:val="21"/>
                      <w:szCs w:val="21"/>
                      <w:lang w:val="en-US" w:eastAsia="zh-CN" w:bidi="ar-SA"/>
                      <w14:textFill>
                        <w14:solidFill>
                          <w14:schemeClr w14:val="tx1"/>
                        </w14:solidFill>
                      </w14:textFill>
                    </w:rPr>
                    <w:t>行严</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格管理，一般建设项目不得占用永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1736" w:type="dxa"/>
                  <w:tcBorders>
                    <w:tl2br w:val="nil"/>
                    <w:tr2bl w:val="nil"/>
                  </w:tcBorders>
                  <w:shd w:val="clear" w:color="auto" w:fill="auto"/>
                  <w:vAlign w:val="center"/>
                </w:tcPr>
                <w:p w14:paraId="2E7A73C1">
                  <w:pPr>
                    <w:keepNext w:val="0"/>
                    <w:keepLines w:val="0"/>
                    <w:widowControl/>
                    <w:suppressLineNumbers w:val="0"/>
                    <w:spacing w:before="0" w:beforeAutospacing="0" w:after="0" w:afterAutospacing="0"/>
                    <w:ind w:left="0" w:right="0"/>
                    <w:jc w:val="both"/>
                    <w:rPr>
                      <w:rFonts w:hint="default" w:eastAsia="宋体"/>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本项目主要从事</w:t>
                  </w:r>
                  <w:r>
                    <w:rPr>
                      <w:rFonts w:hint="eastAsia" w:cs="Times New Roman"/>
                      <w:color w:val="000000" w:themeColor="text1"/>
                      <w:kern w:val="2"/>
                      <w:sz w:val="21"/>
                      <w:szCs w:val="21"/>
                      <w:lang w:val="en-US" w:eastAsia="zh-CN" w:bidi="ar-SA"/>
                      <w14:textFill>
                        <w14:solidFill>
                          <w14:schemeClr w14:val="tx1"/>
                        </w14:solidFill>
                      </w14:textFill>
                    </w:rPr>
                    <w:t>新型建筑材料</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的生产加工，位于</w:t>
                  </w:r>
                  <w:r>
                    <w:rPr>
                      <w:rFonts w:hint="eastAsia" w:cs="Times New Roman"/>
                      <w:color w:val="000000" w:themeColor="text1"/>
                      <w:kern w:val="2"/>
                      <w:sz w:val="21"/>
                      <w:szCs w:val="21"/>
                      <w:lang w:val="en-US" w:eastAsia="zh-CN" w:bidi="ar-SA"/>
                      <w14:textFill>
                        <w14:solidFill>
                          <w14:schemeClr w14:val="tx1"/>
                        </w14:solidFill>
                      </w14:textFill>
                    </w:rPr>
                    <w:t>闽清县池园镇</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，项目建设与空间布局约束要求不冲突</w:t>
                  </w:r>
                  <w:r>
                    <w:rPr>
                      <w:rFonts w:hint="eastAsia" w:cs="Times New Roman"/>
                      <w:color w:val="000000" w:themeColor="text1"/>
                      <w:kern w:val="2"/>
                      <w:sz w:val="21"/>
                      <w:szCs w:val="21"/>
                      <w:lang w:val="en-US" w:eastAsia="zh-CN" w:bidi="ar-SA"/>
                      <w14:textFill>
                        <w14:solidFill>
                          <w14:schemeClr w14:val="tx1"/>
                        </w14:solidFill>
                      </w14:textFill>
                    </w:rPr>
                    <w:t>。</w:t>
                  </w:r>
                </w:p>
              </w:tc>
              <w:tc>
                <w:tcPr>
                  <w:tcW w:w="666" w:type="dxa"/>
                  <w:tcBorders>
                    <w:tl2br w:val="nil"/>
                    <w:tr2bl w:val="nil"/>
                  </w:tcBorders>
                  <w:shd w:val="clear" w:color="auto" w:fill="auto"/>
                  <w:vAlign w:val="center"/>
                </w:tcPr>
                <w:p w14:paraId="567B91F7">
                  <w:pPr>
                    <w:pStyle w:val="90"/>
                    <w:keepNext w:val="0"/>
                    <w:keepLines w:val="0"/>
                    <w:widowControl/>
                    <w:suppressLineNumbers w:val="0"/>
                    <w:spacing w:before="0" w:beforeAutospacing="0" w:after="0" w:afterAutospacing="0"/>
                    <w:ind w:left="0" w:right="0"/>
                    <w:rPr>
                      <w:rFonts w:hint="default"/>
                      <w:color w:val="000000" w:themeColor="text1"/>
                      <w:lang w:val="en-US"/>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符合</w:t>
                  </w:r>
                </w:p>
              </w:tc>
            </w:tr>
            <w:tr w14:paraId="5946DF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09" w:type="dxa"/>
                  <w:tcBorders>
                    <w:tl2br w:val="nil"/>
                    <w:tr2bl w:val="nil"/>
                  </w:tcBorders>
                  <w:shd w:val="clear" w:color="auto" w:fill="auto"/>
                  <w:vAlign w:val="center"/>
                </w:tcPr>
                <w:p w14:paraId="4BDA4291">
                  <w:pPr>
                    <w:pStyle w:val="90"/>
                    <w:keepNext w:val="0"/>
                    <w:keepLines w:val="0"/>
                    <w:widowControl/>
                    <w:suppressLineNumbers w:val="0"/>
                    <w:spacing w:before="0" w:beforeAutospacing="0" w:after="0" w:afterAutospacing="0"/>
                    <w:ind w:left="0" w:right="0"/>
                    <w:rPr>
                      <w:rFonts w:hint="default"/>
                      <w:color w:val="000000" w:themeColor="text1"/>
                      <w:lang w:val="en-US"/>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污染物排放管控</w:t>
                  </w:r>
                </w:p>
              </w:tc>
              <w:tc>
                <w:tcPr>
                  <w:tcW w:w="3887" w:type="dxa"/>
                  <w:tcBorders>
                    <w:tl2br w:val="nil"/>
                    <w:tr2bl w:val="nil"/>
                  </w:tcBorders>
                  <w:shd w:val="clear" w:color="auto" w:fill="auto"/>
                  <w:vAlign w:val="center"/>
                </w:tcPr>
                <w:p w14:paraId="3E81BD9C">
                  <w:pPr>
                    <w:pStyle w:val="30"/>
                    <w:keepNext w:val="0"/>
                    <w:keepLines w:val="0"/>
                    <w:widowControl/>
                    <w:numPr>
                      <w:ilvl w:val="0"/>
                      <w:numId w:val="0"/>
                    </w:numPr>
                    <w:suppressLineNumbers w:val="0"/>
                    <w:spacing w:before="0" w:beforeAutospacing="0" w:after="0" w:afterAutospacing="0" w:line="264" w:lineRule="auto"/>
                    <w:ind w:leftChars="0" w:right="0" w:rightChars="0"/>
                    <w:jc w:val="left"/>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工业类新（改、扩）建项目新增主要污染物（水污染物化学需氧量、氨氮和大气污染物二氧化硫、氮氧化物）排放总量指标应符合区域环境质量和总量控制要求，立足于通过“以新带老”、削减存量，努力实现区域、企业自身总量平衡。总量指标来源、审核和监督管理按照“榕环保综〔2017〕90号”等相关文件执行。2.新、改、扩建涉VOCs排放项目，应从源头加强控制，使用低（无）VOCs含量的原辅材料，实施新建项目VOCs排放区域内1.2及以上倍量替代。3.严格控制新建、改建、扩建钢铁、水泥、平板玻璃、有色金属冶炼、化工等工业项目。新改扩建钢铁、火电项目应执行超低排放限值，有色项目应当执行大气污染物特别排放限值。重点控制区新建化工、石化应当执行大气污染物特别排放限值。4.氟化工、印染、电镀等行业企业实行水污染物特别排放限值。5.新、改、扩建重点行业［2］建设项目要遵循重点重金属污染物排放“等量替代”原则，总量来源原则上应是同一重点行业内的削减量，当同一重点行业无法满足时可从其他重点行业调剂。6.每小时35（含）—65蒸吨燃煤锅炉和位于县级及以上城市建成区内保留的燃煤、燃油、燃生物质锅炉，原则上2024年底前必须全面实现超低排放。7.水泥行业新改扩建项目严格对照超低排放、能效标杆水平建设实施；现有项目超低排放改造应按文件（闽环规〔2023〕2号）的时限要求分步推进，2025年底前全面完成［3］［4］。8.化工园区新建项目实施“禁限控”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1736" w:type="dxa"/>
                  <w:tcBorders>
                    <w:tl2br w:val="nil"/>
                    <w:tr2bl w:val="nil"/>
                  </w:tcBorders>
                  <w:shd w:val="clear" w:color="auto" w:fill="auto"/>
                  <w:vAlign w:val="center"/>
                </w:tcPr>
                <w:p w14:paraId="1798D8D0">
                  <w:pPr>
                    <w:pStyle w:val="90"/>
                    <w:keepNext w:val="0"/>
                    <w:keepLines w:val="0"/>
                    <w:widowControl/>
                    <w:suppressLineNumbers w:val="0"/>
                    <w:spacing w:before="0" w:beforeAutospacing="0" w:after="0" w:afterAutospacing="0"/>
                    <w:ind w:left="0" w:right="0"/>
                    <w:jc w:val="both"/>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1、项目位于福州市闽清县池园镇，属于其规定的污染物管控区域。项目不涉VOCs排放。2、项目主要从事新型建筑材料的生产加工，不属于</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钢铁、水泥、平板玻璃、有色金属冶炼、化工</w:t>
                  </w:r>
                  <w:r>
                    <w:rPr>
                      <w:rFonts w:hint="eastAsia"/>
                      <w:color w:val="000000" w:themeColor="text1"/>
                      <w:lang w:val="en-US" w:eastAsia="zh-CN"/>
                      <w14:textFill>
                        <w14:solidFill>
                          <w14:schemeClr w14:val="tx1"/>
                        </w14:solidFill>
                      </w14:textFill>
                    </w:rPr>
                    <w:t>项目。</w:t>
                  </w:r>
                </w:p>
              </w:tc>
              <w:tc>
                <w:tcPr>
                  <w:tcW w:w="666" w:type="dxa"/>
                  <w:tcBorders>
                    <w:tl2br w:val="nil"/>
                    <w:tr2bl w:val="nil"/>
                  </w:tcBorders>
                  <w:shd w:val="clear" w:color="auto" w:fill="auto"/>
                  <w:vAlign w:val="center"/>
                </w:tcPr>
                <w:p w14:paraId="4F2A9DAF">
                  <w:pPr>
                    <w:pStyle w:val="90"/>
                    <w:keepNext w:val="0"/>
                    <w:keepLines w:val="0"/>
                    <w:widowControl/>
                    <w:suppressLineNumbers w:val="0"/>
                    <w:spacing w:before="0" w:beforeAutospacing="0" w:after="0" w:afterAutospacing="0"/>
                    <w:ind w:left="0" w:right="0"/>
                    <w:rPr>
                      <w:rFonts w:hint="default"/>
                      <w:color w:val="000000" w:themeColor="text1"/>
                      <w:lang w:val="en-US"/>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符合</w:t>
                  </w:r>
                </w:p>
              </w:tc>
            </w:tr>
            <w:tr w14:paraId="40FE2D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809" w:type="dxa"/>
                  <w:tcBorders>
                    <w:tl2br w:val="nil"/>
                    <w:tr2bl w:val="nil"/>
                  </w:tcBorders>
                  <w:shd w:val="clear" w:color="auto" w:fill="auto"/>
                  <w:vAlign w:val="center"/>
                </w:tcPr>
                <w:p w14:paraId="43B13D73">
                  <w:pPr>
                    <w:pStyle w:val="90"/>
                    <w:keepNext w:val="0"/>
                    <w:keepLines w:val="0"/>
                    <w:widowControl/>
                    <w:suppressLineNumbers w:val="0"/>
                    <w:spacing w:before="0" w:beforeAutospacing="0" w:after="0" w:afterAutospacing="0"/>
                    <w:ind w:left="0" w:right="0"/>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环境风险防控</w:t>
                  </w:r>
                </w:p>
              </w:tc>
              <w:tc>
                <w:tcPr>
                  <w:tcW w:w="3887" w:type="dxa"/>
                  <w:tcBorders>
                    <w:tl2br w:val="nil"/>
                    <w:tr2bl w:val="nil"/>
                  </w:tcBorders>
                  <w:shd w:val="clear" w:color="auto" w:fill="auto"/>
                  <w:vAlign w:val="top"/>
                </w:tcPr>
                <w:p w14:paraId="1D75C23F">
                  <w:pPr>
                    <w:pStyle w:val="90"/>
                    <w:keepNext w:val="0"/>
                    <w:keepLines w:val="0"/>
                    <w:widowControl/>
                    <w:suppressLineNumbers w:val="0"/>
                    <w:spacing w:before="0" w:beforeAutospacing="0" w:after="0" w:afterAutospacing="0"/>
                    <w:ind w:left="0" w:right="0"/>
                    <w:jc w:val="both"/>
                    <w:rPr>
                      <w:rFonts w:hint="eastAsia" w:cs="宋体"/>
                      <w:color w:val="000000" w:themeColor="text1"/>
                      <w:lang w:val="en-US" w:eastAsia="zh-CN"/>
                      <w14:textFill>
                        <w14:solidFill>
                          <w14:schemeClr w14:val="tx1"/>
                        </w14:solidFill>
                      </w14:textFill>
                    </w:rPr>
                  </w:pPr>
                </w:p>
                <w:p w14:paraId="29F21D79">
                  <w:pPr>
                    <w:pStyle w:val="90"/>
                    <w:keepNext w:val="0"/>
                    <w:keepLines w:val="0"/>
                    <w:widowControl/>
                    <w:suppressLineNumbers w:val="0"/>
                    <w:spacing w:before="0" w:beforeAutospacing="0" w:after="0" w:afterAutospacing="0"/>
                    <w:ind w:right="0"/>
                    <w:jc w:val="center"/>
                    <w:rPr>
                      <w:rFonts w:hint="eastAsia" w:ascii="Times New Roman" w:hAnsi="Times New Roman" w:eastAsia="宋体" w:cs="宋体"/>
                      <w:color w:val="000000" w:themeColor="text1"/>
                      <w:lang w:val="en-US" w:eastAsia="zh-CN"/>
                      <w14:textFill>
                        <w14:solidFill>
                          <w14:schemeClr w14:val="tx1"/>
                        </w14:solidFill>
                      </w14:textFill>
                    </w:rPr>
                  </w:pPr>
                  <w:r>
                    <w:rPr>
                      <w:rFonts w:hint="eastAsia" w:cs="宋体"/>
                      <w:color w:val="000000" w:themeColor="text1"/>
                      <w:lang w:val="en-US" w:eastAsia="zh-CN"/>
                      <w14:textFill>
                        <w14:solidFill>
                          <w14:schemeClr w14:val="tx1"/>
                        </w14:solidFill>
                      </w14:textFill>
                    </w:rPr>
                    <w:t>无</w:t>
                  </w:r>
                </w:p>
              </w:tc>
              <w:tc>
                <w:tcPr>
                  <w:tcW w:w="1736" w:type="dxa"/>
                  <w:tcBorders>
                    <w:tl2br w:val="nil"/>
                    <w:tr2bl w:val="nil"/>
                  </w:tcBorders>
                  <w:shd w:val="clear" w:color="auto" w:fill="auto"/>
                  <w:vAlign w:val="center"/>
                </w:tcPr>
                <w:p w14:paraId="4FD40BAB">
                  <w:pPr>
                    <w:pStyle w:val="90"/>
                    <w:keepNext w:val="0"/>
                    <w:keepLines w:val="0"/>
                    <w:widowControl/>
                    <w:suppressLineNumbers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666" w:type="dxa"/>
                  <w:tcBorders>
                    <w:tl2br w:val="nil"/>
                    <w:tr2bl w:val="nil"/>
                  </w:tcBorders>
                  <w:shd w:val="clear" w:color="auto" w:fill="auto"/>
                  <w:vAlign w:val="center"/>
                </w:tcPr>
                <w:p w14:paraId="0997557D">
                  <w:pPr>
                    <w:pStyle w:val="90"/>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w:t>
                  </w:r>
                </w:p>
              </w:tc>
            </w:tr>
            <w:tr w14:paraId="5D8399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809" w:type="dxa"/>
                  <w:tcBorders>
                    <w:tl2br w:val="nil"/>
                    <w:tr2bl w:val="nil"/>
                  </w:tcBorders>
                  <w:shd w:val="clear" w:color="auto" w:fill="auto"/>
                  <w:vAlign w:val="center"/>
                </w:tcPr>
                <w:p w14:paraId="2EC353E5">
                  <w:pPr>
                    <w:pStyle w:val="90"/>
                    <w:keepNext w:val="0"/>
                    <w:keepLines w:val="0"/>
                    <w:widowControl/>
                    <w:suppressLineNumbers w:val="0"/>
                    <w:spacing w:before="0" w:beforeAutospacing="0" w:after="0" w:afterAutospacing="0"/>
                    <w:ind w:left="0" w:right="0"/>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资源开发效率要求</w:t>
                  </w:r>
                </w:p>
              </w:tc>
              <w:tc>
                <w:tcPr>
                  <w:tcW w:w="3887" w:type="dxa"/>
                  <w:tcBorders>
                    <w:tl2br w:val="nil"/>
                    <w:tr2bl w:val="nil"/>
                  </w:tcBorders>
                  <w:shd w:val="clear" w:color="auto" w:fill="auto"/>
                  <w:vAlign w:val="top"/>
                </w:tcPr>
                <w:p w14:paraId="018AC2E5">
                  <w:pPr>
                    <w:pStyle w:val="90"/>
                    <w:keepNext w:val="0"/>
                    <w:keepLines w:val="0"/>
                    <w:widowControl/>
                    <w:suppressLineNumbers w:val="0"/>
                    <w:spacing w:before="0" w:beforeAutospacing="0" w:after="0" w:afterAutospacing="0"/>
                    <w:ind w:left="0" w:right="0"/>
                    <w:rPr>
                      <w:rFonts w:hint="default" w:ascii="Times New Roman" w:hAnsi="Times New Roman" w:eastAsia="宋体" w:cs="宋体"/>
                      <w:color w:val="000000" w:themeColor="text1"/>
                      <w:lang w:val="en-US" w:eastAsia="en-US"/>
                      <w14:textFill>
                        <w14:solidFill>
                          <w14:schemeClr w14:val="tx1"/>
                        </w14:solidFill>
                      </w14:textFill>
                    </w:rPr>
                  </w:pPr>
                  <w:r>
                    <w:rPr>
                      <w:rFonts w:hint="default" w:ascii="Times New Roman" w:hAnsi="Times New Roman" w:eastAsia="宋体" w:cs="宋体"/>
                      <w:color w:val="000000" w:themeColor="text1"/>
                      <w:lang w:val="en-US" w:eastAsia="en-US"/>
                      <w14:textFill>
                        <w14:solidFill>
                          <w14:schemeClr w14:val="tx1"/>
                        </w14:solidFill>
                      </w14:textFill>
                    </w:rPr>
                    <w:t>到2024年底，全市范围内每小时10蒸吨及以下燃煤锅炉全面淘汰；到2025年底，全市范围内每小时35蒸吨以下燃煤锅炉通过集中供热、清洁能源替代、深度治理等方式全面实现转型、升级、退出，县级及以上城市建成区在用锅炉（燃煤、燃油、燃生物质）全面改用电能等清洁能源或治理达到超低排放水平；禁止新建每小时35蒸吨以下燃煤锅炉，以及每小时10蒸吨及以下燃生物质和其他使用高污染燃料的锅炉。集中供热管网覆盖范围内禁止新建、扩建分散燃煤、燃油等供热锅炉。</w:t>
                  </w:r>
                </w:p>
              </w:tc>
              <w:tc>
                <w:tcPr>
                  <w:tcW w:w="1736" w:type="dxa"/>
                  <w:tcBorders>
                    <w:tl2br w:val="nil"/>
                    <w:tr2bl w:val="nil"/>
                  </w:tcBorders>
                  <w:shd w:val="clear" w:color="auto" w:fill="auto"/>
                  <w:vAlign w:val="center"/>
                </w:tcPr>
                <w:p w14:paraId="6328DF37">
                  <w:pPr>
                    <w:pStyle w:val="90"/>
                    <w:keepNext w:val="0"/>
                    <w:keepLines w:val="0"/>
                    <w:widowControl/>
                    <w:suppressLineNumbers w:val="0"/>
                    <w:spacing w:before="0" w:beforeAutospacing="0" w:after="0" w:afterAutospacing="0"/>
                    <w:ind w:left="0" w:right="0"/>
                    <w:jc w:val="both"/>
                    <w:rPr>
                      <w:rFonts w:hint="default"/>
                      <w:color w:val="000000" w:themeColor="text1"/>
                      <w:lang w:val="en-US" w:eastAsia="zh-CN"/>
                      <w14:textFill>
                        <w14:solidFill>
                          <w14:schemeClr w14:val="tx1"/>
                        </w14:solidFill>
                      </w14:textFill>
                    </w:rPr>
                  </w:pPr>
                  <w:r>
                    <w:rPr>
                      <w:rFonts w:hint="eastAsia"/>
                      <w:color w:val="000000" w:themeColor="text1"/>
                      <w:highlight w:val="none"/>
                      <w:shd w:val="clear"/>
                      <w:lang w:val="en-US" w:eastAsia="zh-CN"/>
                      <w14:textFill>
                        <w14:solidFill>
                          <w14:schemeClr w14:val="tx1"/>
                        </w14:solidFill>
                      </w14:textFill>
                    </w:rPr>
                    <w:t>本项目新建12吨燃生物质锅炉，不属于淘汰类锅炉。</w:t>
                  </w:r>
                </w:p>
              </w:tc>
              <w:tc>
                <w:tcPr>
                  <w:tcW w:w="666" w:type="dxa"/>
                  <w:tcBorders>
                    <w:tl2br w:val="nil"/>
                    <w:tr2bl w:val="nil"/>
                  </w:tcBorders>
                  <w:shd w:val="clear" w:color="auto" w:fill="auto"/>
                  <w:vAlign w:val="center"/>
                </w:tcPr>
                <w:p w14:paraId="1A99C56A">
                  <w:pPr>
                    <w:pStyle w:val="90"/>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符合</w:t>
                  </w:r>
                </w:p>
              </w:tc>
            </w:tr>
          </w:tbl>
          <w:p w14:paraId="695A3905">
            <w:pPr>
              <w:spacing w:line="360" w:lineRule="auto"/>
              <w:ind w:firstLine="480" w:firstLineChars="200"/>
              <w:rPr>
                <w:color w:val="000000" w:themeColor="text1"/>
                <w14:textFill>
                  <w14:solidFill>
                    <w14:schemeClr w14:val="tx1"/>
                  </w14:solidFill>
                </w14:textFill>
              </w:rPr>
            </w:pPr>
            <w:r>
              <w:rPr>
                <w:rFonts w:hint="eastAsia" w:ascii="Times New Roman" w:hAnsi="Times New Roman" w:eastAsia="宋体" w:cs="宋体"/>
                <w:color w:val="000000" w:themeColor="text1"/>
                <w:sz w:val="24"/>
                <w:highlight w:val="none"/>
                <w:lang w:val="en-US" w:eastAsia="zh-CN" w:bidi="ar"/>
                <w14:textFill>
                  <w14:solidFill>
                    <w14:schemeClr w14:val="tx1"/>
                  </w14:solidFill>
                </w14:textFill>
              </w:rPr>
              <w:t>综上所述，</w:t>
            </w:r>
            <w:r>
              <w:rPr>
                <w:rFonts w:hint="eastAsia" w:ascii="Times New Roman" w:hAnsi="Times New Roman" w:eastAsia="宋体" w:cs="宋体"/>
                <w:color w:val="000000" w:themeColor="text1"/>
                <w:sz w:val="24"/>
                <w:highlight w:val="none"/>
                <w:lang w:eastAsia="zh-CN" w:bidi="ar"/>
                <w14:textFill>
                  <w14:solidFill>
                    <w14:schemeClr w14:val="tx1"/>
                  </w14:solidFill>
                </w14:textFill>
              </w:rPr>
              <w:t>本项目位于</w:t>
            </w:r>
            <w:r>
              <w:rPr>
                <w:rFonts w:hint="eastAsia" w:cs="宋体"/>
                <w:color w:val="000000" w:themeColor="text1"/>
                <w:sz w:val="24"/>
                <w:highlight w:val="none"/>
                <w:lang w:eastAsia="zh-CN" w:bidi="ar"/>
                <w14:textFill>
                  <w14:solidFill>
                    <w14:schemeClr w14:val="tx1"/>
                  </w14:solidFill>
                </w14:textFill>
              </w:rPr>
              <w:t>闽清县池园镇</w:t>
            </w:r>
            <w:r>
              <w:rPr>
                <w:rFonts w:hint="eastAsia" w:ascii="Times New Roman" w:hAnsi="Times New Roman" w:eastAsia="宋体" w:cs="宋体"/>
                <w:color w:val="000000" w:themeColor="text1"/>
                <w:sz w:val="24"/>
                <w:highlight w:val="none"/>
                <w:lang w:eastAsia="zh-CN" w:bidi="ar"/>
                <w14:textFill>
                  <w14:solidFill>
                    <w14:schemeClr w14:val="tx1"/>
                  </w14:solidFill>
                </w14:textFill>
              </w:rPr>
              <w:t>，</w:t>
            </w:r>
            <w:r>
              <w:rPr>
                <w:rFonts w:hint="eastAsia" w:ascii="Times New Roman" w:hAnsi="Times New Roman" w:eastAsia="宋体" w:cs="宋体"/>
                <w:color w:val="000000" w:themeColor="text1"/>
                <w:sz w:val="24"/>
                <w:highlight w:val="none"/>
                <w:lang w:val="en-US" w:eastAsia="zh-CN" w:bidi="ar"/>
                <w14:textFill>
                  <w14:solidFill>
                    <w14:schemeClr w14:val="tx1"/>
                  </w14:solidFill>
                </w14:textFill>
              </w:rPr>
              <w:t>项目的建设符合</w:t>
            </w:r>
            <w:r>
              <w:rPr>
                <w:rFonts w:hint="eastAsia" w:cs="宋体"/>
                <w:color w:val="000000" w:themeColor="text1"/>
                <w:sz w:val="24"/>
                <w:highlight w:val="none"/>
                <w:lang w:val="en-US" w:eastAsia="zh-CN" w:bidi="ar"/>
                <w14:textFill>
                  <w14:solidFill>
                    <w14:schemeClr w14:val="tx1"/>
                  </w14:solidFill>
                </w14:textFill>
              </w:rPr>
              <w:t>“福州</w:t>
            </w:r>
            <w:r>
              <w:rPr>
                <w:rFonts w:hint="eastAsia" w:ascii="Times New Roman" w:hAnsi="Times New Roman" w:eastAsia="宋体" w:cs="宋体"/>
                <w:color w:val="000000" w:themeColor="text1"/>
                <w:sz w:val="24"/>
                <w:highlight w:val="none"/>
                <w:lang w:eastAsia="zh-CN" w:bidi="ar"/>
                <w14:textFill>
                  <w14:solidFill>
                    <w14:schemeClr w14:val="tx1"/>
                  </w14:solidFill>
                </w14:textFill>
              </w:rPr>
              <w:t>市生态环境总体准入要求”，用地性质为工业用地，符合“三线一单”控制要求，项目选址合理。</w:t>
            </w:r>
          </w:p>
        </w:tc>
      </w:tr>
    </w:tbl>
    <w:p w14:paraId="02D562C8">
      <w:pPr>
        <w:spacing w:line="360" w:lineRule="auto"/>
        <w:rPr>
          <w:rFonts w:eastAsia="黑体"/>
          <w:color w:val="000000" w:themeColor="text1"/>
          <w:sz w:val="30"/>
          <w:highlight w:val="none"/>
          <w14:textFill>
            <w14:solidFill>
              <w14:schemeClr w14:val="tx1"/>
            </w14:solidFill>
          </w14:textFill>
        </w:rPr>
        <w:sectPr>
          <w:footerReference r:id="rId5" w:type="default"/>
          <w:pgSz w:w="11905" w:h="16838"/>
          <w:pgMar w:top="1417" w:right="1417" w:bottom="1417" w:left="1417" w:header="851" w:footer="1077" w:gutter="0"/>
          <w:pgBorders>
            <w:top w:val="none" w:sz="0" w:space="0"/>
            <w:left w:val="none" w:sz="0" w:space="0"/>
            <w:bottom w:val="none" w:sz="0" w:space="0"/>
            <w:right w:val="none" w:sz="0" w:space="0"/>
          </w:pgBorders>
          <w:pgNumType w:fmt="decimal" w:start="1"/>
          <w:cols w:space="0" w:num="1"/>
          <w:docGrid w:linePitch="312" w:charSpace="0"/>
        </w:sectPr>
      </w:pPr>
    </w:p>
    <w:p w14:paraId="0E5D372E">
      <w:pPr>
        <w:pStyle w:val="2"/>
        <w:bidi w:val="0"/>
        <w:ind w:left="432" w:leftChars="0" w:hanging="432" w:firstLineChars="0"/>
        <w:rPr>
          <w:color w:val="000000" w:themeColor="text1"/>
          <w:highlight w:val="none"/>
          <w14:textFill>
            <w14:solidFill>
              <w14:schemeClr w14:val="tx1"/>
            </w14:solidFill>
          </w14:textFill>
        </w:rPr>
      </w:pPr>
      <w:bookmarkStart w:id="7" w:name="_Toc18851"/>
      <w:bookmarkStart w:id="8" w:name="_Toc24216"/>
      <w:bookmarkStart w:id="9" w:name="_Toc2799"/>
      <w:bookmarkStart w:id="10" w:name="_Toc14844"/>
      <w:bookmarkStart w:id="11" w:name="_Toc21337"/>
      <w:r>
        <w:rPr>
          <w:rFonts w:hint="eastAsia"/>
          <w:color w:val="000000" w:themeColor="text1"/>
          <w:highlight w:val="none"/>
          <w14:textFill>
            <w14:solidFill>
              <w14:schemeClr w14:val="tx1"/>
            </w14:solidFill>
          </w14:textFill>
        </w:rPr>
        <w:t>建设项目工程分析</w:t>
      </w:r>
      <w:bookmarkEnd w:id="7"/>
      <w:bookmarkEnd w:id="8"/>
      <w:bookmarkEnd w:id="9"/>
      <w:bookmarkEnd w:id="10"/>
      <w:bookmarkEnd w:id="11"/>
    </w:p>
    <w:tbl>
      <w:tblPr>
        <w:tblStyle w:val="32"/>
        <w:tblW w:w="92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861"/>
      </w:tblGrid>
      <w:tr w14:paraId="6FE1FA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vAlign w:val="center"/>
          </w:tcPr>
          <w:p w14:paraId="2336EEAE">
            <w:pPr>
              <w:pStyle w:val="30"/>
              <w:adjustRightInd w:val="0"/>
              <w:snapToGrid w:val="0"/>
              <w:spacing w:before="0" w:beforeAutospacing="0" w:after="0" w:afterAutospacing="0"/>
              <w:jc w:val="center"/>
              <w:rPr>
                <w:rFonts w:cs="宋体"/>
                <w:color w:val="000000" w:themeColor="text1"/>
                <w:sz w:val="21"/>
                <w:szCs w:val="21"/>
                <w:highlight w:val="none"/>
                <w14:textFill>
                  <w14:solidFill>
                    <w14:schemeClr w14:val="tx1"/>
                  </w14:solidFill>
                </w14:textFill>
              </w:rPr>
            </w:pPr>
            <w:bookmarkStart w:id="12" w:name="_Hlk86096164"/>
            <w:r>
              <w:rPr>
                <w:rFonts w:hint="eastAsia" w:cs="宋体"/>
                <w:color w:val="000000" w:themeColor="text1"/>
                <w:sz w:val="21"/>
                <w:szCs w:val="21"/>
                <w:highlight w:val="none"/>
                <w14:textFill>
                  <w14:solidFill>
                    <w14:schemeClr w14:val="tx1"/>
                  </w14:solidFill>
                </w14:textFill>
              </w:rPr>
              <w:t>建设内容</w:t>
            </w:r>
          </w:p>
        </w:tc>
        <w:tc>
          <w:tcPr>
            <w:tcW w:w="8861" w:type="dxa"/>
          </w:tcPr>
          <w:p w14:paraId="3B540F8B">
            <w:pPr>
              <w:pStyle w:val="3"/>
              <w:bidi w:val="0"/>
              <w:ind w:left="0" w:leftChars="0"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项目由来</w:t>
            </w:r>
          </w:p>
          <w:p w14:paraId="17335E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宋体"/>
                <w:color w:val="auto"/>
                <w:kern w:val="0"/>
                <w:sz w:val="24"/>
                <w:szCs w:val="20"/>
                <w:highlight w:val="none"/>
                <w:lang w:val="en-US" w:eastAsia="zh-CN" w:bidi="ar-SA"/>
              </w:rPr>
            </w:pPr>
            <w:r>
              <w:rPr>
                <w:rFonts w:hint="default" w:ascii="Times New Roman" w:hAnsi="Times New Roman" w:eastAsia="宋体" w:cs="宋体"/>
                <w:color w:val="auto"/>
                <w:kern w:val="0"/>
                <w:sz w:val="24"/>
                <w:szCs w:val="20"/>
                <w:highlight w:val="none"/>
                <w:lang w:val="en-US" w:eastAsia="zh-CN" w:bidi="ar-SA"/>
              </w:rPr>
              <w:t>福州瑞恒新型建材科技有限于202</w:t>
            </w:r>
            <w:r>
              <w:rPr>
                <w:rFonts w:hint="eastAsia" w:cs="宋体"/>
                <w:color w:val="auto"/>
                <w:kern w:val="0"/>
                <w:sz w:val="24"/>
                <w:szCs w:val="20"/>
                <w:highlight w:val="none"/>
                <w:lang w:val="en-US" w:eastAsia="zh-CN" w:bidi="ar-SA"/>
              </w:rPr>
              <w:t>2</w:t>
            </w:r>
            <w:r>
              <w:rPr>
                <w:rFonts w:hint="default" w:ascii="Times New Roman" w:hAnsi="Times New Roman" w:eastAsia="宋体" w:cs="宋体"/>
                <w:color w:val="auto"/>
                <w:kern w:val="0"/>
                <w:sz w:val="24"/>
                <w:szCs w:val="20"/>
                <w:highlight w:val="none"/>
                <w:lang w:val="en-US" w:eastAsia="zh-CN" w:bidi="ar-SA"/>
              </w:rPr>
              <w:t>年</w:t>
            </w:r>
            <w:r>
              <w:rPr>
                <w:rFonts w:hint="eastAsia" w:cs="宋体"/>
                <w:color w:val="auto"/>
                <w:kern w:val="0"/>
                <w:sz w:val="24"/>
                <w:szCs w:val="20"/>
                <w:highlight w:val="none"/>
                <w:lang w:val="en-US" w:eastAsia="zh-CN" w:bidi="ar-SA"/>
              </w:rPr>
              <w:t>1</w:t>
            </w:r>
            <w:r>
              <w:rPr>
                <w:rFonts w:hint="default" w:ascii="Times New Roman" w:hAnsi="Times New Roman" w:eastAsia="宋体" w:cs="宋体"/>
                <w:color w:val="auto"/>
                <w:kern w:val="0"/>
                <w:sz w:val="24"/>
                <w:szCs w:val="20"/>
                <w:highlight w:val="none"/>
                <w:lang w:val="en-US" w:eastAsia="zh-CN" w:bidi="ar-SA"/>
              </w:rPr>
              <w:t>月</w:t>
            </w:r>
            <w:r>
              <w:rPr>
                <w:rFonts w:hint="eastAsia" w:cs="宋体"/>
                <w:color w:val="auto"/>
                <w:kern w:val="0"/>
                <w:sz w:val="24"/>
                <w:szCs w:val="20"/>
                <w:highlight w:val="none"/>
                <w:lang w:val="en-US" w:eastAsia="zh-CN" w:bidi="ar-SA"/>
              </w:rPr>
              <w:t>27</w:t>
            </w:r>
            <w:r>
              <w:rPr>
                <w:rFonts w:hint="default" w:ascii="Times New Roman" w:hAnsi="Times New Roman" w:eastAsia="宋体" w:cs="宋体"/>
                <w:color w:val="auto"/>
                <w:kern w:val="0"/>
                <w:sz w:val="24"/>
                <w:szCs w:val="20"/>
                <w:highlight w:val="none"/>
                <w:lang w:val="en-US" w:eastAsia="zh-CN" w:bidi="ar-SA"/>
              </w:rPr>
              <w:t>日取得营业执照（营业执照见附件</w:t>
            </w:r>
            <w:r>
              <w:rPr>
                <w:rFonts w:hint="eastAsia" w:cs="宋体"/>
                <w:color w:val="auto"/>
                <w:kern w:val="0"/>
                <w:sz w:val="24"/>
                <w:szCs w:val="20"/>
                <w:highlight w:val="none"/>
                <w:lang w:val="en-US" w:eastAsia="zh-CN" w:bidi="ar-SA"/>
              </w:rPr>
              <w:t>3</w:t>
            </w:r>
            <w:r>
              <w:rPr>
                <w:rFonts w:hint="default" w:ascii="Times New Roman" w:hAnsi="Times New Roman" w:eastAsia="宋体" w:cs="宋体"/>
                <w:color w:val="auto"/>
                <w:kern w:val="0"/>
                <w:sz w:val="24"/>
                <w:szCs w:val="20"/>
                <w:highlight w:val="none"/>
                <w:lang w:val="en-US" w:eastAsia="zh-CN" w:bidi="ar-SA"/>
              </w:rPr>
              <w:t>），主要经营范围包括新型建筑材料制造(不含危险化学品);建筑砌块制造;轻质建筑材料制造;结构构件制造等。</w:t>
            </w:r>
          </w:p>
          <w:p w14:paraId="7F8F8E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宋体"/>
                <w:color w:val="auto"/>
                <w:kern w:val="0"/>
                <w:sz w:val="24"/>
                <w:szCs w:val="20"/>
                <w:highlight w:val="none"/>
                <w:lang w:val="en-US" w:eastAsia="zh-CN" w:bidi="ar-SA"/>
              </w:rPr>
            </w:pPr>
            <w:r>
              <w:rPr>
                <w:rFonts w:hint="default" w:ascii="Times New Roman" w:hAnsi="Times New Roman" w:eastAsia="宋体" w:cs="宋体"/>
                <w:color w:val="auto"/>
                <w:kern w:val="0"/>
                <w:sz w:val="24"/>
                <w:szCs w:val="20"/>
                <w:highlight w:val="none"/>
                <w:lang w:val="en-US" w:eastAsia="zh-CN" w:bidi="ar-SA"/>
              </w:rPr>
              <w:t>建设单位于2022年</w:t>
            </w:r>
            <w:r>
              <w:rPr>
                <w:rFonts w:hint="eastAsia" w:cs="宋体"/>
                <w:color w:val="auto"/>
                <w:kern w:val="0"/>
                <w:sz w:val="24"/>
                <w:szCs w:val="20"/>
                <w:highlight w:val="none"/>
                <w:lang w:val="en-US" w:eastAsia="zh-CN" w:bidi="ar-SA"/>
              </w:rPr>
              <w:t>7</w:t>
            </w:r>
            <w:r>
              <w:rPr>
                <w:rFonts w:hint="default" w:ascii="Times New Roman" w:hAnsi="Times New Roman" w:eastAsia="宋体" w:cs="宋体"/>
                <w:color w:val="auto"/>
                <w:kern w:val="0"/>
                <w:sz w:val="24"/>
                <w:szCs w:val="20"/>
                <w:highlight w:val="none"/>
                <w:lang w:val="en-US" w:eastAsia="zh-CN" w:bidi="ar-SA"/>
              </w:rPr>
              <w:t>月委托福建环诺科技有限公司编制完成了《瑞恒新型环保节能墙体材料建设项目环境影响报告表》，202</w:t>
            </w:r>
            <w:r>
              <w:rPr>
                <w:rFonts w:hint="eastAsia" w:cs="宋体"/>
                <w:color w:val="auto"/>
                <w:kern w:val="0"/>
                <w:sz w:val="24"/>
                <w:szCs w:val="20"/>
                <w:highlight w:val="none"/>
                <w:lang w:val="en-US" w:eastAsia="zh-CN" w:bidi="ar-SA"/>
              </w:rPr>
              <w:t>2</w:t>
            </w:r>
            <w:r>
              <w:rPr>
                <w:rFonts w:hint="default" w:ascii="Times New Roman" w:hAnsi="Times New Roman" w:eastAsia="宋体" w:cs="宋体"/>
                <w:color w:val="auto"/>
                <w:kern w:val="0"/>
                <w:sz w:val="24"/>
                <w:szCs w:val="20"/>
                <w:highlight w:val="none"/>
                <w:lang w:val="en-US" w:eastAsia="zh-CN" w:bidi="ar-SA"/>
              </w:rPr>
              <w:t>年</w:t>
            </w:r>
            <w:r>
              <w:rPr>
                <w:rFonts w:hint="eastAsia" w:cs="宋体"/>
                <w:color w:val="auto"/>
                <w:kern w:val="0"/>
                <w:sz w:val="24"/>
                <w:szCs w:val="20"/>
                <w:highlight w:val="none"/>
                <w:lang w:val="en-US" w:eastAsia="zh-CN" w:bidi="ar-SA"/>
              </w:rPr>
              <w:t>8</w:t>
            </w:r>
            <w:r>
              <w:rPr>
                <w:rFonts w:hint="default" w:ascii="Times New Roman" w:hAnsi="Times New Roman" w:eastAsia="宋体" w:cs="宋体"/>
                <w:color w:val="auto"/>
                <w:kern w:val="0"/>
                <w:sz w:val="24"/>
                <w:szCs w:val="20"/>
                <w:highlight w:val="none"/>
                <w:lang w:val="en-US" w:eastAsia="zh-CN" w:bidi="ar-SA"/>
              </w:rPr>
              <w:t>月</w:t>
            </w:r>
            <w:r>
              <w:rPr>
                <w:rFonts w:hint="eastAsia" w:cs="宋体"/>
                <w:color w:val="auto"/>
                <w:kern w:val="0"/>
                <w:sz w:val="24"/>
                <w:szCs w:val="20"/>
                <w:highlight w:val="none"/>
                <w:lang w:val="en-US" w:eastAsia="zh-CN" w:bidi="ar-SA"/>
              </w:rPr>
              <w:t>15</w:t>
            </w:r>
            <w:r>
              <w:rPr>
                <w:rFonts w:hint="default" w:ascii="Times New Roman" w:hAnsi="Times New Roman" w:eastAsia="宋体" w:cs="宋体"/>
                <w:color w:val="auto"/>
                <w:kern w:val="0"/>
                <w:sz w:val="24"/>
                <w:szCs w:val="20"/>
                <w:highlight w:val="none"/>
                <w:lang w:val="en-US" w:eastAsia="zh-CN" w:bidi="ar-SA"/>
              </w:rPr>
              <w:t>日通过福州市生态环境局审批（榕梅环评〔2022〕</w:t>
            </w:r>
            <w:r>
              <w:rPr>
                <w:rFonts w:hint="eastAsia" w:cs="宋体"/>
                <w:color w:val="auto"/>
                <w:kern w:val="0"/>
                <w:sz w:val="24"/>
                <w:szCs w:val="20"/>
                <w:highlight w:val="none"/>
                <w:lang w:val="en-US" w:eastAsia="zh-CN" w:bidi="ar-SA"/>
              </w:rPr>
              <w:t>15</w:t>
            </w:r>
            <w:r>
              <w:rPr>
                <w:rFonts w:hint="default" w:ascii="Times New Roman" w:hAnsi="Times New Roman" w:eastAsia="宋体" w:cs="宋体"/>
                <w:color w:val="auto"/>
                <w:kern w:val="0"/>
                <w:sz w:val="24"/>
                <w:szCs w:val="20"/>
                <w:highlight w:val="none"/>
                <w:lang w:val="en-US" w:eastAsia="zh-CN" w:bidi="ar-SA"/>
              </w:rPr>
              <w:t>号）。该项目于202</w:t>
            </w:r>
            <w:r>
              <w:rPr>
                <w:rFonts w:hint="eastAsia" w:cs="宋体"/>
                <w:color w:val="auto"/>
                <w:kern w:val="0"/>
                <w:sz w:val="24"/>
                <w:szCs w:val="20"/>
                <w:highlight w:val="none"/>
                <w:lang w:val="en-US" w:eastAsia="zh-CN" w:bidi="ar-SA"/>
              </w:rPr>
              <w:t>5</w:t>
            </w:r>
            <w:r>
              <w:rPr>
                <w:rFonts w:hint="default" w:ascii="Times New Roman" w:hAnsi="Times New Roman" w:eastAsia="宋体" w:cs="宋体"/>
                <w:color w:val="auto"/>
                <w:kern w:val="0"/>
                <w:sz w:val="24"/>
                <w:szCs w:val="20"/>
                <w:highlight w:val="none"/>
                <w:lang w:val="en-US" w:eastAsia="zh-CN" w:bidi="ar-SA"/>
              </w:rPr>
              <w:t>年</w:t>
            </w:r>
            <w:r>
              <w:rPr>
                <w:rFonts w:hint="eastAsia" w:cs="宋体"/>
                <w:color w:val="auto"/>
                <w:kern w:val="0"/>
                <w:sz w:val="24"/>
                <w:szCs w:val="20"/>
                <w:highlight w:val="none"/>
                <w:lang w:val="en-US" w:eastAsia="zh-CN" w:bidi="ar-SA"/>
              </w:rPr>
              <w:t>8</w:t>
            </w:r>
            <w:r>
              <w:rPr>
                <w:rFonts w:hint="default" w:ascii="Times New Roman" w:hAnsi="Times New Roman" w:eastAsia="宋体" w:cs="宋体"/>
                <w:color w:val="auto"/>
                <w:kern w:val="0"/>
                <w:sz w:val="24"/>
                <w:szCs w:val="20"/>
                <w:highlight w:val="none"/>
                <w:lang w:val="en-US" w:eastAsia="zh-CN" w:bidi="ar-SA"/>
              </w:rPr>
              <w:t>月2日通过竣工环境保护自主验收工作（验收意见见附件6）。</w:t>
            </w:r>
            <w:r>
              <w:rPr>
                <w:rFonts w:hint="eastAsia" w:cs="宋体"/>
                <w:color w:val="auto"/>
                <w:kern w:val="0"/>
                <w:sz w:val="24"/>
                <w:szCs w:val="20"/>
                <w:highlight w:val="none"/>
                <w:lang w:val="en-US" w:eastAsia="zh-CN" w:bidi="ar-SA"/>
              </w:rPr>
              <w:t>现有生产规模为</w:t>
            </w:r>
            <w:r>
              <w:rPr>
                <w:rFonts w:hint="default" w:ascii="Times New Roman" w:hAnsi="Times New Roman" w:eastAsia="宋体" w:cs="宋体"/>
                <w:color w:val="auto"/>
                <w:kern w:val="0"/>
                <w:sz w:val="24"/>
                <w:szCs w:val="20"/>
                <w:highlight w:val="none"/>
                <w:lang w:val="en-US" w:eastAsia="zh-CN" w:bidi="ar-SA"/>
              </w:rPr>
              <w:t>年产30万立方新型建筑材料。</w:t>
            </w:r>
          </w:p>
          <w:p w14:paraId="227669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宋体"/>
                <w:color w:val="auto"/>
                <w:kern w:val="0"/>
                <w:sz w:val="24"/>
                <w:szCs w:val="20"/>
                <w:highlight w:val="none"/>
                <w:lang w:val="en-US" w:eastAsia="zh-CN" w:bidi="ar-SA"/>
              </w:rPr>
            </w:pPr>
            <w:r>
              <w:rPr>
                <w:rFonts w:hint="default" w:ascii="Times New Roman" w:hAnsi="Times New Roman" w:eastAsia="宋体" w:cs="宋体"/>
                <w:color w:val="auto"/>
                <w:kern w:val="0"/>
                <w:sz w:val="24"/>
                <w:szCs w:val="20"/>
                <w:highlight w:val="none"/>
                <w:lang w:val="en-US" w:eastAsia="zh-CN" w:bidi="ar-SA"/>
              </w:rPr>
              <w:t>因企业自身经营发展需要，企业拟投资</w:t>
            </w:r>
            <w:r>
              <w:rPr>
                <w:rFonts w:hint="eastAsia" w:cs="宋体"/>
                <w:color w:val="auto"/>
                <w:kern w:val="0"/>
                <w:sz w:val="24"/>
                <w:szCs w:val="20"/>
                <w:highlight w:val="none"/>
                <w:lang w:val="en-US" w:eastAsia="zh-CN" w:bidi="ar-SA"/>
              </w:rPr>
              <w:t>500</w:t>
            </w:r>
            <w:r>
              <w:rPr>
                <w:rFonts w:hint="default" w:ascii="Times New Roman" w:hAnsi="Times New Roman" w:eastAsia="宋体" w:cs="宋体"/>
                <w:color w:val="auto"/>
                <w:kern w:val="0"/>
                <w:sz w:val="24"/>
                <w:szCs w:val="20"/>
                <w:highlight w:val="none"/>
                <w:lang w:val="en-US" w:eastAsia="zh-CN" w:bidi="ar-SA"/>
              </w:rPr>
              <w:t>万元，于福建省福州市闽清县池园镇丽山村</w:t>
            </w:r>
            <w:r>
              <w:rPr>
                <w:rFonts w:hint="eastAsia" w:cs="宋体"/>
                <w:color w:val="auto"/>
                <w:kern w:val="0"/>
                <w:sz w:val="24"/>
                <w:szCs w:val="20"/>
                <w:highlight w:val="none"/>
                <w:lang w:val="en-US" w:eastAsia="zh-CN" w:bidi="ar-SA"/>
              </w:rPr>
              <w:t>丽山498号（租赁福州宏睿工贸有限公司的35553m</w:t>
            </w:r>
            <w:r>
              <w:rPr>
                <w:rFonts w:hint="eastAsia" w:cs="宋体"/>
                <w:color w:val="auto"/>
                <w:kern w:val="0"/>
                <w:sz w:val="24"/>
                <w:szCs w:val="20"/>
                <w:highlight w:val="none"/>
                <w:vertAlign w:val="superscript"/>
                <w:lang w:val="en-US" w:eastAsia="zh-CN" w:bidi="ar-SA"/>
              </w:rPr>
              <w:t>2</w:t>
            </w:r>
            <w:r>
              <w:rPr>
                <w:rFonts w:hint="eastAsia" w:cs="宋体"/>
                <w:color w:val="auto"/>
                <w:kern w:val="0"/>
                <w:sz w:val="24"/>
                <w:szCs w:val="20"/>
                <w:highlight w:val="none"/>
                <w:lang w:val="en-US" w:eastAsia="zh-CN" w:bidi="ar-SA"/>
              </w:rPr>
              <w:t>空置工业用地）</w:t>
            </w:r>
            <w:r>
              <w:rPr>
                <w:rFonts w:hint="default" w:ascii="Times New Roman" w:hAnsi="Times New Roman" w:eastAsia="宋体" w:cs="宋体"/>
                <w:color w:val="auto"/>
                <w:kern w:val="0"/>
                <w:sz w:val="24"/>
                <w:szCs w:val="20"/>
                <w:highlight w:val="none"/>
                <w:lang w:val="en-US" w:eastAsia="zh-CN" w:bidi="ar-SA"/>
              </w:rPr>
              <w:t>内新增网笼输送机、双模并跺车、网片烘干吊机、插拔钎吊机、全自动无托打包线等先进附属设备，</w:t>
            </w:r>
            <w:r>
              <w:rPr>
                <w:rFonts w:hint="eastAsia" w:cs="宋体"/>
                <w:color w:val="auto"/>
                <w:kern w:val="0"/>
                <w:sz w:val="24"/>
                <w:szCs w:val="20"/>
                <w:highlight w:val="none"/>
                <w:lang w:val="en-US" w:eastAsia="zh-CN" w:bidi="ar-SA"/>
              </w:rPr>
              <w:t>扩建新增</w:t>
            </w:r>
            <w:r>
              <w:rPr>
                <w:rFonts w:hint="default" w:ascii="Times New Roman" w:hAnsi="Times New Roman" w:eastAsia="宋体" w:cs="宋体"/>
                <w:color w:val="auto"/>
                <w:kern w:val="0"/>
                <w:sz w:val="24"/>
                <w:szCs w:val="20"/>
                <w:highlight w:val="none"/>
                <w:lang w:val="en-US" w:eastAsia="zh-CN" w:bidi="ar-SA"/>
              </w:rPr>
              <w:t>年产</w:t>
            </w:r>
            <w:r>
              <w:rPr>
                <w:rFonts w:hint="eastAsia" w:ascii="Times New Roman" w:hAnsi="Times New Roman" w:eastAsia="宋体" w:cs="宋体"/>
                <w:color w:val="auto"/>
                <w:kern w:val="0"/>
                <w:sz w:val="24"/>
                <w:szCs w:val="20"/>
                <w:highlight w:val="none"/>
                <w:lang w:val="en-US" w:eastAsia="zh-CN" w:bidi="ar-SA"/>
              </w:rPr>
              <w:t>5</w:t>
            </w:r>
            <w:r>
              <w:rPr>
                <w:rFonts w:hint="default" w:ascii="Times New Roman" w:hAnsi="Times New Roman" w:eastAsia="宋体" w:cs="宋体"/>
                <w:color w:val="auto"/>
                <w:kern w:val="0"/>
                <w:sz w:val="24"/>
                <w:szCs w:val="20"/>
                <w:highlight w:val="none"/>
                <w:lang w:val="en-US" w:eastAsia="zh-CN" w:bidi="ar-SA"/>
              </w:rPr>
              <w:t>万立方新型建筑材料，扩建后全厂合计</w:t>
            </w:r>
            <w:r>
              <w:rPr>
                <w:rFonts w:hint="eastAsia" w:cs="宋体"/>
                <w:color w:val="auto"/>
                <w:kern w:val="0"/>
                <w:sz w:val="24"/>
                <w:szCs w:val="20"/>
                <w:highlight w:val="none"/>
                <w:lang w:val="en-US" w:eastAsia="zh-CN" w:bidi="ar-SA"/>
              </w:rPr>
              <w:t>生产规模</w:t>
            </w:r>
            <w:r>
              <w:rPr>
                <w:rFonts w:hint="default" w:ascii="Times New Roman" w:hAnsi="Times New Roman" w:eastAsia="宋体" w:cs="宋体"/>
                <w:color w:val="auto"/>
                <w:kern w:val="0"/>
                <w:sz w:val="24"/>
                <w:szCs w:val="20"/>
                <w:highlight w:val="none"/>
                <w:lang w:val="en-US" w:eastAsia="zh-CN" w:bidi="ar-SA"/>
              </w:rPr>
              <w:t>：年产新型建筑材料35万立方米。</w:t>
            </w:r>
          </w:p>
          <w:p w14:paraId="770FAF9F">
            <w:pPr>
              <w:pStyle w:val="44"/>
              <w:ind w:firstLine="480"/>
              <w:rPr>
                <w:rFonts w:hint="eastAsia" w:eastAsia="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根据《中华人民共和国环境影响评价法》</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2018年12月29日修订</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、《建设项目环境影响评价分类管理名录》</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2021</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，该建设项目属于</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 xml:space="preserve">二十七、非金属矿物制品业 </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中</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55、石膏、水泥制品及类似制品制造 302</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中</w:t>
            </w:r>
            <w:r>
              <w:rPr>
                <w:rFonts w:hint="eastAsia"/>
                <w:color w:val="000000" w:themeColor="text1"/>
                <w:highlight w:val="none"/>
                <w14:textFill>
                  <w14:solidFill>
                    <w14:schemeClr w14:val="tx1"/>
                  </w14:solidFill>
                </w14:textFill>
              </w:rPr>
              <w:t>“商品混凝土；砼结构构件制造；水泥制品制造”</w:t>
            </w:r>
            <w:r>
              <w:rPr>
                <w:color w:val="000000" w:themeColor="text1"/>
                <w:highlight w:val="none"/>
                <w14:textFill>
                  <w14:solidFill>
                    <w14:schemeClr w14:val="tx1"/>
                  </w14:solidFill>
                </w14:textFill>
              </w:rPr>
              <w:t>项目，应编制环境影响报告表。</w:t>
            </w:r>
            <w:r>
              <w:rPr>
                <w:rFonts w:hint="eastAsia"/>
                <w:color w:val="000000" w:themeColor="text1"/>
                <w:highlight w:val="none"/>
                <w:lang w:val="en-US" w:eastAsia="zh-CN"/>
                <w14:textFill>
                  <w14:solidFill>
                    <w14:schemeClr w14:val="tx1"/>
                  </w14:solidFill>
                </w14:textFill>
              </w:rPr>
              <w:t>我司</w:t>
            </w:r>
            <w:r>
              <w:rPr>
                <w:color w:val="000000" w:themeColor="text1"/>
                <w:highlight w:val="none"/>
                <w14:textFill>
                  <w14:solidFill>
                    <w14:schemeClr w14:val="tx1"/>
                  </w14:solidFill>
                </w14:textFill>
              </w:rPr>
              <w:t>接受委托后即派技术人员对工程场址及其周围环境进行了详尽的实地勘查和相关资料的收集、核实与分析，在此基础上，按照环境影响评价有关技术规范和要求，编制完成</w:t>
            </w:r>
            <w:r>
              <w:rPr>
                <w:color w:val="000000" w:themeColor="text1"/>
                <w:highlight w:val="none"/>
                <w:shd w:val="clear"/>
                <w14:textFill>
                  <w14:solidFill>
                    <w14:schemeClr w14:val="tx1"/>
                  </w14:solidFill>
                </w14:textFill>
              </w:rPr>
              <w:t>《</w:t>
            </w:r>
            <w:r>
              <w:rPr>
                <w:rFonts w:hint="eastAsia"/>
                <w:color w:val="000000" w:themeColor="text1"/>
                <w:highlight w:val="none"/>
                <w:shd w:val="clear"/>
                <w:lang w:val="en-US" w:eastAsia="zh-CN"/>
                <w14:textFill>
                  <w14:solidFill>
                    <w14:schemeClr w14:val="tx1"/>
                  </w14:solidFill>
                </w14:textFill>
              </w:rPr>
              <w:t>瑞恒建材年产新型建筑材料35万立方米项目</w:t>
            </w:r>
            <w:r>
              <w:rPr>
                <w:color w:val="000000" w:themeColor="text1"/>
                <w:highlight w:val="none"/>
                <w:shd w:val="clear"/>
                <w14:textFill>
                  <w14:solidFill>
                    <w14:schemeClr w14:val="tx1"/>
                  </w14:solidFill>
                </w14:textFill>
              </w:rPr>
              <w:t>环境影响报告表》，供建设单</w:t>
            </w:r>
            <w:r>
              <w:rPr>
                <w:color w:val="000000" w:themeColor="text1"/>
                <w:highlight w:val="none"/>
                <w14:textFill>
                  <w14:solidFill>
                    <w14:schemeClr w14:val="tx1"/>
                  </w14:solidFill>
                </w14:textFill>
              </w:rPr>
              <w:t>位报</w:t>
            </w:r>
            <w:r>
              <w:rPr>
                <w:rFonts w:hint="eastAsia"/>
                <w:color w:val="000000" w:themeColor="text1"/>
                <w:highlight w:val="none"/>
                <w:lang w:val="en-US" w:eastAsia="zh-CN"/>
                <w14:textFill>
                  <w14:solidFill>
                    <w14:schemeClr w14:val="tx1"/>
                  </w14:solidFill>
                </w14:textFill>
              </w:rPr>
              <w:t>福州市闽清</w:t>
            </w:r>
            <w:r>
              <w:rPr>
                <w:color w:val="000000" w:themeColor="text1"/>
                <w:highlight w:val="none"/>
                <w14:textFill>
                  <w14:solidFill>
                    <w14:schemeClr w14:val="tx1"/>
                  </w14:solidFill>
                </w14:textFill>
              </w:rPr>
              <w:t>生态环境局审批</w:t>
            </w:r>
            <w:r>
              <w:rPr>
                <w:rFonts w:hint="eastAsia"/>
                <w:color w:val="000000" w:themeColor="text1"/>
                <w:highlight w:val="none"/>
                <w:lang w:eastAsia="zh-CN"/>
                <w14:textFill>
                  <w14:solidFill>
                    <w14:schemeClr w14:val="tx1"/>
                  </w14:solidFill>
                </w14:textFill>
              </w:rPr>
              <w:t>。</w:t>
            </w:r>
          </w:p>
          <w:p w14:paraId="5B51C0B8">
            <w:pPr>
              <w:pStyle w:val="42"/>
              <w:keepNext w:val="0"/>
              <w:keepLines w:val="0"/>
              <w:pageBreakBefore w:val="0"/>
              <w:widowControl w:val="0"/>
              <w:suppressLineNumbers w:val="0"/>
              <w:tabs>
                <w:tab w:val="left" w:pos="0"/>
                <w:tab w:val="clear" w:pos="420"/>
              </w:tabs>
              <w:kinsoku/>
              <w:wordWrap/>
              <w:overflowPunct/>
              <w:topLinePunct w:val="0"/>
              <w:autoSpaceDE/>
              <w:autoSpaceDN/>
              <w:bidi w:val="0"/>
              <w:adjustRightInd/>
              <w:snapToGrid/>
              <w:spacing w:beforeAutospacing="0" w:after="0" w:afterAutospacing="0"/>
              <w:ind w:left="210" w:leftChars="0" w:right="0" w:firstLineChars="0"/>
              <w:textAlignment w:val="auto"/>
              <w:rPr>
                <w:rFonts w:hint="eastAsia" w:ascii="Times New Roman" w:hAnsi="Times New Roman" w:eastAsia="宋体" w:cs="宋体"/>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lang w:val="en-US" w:eastAsia="zh-CN"/>
                <w14:textFill>
                  <w14:solidFill>
                    <w14:schemeClr w14:val="tx1"/>
                  </w14:solidFill>
                </w14:textFill>
              </w:rPr>
              <w:t>建设项目环境影响评价分类管理名录（摘录）</w:t>
            </w:r>
          </w:p>
          <w:tbl>
            <w:tblPr>
              <w:tblStyle w:val="32"/>
              <w:tblW w:w="864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6"/>
              <w:gridCol w:w="2536"/>
              <w:gridCol w:w="2076"/>
              <w:gridCol w:w="2683"/>
              <w:gridCol w:w="881"/>
            </w:tblGrid>
            <w:tr w14:paraId="7DF850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002" w:type="dxa"/>
                  <w:gridSpan w:val="2"/>
                  <w:tcBorders>
                    <w:tl2br w:val="single" w:color="auto" w:sz="4" w:space="0"/>
                  </w:tcBorders>
                  <w:vAlign w:val="center"/>
                </w:tcPr>
                <w:p w14:paraId="4216B074">
                  <w:pPr>
                    <w:pStyle w:val="136"/>
                    <w:bidi w:val="0"/>
                    <w:rPr>
                      <w:rFonts w:hint="default" w:ascii="Times New Roman" w:hAnsi="Times New Roman" w:eastAsia="宋体" w:cs="Times New Roman"/>
                      <w:b w:val="0"/>
                      <w:bCs w:val="0"/>
                      <w:smallCaps w:val="0"/>
                      <w:color w:val="000000" w:themeColor="text1"/>
                      <w:highlight w:val="none"/>
                      <w:shd w:val="clear" w:color="auto" w:fill="auto"/>
                      <w14:textFill>
                        <w14:solidFill>
                          <w14:schemeClr w14:val="tx1"/>
                        </w14:solidFill>
                      </w14:textFill>
                    </w:rPr>
                  </w:pPr>
                  <w:r>
                    <w:rPr>
                      <w:rFonts w:hint="default" w:ascii="Times New Roman" w:hAnsi="Times New Roman" w:eastAsia="宋体" w:cs="Times New Roman"/>
                      <w:b w:val="0"/>
                      <w:bCs w:val="0"/>
                      <w:smallCaps w:val="0"/>
                      <w:color w:val="000000" w:themeColor="text1"/>
                      <w:highlight w:val="none"/>
                      <w:shd w:val="clear" w:color="auto" w:fill="auto"/>
                      <w14:textFill>
                        <w14:solidFill>
                          <w14:schemeClr w14:val="tx1"/>
                        </w14:solidFill>
                      </w14:textFill>
                    </w:rPr>
                    <w:t xml:space="preserve">            环评类别</w:t>
                  </w:r>
                </w:p>
                <w:p w14:paraId="4C30127A">
                  <w:pPr>
                    <w:pStyle w:val="136"/>
                    <w:bidi w:val="0"/>
                    <w:jc w:val="both"/>
                    <w:rPr>
                      <w:rFonts w:hint="default" w:ascii="Times New Roman" w:hAnsi="Times New Roman" w:eastAsia="宋体" w:cs="Times New Roman"/>
                      <w:b w:val="0"/>
                      <w:bCs w:val="0"/>
                      <w:smallCaps w:val="0"/>
                      <w:color w:val="000000" w:themeColor="text1"/>
                      <w:highlight w:val="none"/>
                      <w:shd w:val="clear" w:color="auto" w:fill="auto"/>
                      <w14:textFill>
                        <w14:solidFill>
                          <w14:schemeClr w14:val="tx1"/>
                        </w14:solidFill>
                      </w14:textFill>
                    </w:rPr>
                  </w:pPr>
                  <w:r>
                    <w:rPr>
                      <w:rFonts w:hint="default" w:ascii="Times New Roman" w:hAnsi="Times New Roman" w:eastAsia="宋体" w:cs="Times New Roman"/>
                      <w:b w:val="0"/>
                      <w:bCs w:val="0"/>
                      <w:smallCaps w:val="0"/>
                      <w:color w:val="000000" w:themeColor="text1"/>
                      <w:highlight w:val="none"/>
                      <w:shd w:val="clear" w:color="auto" w:fill="auto"/>
                      <w14:textFill>
                        <w14:solidFill>
                          <w14:schemeClr w14:val="tx1"/>
                        </w14:solidFill>
                      </w14:textFill>
                    </w:rPr>
                    <w:t>项目类别</w:t>
                  </w:r>
                </w:p>
              </w:tc>
              <w:tc>
                <w:tcPr>
                  <w:tcW w:w="2076" w:type="dxa"/>
                  <w:tcBorders>
                    <w:tl2br w:val="nil"/>
                    <w:tr2bl w:val="nil"/>
                  </w:tcBorders>
                  <w:vAlign w:val="center"/>
                </w:tcPr>
                <w:p w14:paraId="2292BC83">
                  <w:pPr>
                    <w:pStyle w:val="136"/>
                    <w:bidi w:val="0"/>
                    <w:rPr>
                      <w:rFonts w:hint="default" w:ascii="Times New Roman" w:hAnsi="Times New Roman" w:eastAsia="宋体" w:cs="Times New Roman"/>
                      <w:b w:val="0"/>
                      <w:bCs w:val="0"/>
                      <w:smallCaps w:val="0"/>
                      <w:color w:val="000000" w:themeColor="text1"/>
                      <w:highlight w:val="none"/>
                      <w:shd w:val="clear" w:color="auto" w:fill="auto"/>
                      <w14:textFill>
                        <w14:solidFill>
                          <w14:schemeClr w14:val="tx1"/>
                        </w14:solidFill>
                      </w14:textFill>
                    </w:rPr>
                  </w:pPr>
                  <w:r>
                    <w:rPr>
                      <w:rFonts w:hint="default" w:ascii="Times New Roman" w:hAnsi="Times New Roman" w:eastAsia="宋体" w:cs="Times New Roman"/>
                      <w:b w:val="0"/>
                      <w:bCs w:val="0"/>
                      <w:smallCaps w:val="0"/>
                      <w:color w:val="000000" w:themeColor="text1"/>
                      <w:highlight w:val="none"/>
                      <w:shd w:val="clear" w:color="auto" w:fill="auto"/>
                      <w14:textFill>
                        <w14:solidFill>
                          <w14:schemeClr w14:val="tx1"/>
                        </w14:solidFill>
                      </w14:textFill>
                    </w:rPr>
                    <w:t>报告书</w:t>
                  </w:r>
                </w:p>
              </w:tc>
              <w:tc>
                <w:tcPr>
                  <w:tcW w:w="2683" w:type="dxa"/>
                  <w:tcBorders>
                    <w:tl2br w:val="nil"/>
                    <w:tr2bl w:val="nil"/>
                  </w:tcBorders>
                  <w:shd w:val="clear" w:color="auto" w:fill="BEBEBE" w:themeFill="background1" w:themeFillShade="BF"/>
                  <w:vAlign w:val="center"/>
                </w:tcPr>
                <w:p w14:paraId="5CB6CF6E">
                  <w:pPr>
                    <w:pStyle w:val="136"/>
                    <w:bidi w:val="0"/>
                    <w:rPr>
                      <w:rFonts w:hint="default" w:ascii="Times New Roman" w:hAnsi="Times New Roman" w:eastAsia="宋体" w:cs="Times New Roman"/>
                      <w:b w:val="0"/>
                      <w:bCs w:val="0"/>
                      <w:smallCaps w:val="0"/>
                      <w:color w:val="000000" w:themeColor="text1"/>
                      <w:highlight w:val="none"/>
                      <w:shd w:val="clear" w:color="auto" w:fill="auto"/>
                      <w14:textFill>
                        <w14:solidFill>
                          <w14:schemeClr w14:val="tx1"/>
                        </w14:solidFill>
                      </w14:textFill>
                    </w:rPr>
                  </w:pPr>
                  <w:r>
                    <w:rPr>
                      <w:rFonts w:hint="default" w:ascii="Times New Roman" w:hAnsi="Times New Roman" w:eastAsia="宋体" w:cs="Times New Roman"/>
                      <w:b w:val="0"/>
                      <w:bCs w:val="0"/>
                      <w:smallCaps w:val="0"/>
                      <w:color w:val="000000" w:themeColor="text1"/>
                      <w:highlight w:val="none"/>
                      <w:shd w:val="clear" w:color="auto" w:fill="auto"/>
                      <w14:textFill>
                        <w14:solidFill>
                          <w14:schemeClr w14:val="tx1"/>
                        </w14:solidFill>
                      </w14:textFill>
                    </w:rPr>
                    <w:t>报告表</w:t>
                  </w:r>
                </w:p>
              </w:tc>
              <w:tc>
                <w:tcPr>
                  <w:tcW w:w="881" w:type="dxa"/>
                  <w:tcBorders>
                    <w:tl2br w:val="nil"/>
                    <w:tr2bl w:val="nil"/>
                  </w:tcBorders>
                  <w:vAlign w:val="center"/>
                </w:tcPr>
                <w:p w14:paraId="68571FD7">
                  <w:pPr>
                    <w:pStyle w:val="136"/>
                    <w:bidi w:val="0"/>
                    <w:rPr>
                      <w:rFonts w:hint="default" w:ascii="Times New Roman" w:hAnsi="Times New Roman" w:eastAsia="宋体" w:cs="Times New Roman"/>
                      <w:b w:val="0"/>
                      <w:bCs w:val="0"/>
                      <w:smallCaps w:val="0"/>
                      <w:color w:val="000000" w:themeColor="text1"/>
                      <w:highlight w:val="none"/>
                      <w:shd w:val="clear" w:color="auto" w:fill="auto"/>
                      <w14:textFill>
                        <w14:solidFill>
                          <w14:schemeClr w14:val="tx1"/>
                        </w14:solidFill>
                      </w14:textFill>
                    </w:rPr>
                  </w:pPr>
                  <w:r>
                    <w:rPr>
                      <w:rFonts w:hint="default" w:ascii="Times New Roman" w:hAnsi="Times New Roman" w:eastAsia="宋体" w:cs="Times New Roman"/>
                      <w:b w:val="0"/>
                      <w:bCs w:val="0"/>
                      <w:smallCaps w:val="0"/>
                      <w:color w:val="000000" w:themeColor="text1"/>
                      <w:highlight w:val="none"/>
                      <w:shd w:val="clear" w:color="auto" w:fill="auto"/>
                      <w14:textFill>
                        <w14:solidFill>
                          <w14:schemeClr w14:val="tx1"/>
                        </w14:solidFill>
                      </w14:textFill>
                    </w:rPr>
                    <w:t>登记表</w:t>
                  </w:r>
                </w:p>
              </w:tc>
            </w:tr>
            <w:tr w14:paraId="563D29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42" w:type="dxa"/>
                  <w:gridSpan w:val="5"/>
                  <w:tcBorders>
                    <w:tl2br w:val="nil"/>
                    <w:tr2bl w:val="nil"/>
                  </w:tcBorders>
                  <w:shd w:val="clear" w:color="auto" w:fill="BEBEBE" w:themeFill="background1" w:themeFillShade="BF"/>
                  <w:vAlign w:val="center"/>
                </w:tcPr>
                <w:p w14:paraId="3732648F">
                  <w:pPr>
                    <w:pStyle w:val="136"/>
                    <w:bidi w:val="0"/>
                    <w:jc w:val="left"/>
                    <w:rPr>
                      <w:rFonts w:hint="default" w:ascii="Times New Roman" w:hAnsi="Times New Roman" w:eastAsia="宋体" w:cs="Times New Roman"/>
                      <w:smallCaps w:val="0"/>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kern w:val="0"/>
                      <w:sz w:val="21"/>
                      <w:szCs w:val="21"/>
                      <w:lang w:val="en-US" w:eastAsia="zh-CN" w:bidi="ar-SA"/>
                    </w:rPr>
                    <w:t>二十七、非金属矿物制品业 30</w:t>
                  </w:r>
                </w:p>
              </w:tc>
            </w:tr>
            <w:tr w14:paraId="053F59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6" w:type="dxa"/>
                  <w:tcBorders>
                    <w:tl2br w:val="nil"/>
                    <w:tr2bl w:val="nil"/>
                  </w:tcBorders>
                  <w:vAlign w:val="center"/>
                </w:tcPr>
                <w:p w14:paraId="5D620985">
                  <w:pPr>
                    <w:pStyle w:val="136"/>
                    <w:bidi w:val="0"/>
                    <w:rPr>
                      <w:rFonts w:hint="default" w:ascii="Times New Roman" w:hAnsi="Times New Roman" w:eastAsia="宋体" w:cs="Times New Roman"/>
                      <w:smallCaps w:val="0"/>
                      <w:color w:val="000000" w:themeColor="text1"/>
                      <w:highlight w:val="none"/>
                      <w:shd w:val="clear" w:color="auto" w:fill="auto"/>
                      <w:lang w:val="en-US" w:eastAsia="zh-CN"/>
                      <w14:textFill>
                        <w14:solidFill>
                          <w14:schemeClr w14:val="tx1"/>
                        </w14:solidFill>
                      </w14:textFill>
                    </w:rPr>
                  </w:pPr>
                  <w:r>
                    <w:rPr>
                      <w:rFonts w:hint="eastAsia" w:ascii="Times New Roman" w:hAnsi="Times New Roman" w:cs="Times New Roman"/>
                      <w:smallCaps w:val="0"/>
                      <w:color w:val="000000" w:themeColor="text1"/>
                      <w:highlight w:val="none"/>
                      <w:shd w:val="clear" w:color="auto" w:fill="auto"/>
                      <w:lang w:val="en-US" w:eastAsia="zh-CN"/>
                      <w14:textFill>
                        <w14:solidFill>
                          <w14:schemeClr w14:val="tx1"/>
                        </w14:solidFill>
                      </w14:textFill>
                    </w:rPr>
                    <w:t>55</w:t>
                  </w:r>
                </w:p>
              </w:tc>
              <w:tc>
                <w:tcPr>
                  <w:tcW w:w="2536" w:type="dxa"/>
                  <w:tcBorders>
                    <w:tl2br w:val="nil"/>
                    <w:tr2bl w:val="nil"/>
                  </w:tcBorders>
                  <w:vAlign w:val="center"/>
                </w:tcPr>
                <w:p w14:paraId="300D2529">
                  <w:pPr>
                    <w:pStyle w:val="136"/>
                    <w:bidi w:val="0"/>
                    <w:rPr>
                      <w:rFonts w:hint="default" w:ascii="Times New Roman" w:hAnsi="Times New Roman" w:eastAsia="宋体" w:cs="Times New Roman"/>
                      <w:smallCaps w:val="0"/>
                      <w:color w:val="000000" w:themeColor="text1"/>
                      <w:highlight w:val="none"/>
                      <w:shd w:val="clear" w:color="auto" w:fill="auto"/>
                      <w:lang w:val="en-US" w:eastAsia="zh-CN"/>
                      <w14:textFill>
                        <w14:solidFill>
                          <w14:schemeClr w14:val="tx1"/>
                        </w14:solidFill>
                      </w14:textFill>
                    </w:rPr>
                  </w:pPr>
                  <w:r>
                    <w:rPr>
                      <w:rFonts w:hint="default" w:ascii="Times New Roman" w:hAnsi="Times New Roman" w:eastAsia="宋体" w:cs="Times New Roman"/>
                      <w:smallCaps w:val="0"/>
                      <w:color w:val="000000" w:themeColor="text1"/>
                      <w:highlight w:val="none"/>
                      <w:shd w:val="clear" w:color="auto" w:fill="auto"/>
                      <w:lang w:val="en-US" w:eastAsia="zh-CN"/>
                      <w14:textFill>
                        <w14:solidFill>
                          <w14:schemeClr w14:val="tx1"/>
                        </w14:solidFill>
                      </w14:textFill>
                    </w:rPr>
                    <w:t>石膏、水泥制品及类</w:t>
                  </w:r>
                </w:p>
                <w:p w14:paraId="289FD7A9">
                  <w:pPr>
                    <w:pStyle w:val="136"/>
                    <w:bidi w:val="0"/>
                    <w:rPr>
                      <w:rFonts w:hint="default" w:ascii="Times New Roman" w:hAnsi="Times New Roman" w:eastAsia="宋体" w:cs="Times New Roman"/>
                      <w:smallCaps w:val="0"/>
                      <w:color w:val="000000" w:themeColor="text1"/>
                      <w:highlight w:val="none"/>
                      <w:shd w:val="clear" w:color="auto" w:fill="auto"/>
                      <w:lang w:val="en-US" w:eastAsia="zh-CN"/>
                      <w14:textFill>
                        <w14:solidFill>
                          <w14:schemeClr w14:val="tx1"/>
                        </w14:solidFill>
                      </w14:textFill>
                    </w:rPr>
                  </w:pPr>
                  <w:r>
                    <w:rPr>
                      <w:rFonts w:hint="default" w:ascii="Times New Roman" w:hAnsi="Times New Roman" w:eastAsia="宋体" w:cs="Times New Roman"/>
                      <w:smallCaps w:val="0"/>
                      <w:color w:val="000000" w:themeColor="text1"/>
                      <w:highlight w:val="none"/>
                      <w:shd w:val="clear" w:color="auto" w:fill="auto"/>
                      <w:lang w:val="en-US" w:eastAsia="zh-CN"/>
                      <w14:textFill>
                        <w14:solidFill>
                          <w14:schemeClr w14:val="tx1"/>
                        </w14:solidFill>
                      </w14:textFill>
                    </w:rPr>
                    <w:t>似制品制造 302</w:t>
                  </w:r>
                </w:p>
              </w:tc>
              <w:tc>
                <w:tcPr>
                  <w:tcW w:w="2076" w:type="dxa"/>
                  <w:tcBorders>
                    <w:tl2br w:val="nil"/>
                    <w:tr2bl w:val="nil"/>
                  </w:tcBorders>
                  <w:vAlign w:val="center"/>
                </w:tcPr>
                <w:p w14:paraId="0EA34FEA">
                  <w:pPr>
                    <w:pStyle w:val="136"/>
                    <w:bidi w:val="0"/>
                    <w:rPr>
                      <w:rFonts w:hint="default" w:ascii="Times New Roman" w:hAnsi="Times New Roman" w:eastAsia="宋体" w:cs="Times New Roman"/>
                      <w:smallCaps w:val="0"/>
                      <w:color w:val="000000" w:themeColor="text1"/>
                      <w:highlight w:val="none"/>
                      <w:shd w:val="clear" w:color="auto" w:fill="auto"/>
                      <w:lang w:val="en-US" w:eastAsia="zh-CN"/>
                      <w14:textFill>
                        <w14:solidFill>
                          <w14:schemeClr w14:val="tx1"/>
                        </w14:solidFill>
                      </w14:textFill>
                    </w:rPr>
                  </w:pPr>
                  <w:r>
                    <w:rPr>
                      <w:rFonts w:hint="eastAsia" w:ascii="Times New Roman" w:hAnsi="Times New Roman" w:cs="Times New Roman"/>
                      <w:smallCaps w:val="0"/>
                      <w:color w:val="000000" w:themeColor="text1"/>
                      <w:highlight w:val="none"/>
                      <w:shd w:val="clear" w:color="auto" w:fill="auto"/>
                      <w:lang w:val="en-US" w:eastAsia="zh-CN"/>
                      <w14:textFill>
                        <w14:solidFill>
                          <w14:schemeClr w14:val="tx1"/>
                        </w14:solidFill>
                      </w14:textFill>
                    </w:rPr>
                    <w:t>/</w:t>
                  </w:r>
                </w:p>
              </w:tc>
              <w:tc>
                <w:tcPr>
                  <w:tcW w:w="2683" w:type="dxa"/>
                  <w:tcBorders>
                    <w:tl2br w:val="nil"/>
                    <w:tr2bl w:val="nil"/>
                  </w:tcBorders>
                  <w:shd w:val="clear" w:color="auto" w:fill="BEBEBE" w:themeFill="background1" w:themeFillShade="BF"/>
                  <w:vAlign w:val="center"/>
                </w:tcPr>
                <w:p w14:paraId="13455F57">
                  <w:pPr>
                    <w:pStyle w:val="136"/>
                    <w:bidi w:val="0"/>
                    <w:rPr>
                      <w:rFonts w:hint="default" w:ascii="Times New Roman" w:hAnsi="Times New Roman" w:eastAsia="宋体" w:cs="Times New Roman"/>
                      <w:smallCaps w:val="0"/>
                      <w:color w:val="000000" w:themeColor="text1"/>
                      <w:highlight w:val="none"/>
                      <w:shd w:val="clear" w:color="auto" w:fill="auto"/>
                      <w:lang w:val="en-US" w:eastAsia="zh-CN"/>
                      <w14:textFill>
                        <w14:solidFill>
                          <w14:schemeClr w14:val="tx1"/>
                        </w14:solidFill>
                      </w14:textFill>
                    </w:rPr>
                  </w:pPr>
                  <w:r>
                    <w:rPr>
                      <w:rFonts w:hint="default" w:ascii="Times New Roman" w:hAnsi="Times New Roman" w:eastAsia="宋体" w:cs="Times New Roman"/>
                      <w:smallCaps w:val="0"/>
                      <w:color w:val="000000" w:themeColor="text1"/>
                      <w:highlight w:val="none"/>
                      <w:shd w:val="clear" w:color="auto" w:fill="auto"/>
                      <w:lang w:val="en-US" w:eastAsia="zh-CN"/>
                      <w14:textFill>
                        <w14:solidFill>
                          <w14:schemeClr w14:val="tx1"/>
                        </w14:solidFill>
                      </w14:textFill>
                    </w:rPr>
                    <w:t>商品混凝土；砼结构构件制造；水泥制品制造</w:t>
                  </w:r>
                </w:p>
              </w:tc>
              <w:tc>
                <w:tcPr>
                  <w:tcW w:w="881" w:type="dxa"/>
                  <w:tcBorders>
                    <w:tl2br w:val="nil"/>
                    <w:tr2bl w:val="nil"/>
                  </w:tcBorders>
                  <w:vAlign w:val="center"/>
                </w:tcPr>
                <w:p w14:paraId="1E33E316">
                  <w:pPr>
                    <w:pStyle w:val="136"/>
                    <w:bidi w:val="0"/>
                    <w:rPr>
                      <w:rFonts w:hint="default" w:ascii="Times New Roman" w:hAnsi="Times New Roman" w:eastAsia="宋体" w:cs="Times New Roman"/>
                      <w:smallCaps w:val="0"/>
                      <w:color w:val="000000" w:themeColor="text1"/>
                      <w:highlight w:val="none"/>
                      <w:shd w:val="clear" w:color="auto" w:fill="auto"/>
                      <w:lang w:val="en-US" w:eastAsia="zh-CN"/>
                      <w14:textFill>
                        <w14:solidFill>
                          <w14:schemeClr w14:val="tx1"/>
                        </w14:solidFill>
                      </w14:textFill>
                    </w:rPr>
                  </w:pPr>
                  <w:r>
                    <w:rPr>
                      <w:rFonts w:hint="default" w:ascii="Times New Roman" w:hAnsi="Times New Roman" w:eastAsia="宋体" w:cs="Times New Roman"/>
                      <w:smallCaps w:val="0"/>
                      <w:color w:val="000000" w:themeColor="text1"/>
                      <w:highlight w:val="none"/>
                      <w:shd w:val="clear" w:color="auto" w:fill="auto"/>
                      <w:lang w:val="en-US" w:eastAsia="zh-CN"/>
                      <w14:textFill>
                        <w14:solidFill>
                          <w14:schemeClr w14:val="tx1"/>
                        </w14:solidFill>
                      </w14:textFill>
                    </w:rPr>
                    <w:t>/</w:t>
                  </w:r>
                </w:p>
              </w:tc>
            </w:tr>
          </w:tbl>
          <w:p w14:paraId="2586AC85">
            <w:pPr>
              <w:pStyle w:val="3"/>
              <w:bidi w:val="0"/>
              <w:ind w:left="0" w:leftChars="0" w:firstLine="0" w:firstLineChars="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项目概况</w:t>
            </w:r>
          </w:p>
          <w:p w14:paraId="61060B5D">
            <w:pPr>
              <w:pStyle w:val="44"/>
              <w:ind w:firstLine="480"/>
              <w:rPr>
                <w:rFonts w:hint="eastAsia" w:eastAsia="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项目名称：</w:t>
            </w:r>
            <w:r>
              <w:rPr>
                <w:rFonts w:hint="eastAsia"/>
                <w:color w:val="000000" w:themeColor="text1"/>
                <w:highlight w:val="none"/>
                <w:lang w:eastAsia="zh-CN"/>
                <w14:textFill>
                  <w14:solidFill>
                    <w14:schemeClr w14:val="tx1"/>
                  </w14:solidFill>
                </w14:textFill>
              </w:rPr>
              <w:t>瑞恒建材年产新型建筑材料35万立方米项目</w:t>
            </w:r>
          </w:p>
          <w:p w14:paraId="4CC1434F">
            <w:pPr>
              <w:pStyle w:val="44"/>
              <w:ind w:firstLine="480"/>
              <w:rPr>
                <w:rFonts w:hint="eastAsia"/>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建设单位：</w:t>
            </w:r>
            <w:r>
              <w:rPr>
                <w:rFonts w:hint="eastAsia"/>
                <w:color w:val="000000" w:themeColor="text1"/>
                <w:highlight w:val="none"/>
                <w:lang w:eastAsia="zh-CN"/>
                <w14:textFill>
                  <w14:solidFill>
                    <w14:schemeClr w14:val="tx1"/>
                  </w14:solidFill>
                </w14:textFill>
              </w:rPr>
              <w:t>福州瑞恒新型建材科技有限公司</w:t>
            </w:r>
          </w:p>
          <w:p w14:paraId="4A7D6093">
            <w:pPr>
              <w:pStyle w:val="44"/>
              <w:ind w:firstLine="480"/>
              <w:rPr>
                <w:rFonts w:hint="eastAsia" w:eastAsia="宋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建设地点：</w:t>
            </w:r>
            <w:r>
              <w:rPr>
                <w:rFonts w:hint="eastAsia"/>
                <w:color w:val="000000" w:themeColor="text1"/>
                <w:highlight w:val="none"/>
                <w:lang w:eastAsia="zh-CN"/>
                <w14:textFill>
                  <w14:solidFill>
                    <w14:schemeClr w14:val="tx1"/>
                  </w14:solidFill>
                </w14:textFill>
              </w:rPr>
              <w:t>福建省福州市闽清县池园镇丽山村丽山498号</w:t>
            </w:r>
          </w:p>
          <w:p w14:paraId="4FD53A0D">
            <w:pPr>
              <w:pStyle w:val="44"/>
              <w:ind w:firstLine="480"/>
              <w:rPr>
                <w:rFonts w:hint="eastAsia" w:eastAsia="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建设性质：</w:t>
            </w:r>
            <w:r>
              <w:rPr>
                <w:rFonts w:hint="eastAsia"/>
                <w:color w:val="000000" w:themeColor="text1"/>
                <w:highlight w:val="none"/>
                <w:lang w:val="en-US" w:eastAsia="zh-CN"/>
                <w14:textFill>
                  <w14:solidFill>
                    <w14:schemeClr w14:val="tx1"/>
                  </w14:solidFill>
                </w14:textFill>
              </w:rPr>
              <w:t>扩建</w:t>
            </w:r>
          </w:p>
          <w:p w14:paraId="427FDDB0">
            <w:pPr>
              <w:pStyle w:val="44"/>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项目投资：</w:t>
            </w:r>
            <w:r>
              <w:rPr>
                <w:rFonts w:hint="eastAsia"/>
                <w:color w:val="000000" w:themeColor="text1"/>
                <w:highlight w:val="none"/>
                <w:lang w:val="en-US" w:eastAsia="zh-CN"/>
                <w14:textFill>
                  <w14:solidFill>
                    <w14:schemeClr w14:val="tx1"/>
                  </w14:solidFill>
                </w14:textFill>
              </w:rPr>
              <w:t>500</w:t>
            </w:r>
            <w:r>
              <w:rPr>
                <w:color w:val="000000" w:themeColor="text1"/>
                <w:highlight w:val="none"/>
                <w14:textFill>
                  <w14:solidFill>
                    <w14:schemeClr w14:val="tx1"/>
                  </w14:solidFill>
                </w14:textFill>
              </w:rPr>
              <w:t>万元；</w:t>
            </w:r>
          </w:p>
          <w:p w14:paraId="4635CA85">
            <w:pPr>
              <w:pStyle w:val="44"/>
              <w:ind w:firstLine="480"/>
              <w:rPr>
                <w:rFonts w:hint="eastAsia" w:eastAsia="宋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职工人数：</w:t>
            </w:r>
            <w:r>
              <w:rPr>
                <w:rFonts w:hint="eastAsia"/>
                <w:color w:val="000000" w:themeColor="text1"/>
                <w:highlight w:val="none"/>
                <w:lang w:val="en-US" w:eastAsia="zh-CN"/>
                <w14:textFill>
                  <w14:solidFill>
                    <w14:schemeClr w14:val="tx1"/>
                  </w14:solidFill>
                </w14:textFill>
              </w:rPr>
              <w:t>本次扩建不新增</w:t>
            </w:r>
            <w:r>
              <w:rPr>
                <w:rFonts w:hint="eastAsia"/>
                <w:color w:val="000000" w:themeColor="text1"/>
                <w:highlight w:val="none"/>
                <w:lang w:eastAsia="zh-CN"/>
                <w14:textFill>
                  <w14:solidFill>
                    <w14:schemeClr w14:val="tx1"/>
                  </w14:solidFill>
                </w14:textFill>
              </w:rPr>
              <w:t>员工</w:t>
            </w:r>
            <w:r>
              <w:rPr>
                <w:rFonts w:hint="eastAsia"/>
                <w:color w:val="000000" w:themeColor="text1"/>
                <w:highlight w:val="none"/>
                <w:lang w:val="en-US" w:eastAsia="zh-CN"/>
                <w14:textFill>
                  <w14:solidFill>
                    <w14:schemeClr w14:val="tx1"/>
                  </w14:solidFill>
                </w14:textFill>
              </w:rPr>
              <w:t>，现有全厂员工25人</w:t>
            </w:r>
            <w:r>
              <w:rPr>
                <w:rFonts w:hint="eastAsia"/>
                <w:color w:val="000000"/>
                <w:highlight w:val="none"/>
              </w:rPr>
              <w:t>（均</w:t>
            </w:r>
            <w:r>
              <w:rPr>
                <w:rFonts w:hint="eastAsia"/>
                <w:color w:val="000000"/>
                <w:highlight w:val="none"/>
                <w:lang w:val="en-US" w:eastAsia="zh-CN"/>
              </w:rPr>
              <w:t>不</w:t>
            </w:r>
            <w:r>
              <w:rPr>
                <w:rFonts w:hint="eastAsia"/>
                <w:color w:val="000000"/>
                <w:highlight w:val="none"/>
              </w:rPr>
              <w:t>在厂食宿）</w:t>
            </w:r>
            <w:r>
              <w:rPr>
                <w:rFonts w:hint="eastAsia"/>
                <w:color w:val="000000" w:themeColor="text1"/>
                <w:highlight w:val="none"/>
                <w:lang w:val="en-US" w:eastAsia="zh-CN"/>
                <w14:textFill>
                  <w14:solidFill>
                    <w14:schemeClr w14:val="tx1"/>
                  </w14:solidFill>
                </w14:textFill>
              </w:rPr>
              <w:t>，</w:t>
            </w:r>
            <w:r>
              <w:rPr>
                <w:rFonts w:hint="eastAsia"/>
                <w:color w:val="auto"/>
                <w:highlight w:val="none"/>
                <w:u w:val="none" w:color="auto"/>
                <w:lang w:val="en-US" w:eastAsia="zh-CN"/>
              </w:rPr>
              <w:t>扩建后全厂员工25人</w:t>
            </w:r>
            <w:r>
              <w:rPr>
                <w:rFonts w:hint="eastAsia"/>
                <w:color w:val="000000"/>
                <w:highlight w:val="none"/>
              </w:rPr>
              <w:t>（均</w:t>
            </w:r>
            <w:r>
              <w:rPr>
                <w:rFonts w:hint="eastAsia"/>
                <w:color w:val="000000"/>
                <w:highlight w:val="none"/>
                <w:lang w:val="en-US" w:eastAsia="zh-CN"/>
              </w:rPr>
              <w:t>不</w:t>
            </w:r>
            <w:r>
              <w:rPr>
                <w:rFonts w:hint="eastAsia"/>
                <w:color w:val="000000"/>
                <w:highlight w:val="none"/>
              </w:rPr>
              <w:t>在厂食宿）</w:t>
            </w:r>
            <w:r>
              <w:rPr>
                <w:rFonts w:hint="eastAsia"/>
                <w:color w:val="000000"/>
                <w:highlight w:val="none"/>
                <w:lang w:eastAsia="zh-CN"/>
              </w:rPr>
              <w:t>；</w:t>
            </w:r>
          </w:p>
          <w:p w14:paraId="619E9E31">
            <w:pPr>
              <w:pStyle w:val="44"/>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工作制度：年生产</w:t>
            </w:r>
            <w:r>
              <w:rPr>
                <w:rFonts w:hint="eastAsia"/>
                <w:color w:val="000000" w:themeColor="text1"/>
                <w:highlight w:val="none"/>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0</w:t>
            </w:r>
            <w:r>
              <w:rPr>
                <w:rFonts w:hint="eastAsia"/>
                <w:color w:val="000000" w:themeColor="text1"/>
                <w:highlight w:val="none"/>
                <w14:textFill>
                  <w14:solidFill>
                    <w14:schemeClr w14:val="tx1"/>
                  </w14:solidFill>
                </w14:textFill>
              </w:rPr>
              <w:t>0</w:t>
            </w:r>
            <w:r>
              <w:rPr>
                <w:color w:val="000000" w:themeColor="text1"/>
                <w:highlight w:val="none"/>
                <w14:textFill>
                  <w14:solidFill>
                    <w14:schemeClr w14:val="tx1"/>
                  </w14:solidFill>
                </w14:textFill>
              </w:rPr>
              <w:t>天，</w:t>
            </w:r>
            <w:r>
              <w:rPr>
                <w:rFonts w:hint="eastAsia"/>
                <w:color w:val="000000" w:themeColor="text1"/>
                <w:highlight w:val="none"/>
                <w:lang w:val="en-US" w:eastAsia="zh-CN"/>
                <w14:textFill>
                  <w14:solidFill>
                    <w14:schemeClr w14:val="tx1"/>
                  </w14:solidFill>
                </w14:textFill>
              </w:rPr>
              <w:t>双班制，每班8h</w:t>
            </w:r>
            <w:r>
              <w:rPr>
                <w:color w:val="000000" w:themeColor="text1"/>
                <w:highlight w:val="none"/>
                <w14:textFill>
                  <w14:solidFill>
                    <w14:schemeClr w14:val="tx1"/>
                  </w14:solidFill>
                </w14:textFill>
              </w:rPr>
              <w:t>；</w:t>
            </w:r>
          </w:p>
          <w:p w14:paraId="576EADD4">
            <w:pPr>
              <w:pStyle w:val="44"/>
              <w:ind w:left="0" w:leftChars="0" w:firstLine="480" w:firstLineChars="200"/>
              <w:rPr>
                <w:color w:val="000000" w:themeColor="text1"/>
                <w:highlight w:val="none"/>
                <w14:textFill>
                  <w14:solidFill>
                    <w14:schemeClr w14:val="tx1"/>
                  </w14:solidFill>
                </w14:textFill>
              </w:rPr>
            </w:pPr>
            <w:r>
              <w:rPr>
                <w:rFonts w:ascii="Times New Roman" w:hAnsi="Times New Roman" w:eastAsia="宋体" w:cs="宋体"/>
                <w:color w:val="000000" w:themeColor="text1"/>
                <w:kern w:val="0"/>
                <w:sz w:val="24"/>
                <w:szCs w:val="20"/>
                <w:highlight w:val="none"/>
                <w:lang w:val="zh-CN" w:eastAsia="zh-CN" w:bidi="ar-SA"/>
                <w14:textFill>
                  <w14:solidFill>
                    <w14:schemeClr w14:val="tx1"/>
                  </w14:solidFill>
                </w14:textFill>
              </w:rPr>
              <w:t>建设</w:t>
            </w:r>
            <w:r>
              <w:rPr>
                <w:rFonts w:hint="eastAsia" w:ascii="Times New Roman" w:hAnsi="Times New Roman" w:eastAsia="宋体" w:cs="宋体"/>
                <w:color w:val="000000" w:themeColor="text1"/>
                <w:kern w:val="0"/>
                <w:sz w:val="24"/>
                <w:szCs w:val="20"/>
                <w:highlight w:val="none"/>
                <w:lang w:val="zh-CN" w:eastAsia="zh-CN" w:bidi="ar-SA"/>
                <w14:textFill>
                  <w14:solidFill>
                    <w14:schemeClr w14:val="tx1"/>
                  </w14:solidFill>
                </w14:textFill>
              </w:rPr>
              <w:t>内容及</w:t>
            </w:r>
            <w:r>
              <w:rPr>
                <w:rFonts w:ascii="Times New Roman" w:hAnsi="Times New Roman" w:eastAsia="宋体" w:cs="宋体"/>
                <w:color w:val="000000" w:themeColor="text1"/>
                <w:kern w:val="0"/>
                <w:sz w:val="24"/>
                <w:szCs w:val="20"/>
                <w:highlight w:val="none"/>
                <w:lang w:val="zh-CN" w:eastAsia="zh-CN" w:bidi="ar-SA"/>
                <w14:textFill>
                  <w14:solidFill>
                    <w14:schemeClr w14:val="tx1"/>
                  </w14:solidFill>
                </w14:textFill>
              </w:rPr>
              <w:t>规模：</w:t>
            </w:r>
            <w:r>
              <w:rPr>
                <w:rFonts w:hint="eastAsia" w:ascii="Times New Roman" w:hAnsi="Times New Roman" w:eastAsia="宋体" w:cs="宋体"/>
                <w:color w:val="000000" w:themeColor="text1"/>
                <w:kern w:val="0"/>
                <w:sz w:val="24"/>
                <w:szCs w:val="20"/>
                <w:highlight w:val="none"/>
                <w:lang w:val="zh-CN" w:eastAsia="zh-CN" w:bidi="ar-SA"/>
                <w14:textFill>
                  <w14:solidFill>
                    <w14:schemeClr w14:val="tx1"/>
                  </w14:solidFill>
                </w14:textFill>
              </w:rPr>
              <w:t>现有工程:年产新型建筑材料30万立方米，本次扩建新增:年产新型建筑材料5万立方米，扩建后全厂合计:年产新型建筑材料35万立方米</w:t>
            </w:r>
            <w:r>
              <w:rPr>
                <w:rFonts w:hint="eastAsia" w:cs="宋体"/>
                <w:color w:val="000000" w:themeColor="text1"/>
                <w:kern w:val="0"/>
                <w:sz w:val="24"/>
                <w:szCs w:val="20"/>
                <w:highlight w:val="none"/>
                <w:lang w:val="zh-CN" w:eastAsia="zh-CN" w:bidi="ar-SA"/>
                <w14:textFill>
                  <w14:solidFill>
                    <w14:schemeClr w14:val="tx1"/>
                  </w14:solidFill>
                </w14:textFill>
              </w:rPr>
              <w:t>。</w:t>
            </w:r>
          </w:p>
          <w:p w14:paraId="53A266F0">
            <w:pPr>
              <w:pStyle w:val="4"/>
              <w:bidi w:val="0"/>
              <w:ind w:left="720" w:leftChars="0" w:hanging="72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产品方案</w:t>
            </w:r>
          </w:p>
          <w:p w14:paraId="3D038041">
            <w:pPr>
              <w:spacing w:line="360" w:lineRule="auto"/>
              <w:ind w:left="480"/>
              <w:rPr>
                <w:rFonts w:ascii="宋体" w:cs="宋体"/>
                <w:color w:val="000000" w:themeColor="text1"/>
                <w:kern w:val="0"/>
                <w:highlight w:val="none"/>
                <w14:textFill>
                  <w14:solidFill>
                    <w14:schemeClr w14:val="tx1"/>
                  </w14:solidFill>
                </w14:textFill>
              </w:rPr>
            </w:pPr>
            <w:r>
              <w:rPr>
                <w:rFonts w:hint="eastAsia" w:ascii="宋体" w:cs="宋体"/>
                <w:color w:val="000000" w:themeColor="text1"/>
                <w:kern w:val="0"/>
                <w:sz w:val="24"/>
                <w:highlight w:val="none"/>
                <w:lang w:bidi="ar"/>
                <w14:textFill>
                  <w14:solidFill>
                    <w14:schemeClr w14:val="tx1"/>
                  </w14:solidFill>
                </w14:textFill>
              </w:rPr>
              <w:t>本项目产品方案见下表。</w:t>
            </w:r>
          </w:p>
          <w:p w14:paraId="56D0B6B0">
            <w:pPr>
              <w:pStyle w:val="42"/>
              <w:keepNext/>
              <w:keepLines/>
              <w:pageBreakBefore w:val="0"/>
              <w:widowControl w:val="0"/>
              <w:kinsoku/>
              <w:wordWrap/>
              <w:overflowPunct/>
              <w:topLinePunct w:val="0"/>
              <w:autoSpaceDE/>
              <w:autoSpaceDN/>
              <w:bidi w:val="0"/>
              <w:adjustRightInd/>
              <w:snapToGrid/>
              <w:spacing w:before="0" w:after="0"/>
              <w:ind w:left="630" w:leftChars="0" w:firstLineChars="0"/>
              <w:textAlignment w:val="auto"/>
              <w:rPr>
                <w:rFonts w:hint="eastAsia" w:ascii="Times New Roman" w:hAnsi="Times New Roman" w:eastAsia="宋体"/>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w:t>
            </w:r>
            <w:r>
              <w:rPr>
                <w:rFonts w:hint="eastAsia" w:ascii="Times New Roman" w:hAnsi="Times New Roman" w:eastAsia="宋体"/>
                <w:color w:val="000000" w:themeColor="text1"/>
                <w:highlight w:val="none"/>
                <w14:textFill>
                  <w14:solidFill>
                    <w14:schemeClr w14:val="tx1"/>
                  </w14:solidFill>
                </w14:textFill>
              </w:rPr>
              <w:t>产品方案</w:t>
            </w:r>
          </w:p>
          <w:tbl>
            <w:tblPr>
              <w:tblStyle w:val="32"/>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2"/>
              <w:gridCol w:w="4122"/>
              <w:gridCol w:w="3109"/>
            </w:tblGrid>
            <w:tr w14:paraId="71835C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817" w:type="pct"/>
                  <w:tcBorders>
                    <w:tl2br w:val="nil"/>
                    <w:tr2bl w:val="nil"/>
                  </w:tcBorders>
                  <w:shd w:val="clear" w:color="auto" w:fill="auto"/>
                  <w:vAlign w:val="center"/>
                </w:tcPr>
                <w:p w14:paraId="30C565F0">
                  <w:pPr>
                    <w:pStyle w:val="90"/>
                    <w:widowControl/>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序号</w:t>
                  </w:r>
                </w:p>
              </w:tc>
              <w:tc>
                <w:tcPr>
                  <w:tcW w:w="2384" w:type="pct"/>
                  <w:tcBorders>
                    <w:tl2br w:val="nil"/>
                    <w:tr2bl w:val="nil"/>
                  </w:tcBorders>
                  <w:shd w:val="clear" w:color="auto" w:fill="auto"/>
                  <w:vAlign w:val="center"/>
                </w:tcPr>
                <w:p w14:paraId="45EE37DC">
                  <w:pPr>
                    <w:pStyle w:val="90"/>
                    <w:widowControl/>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产品名称</w:t>
                  </w:r>
                </w:p>
              </w:tc>
              <w:tc>
                <w:tcPr>
                  <w:tcW w:w="1798" w:type="pct"/>
                  <w:tcBorders>
                    <w:tl2br w:val="nil"/>
                    <w:tr2bl w:val="nil"/>
                  </w:tcBorders>
                  <w:shd w:val="clear" w:color="auto" w:fill="auto"/>
                  <w:vAlign w:val="center"/>
                </w:tcPr>
                <w:p w14:paraId="51034E91">
                  <w:pPr>
                    <w:pStyle w:val="90"/>
                    <w:widowControl/>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产量</w:t>
                  </w:r>
                  <w:r>
                    <w:rPr>
                      <w:rFonts w:hint="eastAsia" w:ascii="Times New Roman" w:hAnsi="Times New Roman" w:eastAsia="宋体"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立方米</w:t>
                  </w: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r>
            <w:tr w14:paraId="2C45B6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817" w:type="pct"/>
                  <w:tcBorders>
                    <w:tl2br w:val="nil"/>
                    <w:tr2bl w:val="nil"/>
                  </w:tcBorders>
                  <w:shd w:val="clear" w:color="auto" w:fill="auto"/>
                  <w:vAlign w:val="center"/>
                </w:tcPr>
                <w:p w14:paraId="79FB0FBE">
                  <w:pPr>
                    <w:pStyle w:val="90"/>
                    <w:widowControl/>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1</w:t>
                  </w:r>
                </w:p>
              </w:tc>
              <w:tc>
                <w:tcPr>
                  <w:tcW w:w="2384" w:type="pct"/>
                  <w:tcBorders>
                    <w:tl2br w:val="nil"/>
                    <w:tr2bl w:val="nil"/>
                  </w:tcBorders>
                  <w:shd w:val="clear" w:color="auto" w:fill="auto"/>
                  <w:vAlign w:val="center"/>
                </w:tcPr>
                <w:p w14:paraId="3F7D1E2A">
                  <w:pPr>
                    <w:pStyle w:val="90"/>
                    <w:widowControl/>
                    <w:jc w:val="center"/>
                    <w:rPr>
                      <w:rFonts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新型建筑材料</w:t>
                  </w:r>
                </w:p>
              </w:tc>
              <w:tc>
                <w:tcPr>
                  <w:tcW w:w="1798" w:type="pct"/>
                  <w:tcBorders>
                    <w:tl2br w:val="nil"/>
                    <w:tr2bl w:val="nil"/>
                  </w:tcBorders>
                  <w:shd w:val="clear" w:color="auto" w:fill="auto"/>
                  <w:vAlign w:val="center"/>
                </w:tcPr>
                <w:p w14:paraId="59AC4B6F">
                  <w:pPr>
                    <w:pStyle w:val="90"/>
                    <w:widowControl/>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0000</w:t>
                  </w:r>
                </w:p>
              </w:tc>
            </w:tr>
          </w:tbl>
          <w:p w14:paraId="263660CA">
            <w:pPr>
              <w:pStyle w:val="3"/>
              <w:bidi w:val="0"/>
              <w:ind w:left="0" w:leftChars="0" w:firstLine="0" w:firstLineChars="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项目建设内容</w:t>
            </w:r>
            <w:r>
              <w:rPr>
                <w:rFonts w:hint="eastAsia"/>
                <w:color w:val="000000" w:themeColor="text1"/>
                <w:highlight w:val="none"/>
                <w14:textFill>
                  <w14:solidFill>
                    <w14:schemeClr w14:val="tx1"/>
                  </w14:solidFill>
                </w14:textFill>
              </w:rPr>
              <w:drawing>
                <wp:inline distT="0" distB="0" distL="114300" distR="114300">
                  <wp:extent cx="635" cy="0"/>
                  <wp:effectExtent l="0" t="0" r="0" b="0"/>
                  <wp:docPr id="16" name="图片 15" descr="C:/Users/Dell/AppData/Local/Temp/picturecompress_20220307141540/output_4.jpgoutpu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C:/Users/Dell/AppData/Local/Temp/picturecompress_20220307141540/output_4.jpgoutput_4"/>
                          <pic:cNvPicPr>
                            <a:picLocks noChangeAspect="1"/>
                          </pic:cNvPicPr>
                        </pic:nvPicPr>
                        <pic:blipFill>
                          <a:blip r:embed="rId9"/>
                          <a:stretch>
                            <a:fillRect/>
                          </a:stretch>
                        </pic:blipFill>
                        <pic:spPr>
                          <a:xfrm>
                            <a:off x="0" y="0"/>
                            <a:ext cx="635" cy="0"/>
                          </a:xfrm>
                          <a:prstGeom prst="rect">
                            <a:avLst/>
                          </a:prstGeom>
                          <a:noFill/>
                          <a:ln>
                            <a:noFill/>
                          </a:ln>
                        </pic:spPr>
                      </pic:pic>
                    </a:graphicData>
                  </a:graphic>
                </wp:inline>
              </w:drawing>
            </w:r>
          </w:p>
          <w:p w14:paraId="1A5EEF44">
            <w:pPr>
              <w:pStyle w:val="4"/>
              <w:bidi w:val="0"/>
              <w:ind w:left="720" w:leftChars="0" w:hanging="720" w:firstLineChars="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主要建设内容</w:t>
            </w:r>
          </w:p>
          <w:p w14:paraId="32128DD3">
            <w:pPr>
              <w:pStyle w:val="44"/>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w:t>
            </w:r>
            <w:r>
              <w:rPr>
                <w:rFonts w:hint="eastAsia"/>
                <w:color w:val="000000" w:themeColor="text1"/>
                <w:highlight w:val="none"/>
                <w14:textFill>
                  <w14:solidFill>
                    <w14:schemeClr w14:val="tx1"/>
                  </w14:solidFill>
                </w14:textFill>
              </w:rPr>
              <w:t>工程</w:t>
            </w:r>
            <w:r>
              <w:rPr>
                <w:color w:val="000000" w:themeColor="text1"/>
                <w:highlight w:val="none"/>
                <w14:textFill>
                  <w14:solidFill>
                    <w14:schemeClr w14:val="tx1"/>
                  </w14:solidFill>
                </w14:textFill>
              </w:rPr>
              <w:t>组成见</w:t>
            </w:r>
            <w:r>
              <w:rPr>
                <w:rFonts w:hint="eastAsia"/>
                <w:color w:val="000000" w:themeColor="text1"/>
                <w:highlight w:val="none"/>
                <w14:textFill>
                  <w14:solidFill>
                    <w14:schemeClr w14:val="tx1"/>
                  </w14:solidFill>
                </w14:textFill>
              </w:rPr>
              <w:t>下表</w:t>
            </w:r>
            <w:r>
              <w:rPr>
                <w:rFonts w:hint="eastAsia"/>
                <w:color w:val="000000" w:themeColor="text1"/>
                <w:highlight w:val="none"/>
                <w:lang w:eastAsia="zh-CN"/>
                <w14:textFill>
                  <w14:solidFill>
                    <w14:schemeClr w14:val="tx1"/>
                  </w14:solidFill>
                </w14:textFill>
              </w:rPr>
              <w:t>。</w:t>
            </w:r>
          </w:p>
          <w:p w14:paraId="3CD3DC5D">
            <w:pPr>
              <w:pStyle w:val="42"/>
              <w:keepNext/>
              <w:keepLines/>
              <w:pageBreakBefore w:val="0"/>
              <w:widowControl w:val="0"/>
              <w:kinsoku/>
              <w:wordWrap/>
              <w:overflowPunct/>
              <w:topLinePunct w:val="0"/>
              <w:autoSpaceDE/>
              <w:autoSpaceDN/>
              <w:bidi w:val="0"/>
              <w:adjustRightInd/>
              <w:snapToGrid/>
              <w:spacing w:before="0" w:after="0" w:line="240" w:lineRule="auto"/>
              <w:ind w:left="630" w:leftChars="0" w:firstLineChars="0"/>
              <w:textAlignment w:val="auto"/>
              <w:rPr>
                <w:color w:val="000000" w:themeColor="text1"/>
                <w:highlight w:val="none"/>
                <w14:textFill>
                  <w14:solidFill>
                    <w14:schemeClr w14:val="tx1"/>
                  </w14:solidFill>
                </w14:textFill>
              </w:rPr>
            </w:pPr>
            <w:r>
              <w:rPr>
                <w:rFonts w:hint="eastAsia" w:ascii="Times New Roman" w:hAnsi="Times New Roman" w:eastAsia="宋体" w:cs="Times New Roman"/>
                <w:color w:val="auto"/>
                <w:highlight w:val="none"/>
                <w:u w:val="none" w:color="auto"/>
                <w:lang w:val="en-US" w:eastAsia="zh-CN"/>
              </w:rPr>
              <w:t>本次扩建主要建设内容</w:t>
            </w:r>
            <w:r>
              <w:rPr>
                <w:rFonts w:hint="default" w:ascii="Times New Roman" w:hAnsi="Times New Roman" w:eastAsia="宋体" w:cs="宋体"/>
                <w:b/>
                <w:bCs/>
                <w:color w:val="000000" w:themeColor="text1"/>
                <w:kern w:val="0"/>
                <w:sz w:val="24"/>
                <w:szCs w:val="21"/>
                <w:highlight w:val="none"/>
                <w:lang w:val="en-US" w:eastAsia="zh-CN" w:bidi="ar-SA"/>
                <w14:textFill>
                  <w14:solidFill>
                    <w14:schemeClr w14:val="tx1"/>
                  </w14:solidFill>
                </w14:textFill>
              </w:rPr>
              <w:t>一览表</w:t>
            </w:r>
          </w:p>
          <w:tbl>
            <w:tblPr>
              <w:tblStyle w:val="3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747"/>
              <w:gridCol w:w="968"/>
              <w:gridCol w:w="4993"/>
              <w:gridCol w:w="1102"/>
            </w:tblGrid>
            <w:tr w14:paraId="4E29C8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473" w:type="pct"/>
                  <w:gridSpan w:val="3"/>
                  <w:tcBorders>
                    <w:tl2br w:val="nil"/>
                    <w:tr2bl w:val="nil"/>
                  </w:tcBorders>
                  <w:noWrap w:val="0"/>
                  <w:vAlign w:val="center"/>
                </w:tcPr>
                <w:p w14:paraId="08DF9740">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b/>
                      <w:bCs/>
                      <w:color w:val="auto"/>
                      <w:highlight w:val="none"/>
                      <w:u w:val="none" w:color="auto"/>
                      <w:lang w:val="en-US" w:eastAsia="zh-CN"/>
                    </w:rPr>
                  </w:pPr>
                  <w:r>
                    <w:rPr>
                      <w:rFonts w:hint="eastAsia" w:ascii="Times New Roman" w:hAnsi="Times New Roman" w:eastAsia="宋体"/>
                      <w:b/>
                      <w:bCs/>
                      <w:color w:val="auto"/>
                      <w:highlight w:val="none"/>
                      <w:u w:val="none" w:color="auto"/>
                      <w:lang w:val="en-US" w:eastAsia="zh-CN"/>
                    </w:rPr>
                    <w:t>项目名称</w:t>
                  </w:r>
                </w:p>
              </w:tc>
              <w:tc>
                <w:tcPr>
                  <w:tcW w:w="2888" w:type="pct"/>
                  <w:tcBorders>
                    <w:tl2br w:val="nil"/>
                    <w:tr2bl w:val="nil"/>
                  </w:tcBorders>
                  <w:noWrap w:val="0"/>
                  <w:vAlign w:val="center"/>
                </w:tcPr>
                <w:p w14:paraId="63C01263">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b/>
                      <w:bCs/>
                      <w:color w:val="auto"/>
                      <w:highlight w:val="none"/>
                      <w:u w:val="none" w:color="auto"/>
                      <w:lang w:val="en-US" w:eastAsia="zh-CN"/>
                    </w:rPr>
                  </w:pPr>
                  <w:r>
                    <w:rPr>
                      <w:rFonts w:hint="eastAsia" w:ascii="Times New Roman" w:hAnsi="Times New Roman" w:eastAsia="宋体"/>
                      <w:b/>
                      <w:bCs/>
                      <w:color w:val="auto"/>
                      <w:highlight w:val="none"/>
                      <w:u w:val="none" w:color="auto"/>
                      <w:lang w:val="en-US" w:eastAsia="zh-CN"/>
                    </w:rPr>
                    <w:t>本次扩建内容</w:t>
                  </w:r>
                </w:p>
              </w:tc>
              <w:tc>
                <w:tcPr>
                  <w:tcW w:w="637" w:type="pct"/>
                  <w:tcBorders>
                    <w:tl2br w:val="nil"/>
                    <w:tr2bl w:val="nil"/>
                  </w:tcBorders>
                  <w:noWrap w:val="0"/>
                  <w:vAlign w:val="center"/>
                </w:tcPr>
                <w:p w14:paraId="5F1E1D84">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b/>
                      <w:bCs/>
                      <w:color w:val="auto"/>
                      <w:highlight w:val="none"/>
                      <w:u w:val="none" w:color="auto"/>
                      <w:lang w:val="en-US" w:eastAsia="zh-CN"/>
                    </w:rPr>
                  </w:pPr>
                  <w:r>
                    <w:rPr>
                      <w:rFonts w:hint="eastAsia" w:ascii="Times New Roman" w:hAnsi="Times New Roman" w:eastAsia="宋体"/>
                      <w:b/>
                      <w:bCs/>
                      <w:color w:val="auto"/>
                      <w:highlight w:val="none"/>
                      <w:u w:val="none" w:color="auto"/>
                      <w:lang w:val="en-US" w:eastAsia="zh-CN"/>
                    </w:rPr>
                    <w:t>备注</w:t>
                  </w:r>
                </w:p>
              </w:tc>
            </w:tr>
            <w:tr w14:paraId="604260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1" w:type="pct"/>
                  <w:vMerge w:val="restart"/>
                  <w:tcBorders>
                    <w:tl2br w:val="nil"/>
                    <w:tr2bl w:val="nil"/>
                  </w:tcBorders>
                  <w:noWrap w:val="0"/>
                  <w:vAlign w:val="center"/>
                </w:tcPr>
                <w:p w14:paraId="456282E5">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auto"/>
                      <w:highlight w:val="none"/>
                      <w:u w:val="none" w:color="auto"/>
                    </w:rPr>
                  </w:pPr>
                  <w:r>
                    <w:rPr>
                      <w:rFonts w:ascii="Times New Roman" w:hAnsi="Times New Roman" w:eastAsia="宋体"/>
                      <w:color w:val="auto"/>
                      <w:highlight w:val="none"/>
                      <w:u w:val="none" w:color="auto"/>
                    </w:rPr>
                    <w:t>主体工程</w:t>
                  </w:r>
                </w:p>
              </w:tc>
              <w:tc>
                <w:tcPr>
                  <w:tcW w:w="992" w:type="pct"/>
                  <w:gridSpan w:val="2"/>
                  <w:tcBorders>
                    <w:tl2br w:val="nil"/>
                    <w:tr2bl w:val="nil"/>
                  </w:tcBorders>
                  <w:noWrap w:val="0"/>
                  <w:vAlign w:val="center"/>
                </w:tcPr>
                <w:p w14:paraId="6F67467B">
                  <w:pPr>
                    <w:pStyle w:val="1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highlight w:val="none"/>
                      <w:u w:val="none" w:color="auto"/>
                      <w:lang w:val="en-US" w:eastAsia="zh-CN"/>
                    </w:rPr>
                  </w:pPr>
                  <w:r>
                    <w:rPr>
                      <w:rFonts w:hint="eastAsia" w:ascii="Times New Roman" w:hAnsi="Times New Roman" w:eastAsia="宋体" w:cs="Times New Roman"/>
                      <w:color w:val="auto"/>
                      <w:highlight w:val="none"/>
                      <w:u w:val="none" w:color="auto"/>
                      <w:lang w:val="en-US" w:eastAsia="zh-CN"/>
                    </w:rPr>
                    <w:t>燃生物质锅炉区</w:t>
                  </w:r>
                </w:p>
              </w:tc>
              <w:tc>
                <w:tcPr>
                  <w:tcW w:w="2888" w:type="pct"/>
                  <w:tcBorders>
                    <w:tl2br w:val="nil"/>
                    <w:tr2bl w:val="nil"/>
                  </w:tcBorders>
                  <w:noWrap w:val="0"/>
                  <w:vAlign w:val="center"/>
                </w:tcPr>
                <w:p w14:paraId="57DBAA25">
                  <w:pPr>
                    <w:pStyle w:val="1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highlight w:val="none"/>
                      <w:u w:val="none" w:color="auto"/>
                      <w:vertAlign w:val="baseline"/>
                      <w:lang w:val="en-US" w:eastAsia="zh-CN"/>
                    </w:rPr>
                  </w:pPr>
                  <w:r>
                    <w:rPr>
                      <w:rFonts w:hint="eastAsia" w:ascii="Times New Roman" w:hAnsi="Times New Roman" w:eastAsia="宋体"/>
                      <w:color w:val="auto"/>
                      <w:highlight w:val="none"/>
                      <w:u w:val="none" w:color="auto"/>
                      <w:lang w:val="en-US" w:eastAsia="zh-CN"/>
                    </w:rPr>
                    <w:t>位于场地西侧，占地面积约150m</w:t>
                  </w:r>
                  <w:r>
                    <w:rPr>
                      <w:rFonts w:hint="eastAsia" w:ascii="Times New Roman" w:hAnsi="Times New Roman" w:eastAsia="宋体"/>
                      <w:color w:val="auto"/>
                      <w:highlight w:val="none"/>
                      <w:u w:val="none" w:color="auto"/>
                      <w:vertAlign w:val="superscript"/>
                      <w:lang w:val="en-US" w:eastAsia="zh-CN"/>
                    </w:rPr>
                    <w:t>2</w:t>
                  </w:r>
                  <w:r>
                    <w:rPr>
                      <w:rFonts w:hint="eastAsia" w:ascii="Times New Roman" w:hAnsi="Times New Roman" w:eastAsia="宋体"/>
                      <w:color w:val="auto"/>
                      <w:highlight w:val="none"/>
                      <w:u w:val="none" w:color="auto"/>
                      <w:vertAlign w:val="baseline"/>
                      <w:lang w:val="en-US" w:eastAsia="zh-CN"/>
                    </w:rPr>
                    <w:t>，用于放置燃生物质锅炉</w:t>
                  </w:r>
                </w:p>
              </w:tc>
              <w:tc>
                <w:tcPr>
                  <w:tcW w:w="637" w:type="pct"/>
                  <w:tcBorders>
                    <w:tl2br w:val="nil"/>
                    <w:tr2bl w:val="nil"/>
                  </w:tcBorders>
                  <w:noWrap w:val="0"/>
                  <w:vAlign w:val="center"/>
                </w:tcPr>
                <w:p w14:paraId="7013A349">
                  <w:pPr>
                    <w:pStyle w:val="1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highlight w:val="none"/>
                      <w:u w:val="none" w:color="auto"/>
                      <w:lang w:val="en-US" w:eastAsia="zh-CN"/>
                    </w:rPr>
                  </w:pPr>
                  <w:r>
                    <w:rPr>
                      <w:rFonts w:hint="eastAsia" w:ascii="Times New Roman" w:hAnsi="Times New Roman" w:eastAsia="宋体"/>
                      <w:color w:val="auto"/>
                      <w:highlight w:val="none"/>
                      <w:u w:val="none" w:color="auto"/>
                      <w:lang w:val="en-US" w:eastAsia="zh-CN"/>
                    </w:rPr>
                    <w:t>新建</w:t>
                  </w:r>
                </w:p>
              </w:tc>
            </w:tr>
            <w:tr w14:paraId="63401A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1" w:type="pct"/>
                  <w:vMerge w:val="continue"/>
                  <w:tcBorders>
                    <w:tl2br w:val="nil"/>
                    <w:tr2bl w:val="nil"/>
                  </w:tcBorders>
                  <w:noWrap w:val="0"/>
                  <w:vAlign w:val="center"/>
                </w:tcPr>
                <w:p w14:paraId="3BD48341">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auto"/>
                      <w:highlight w:val="none"/>
                      <w:u w:val="none" w:color="auto"/>
                    </w:rPr>
                  </w:pPr>
                </w:p>
              </w:tc>
              <w:tc>
                <w:tcPr>
                  <w:tcW w:w="992" w:type="pct"/>
                  <w:gridSpan w:val="2"/>
                  <w:tcBorders>
                    <w:tl2br w:val="nil"/>
                    <w:tr2bl w:val="nil"/>
                  </w:tcBorders>
                  <w:noWrap w:val="0"/>
                  <w:vAlign w:val="center"/>
                </w:tcPr>
                <w:p w14:paraId="43C407DB">
                  <w:pPr>
                    <w:pStyle w:val="1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highlight w:val="none"/>
                      <w:u w:val="none" w:color="auto"/>
                      <w:lang w:val="en-US" w:eastAsia="zh-CN"/>
                    </w:rPr>
                  </w:pPr>
                  <w:r>
                    <w:rPr>
                      <w:rFonts w:hint="eastAsia" w:ascii="Times New Roman" w:hAnsi="Times New Roman" w:eastAsia="宋体" w:cs="Times New Roman"/>
                      <w:color w:val="auto"/>
                      <w:highlight w:val="none"/>
                      <w:u w:val="none" w:color="auto"/>
                      <w:lang w:val="en-US" w:eastAsia="zh-CN"/>
                    </w:rPr>
                    <w:t>钢筋加工、网片焊接组装区</w:t>
                  </w:r>
                </w:p>
              </w:tc>
              <w:tc>
                <w:tcPr>
                  <w:tcW w:w="2888" w:type="pct"/>
                  <w:tcBorders>
                    <w:tl2br w:val="nil"/>
                    <w:tr2bl w:val="nil"/>
                  </w:tcBorders>
                  <w:noWrap w:val="0"/>
                  <w:vAlign w:val="center"/>
                </w:tcPr>
                <w:p w14:paraId="36B3B0C0">
                  <w:pPr>
                    <w:pStyle w:val="1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highlight w:val="none"/>
                      <w:u w:val="none" w:color="auto"/>
                      <w:vertAlign w:val="baseline"/>
                      <w:lang w:val="en-US" w:eastAsia="zh-CN"/>
                    </w:rPr>
                  </w:pPr>
                  <w:r>
                    <w:rPr>
                      <w:rFonts w:hint="eastAsia" w:ascii="Times New Roman" w:hAnsi="Times New Roman" w:eastAsia="宋体"/>
                      <w:color w:val="auto"/>
                      <w:highlight w:val="none"/>
                      <w:u w:val="none" w:color="auto"/>
                      <w:lang w:val="en-US" w:eastAsia="zh-CN"/>
                    </w:rPr>
                    <w:t>位于场地中部，占地面积约200m</w:t>
                  </w:r>
                  <w:r>
                    <w:rPr>
                      <w:rFonts w:hint="eastAsia" w:ascii="Times New Roman" w:hAnsi="Times New Roman" w:eastAsia="宋体"/>
                      <w:color w:val="auto"/>
                      <w:highlight w:val="none"/>
                      <w:u w:val="none" w:color="auto"/>
                      <w:vertAlign w:val="superscript"/>
                      <w:lang w:val="en-US" w:eastAsia="zh-CN"/>
                    </w:rPr>
                    <w:t>2</w:t>
                  </w:r>
                  <w:r>
                    <w:rPr>
                      <w:rFonts w:hint="eastAsia" w:ascii="Times New Roman" w:hAnsi="Times New Roman" w:eastAsia="宋体"/>
                      <w:color w:val="auto"/>
                      <w:highlight w:val="none"/>
                      <w:u w:val="none" w:color="auto"/>
                      <w:vertAlign w:val="baseline"/>
                      <w:lang w:val="en-US" w:eastAsia="zh-CN"/>
                    </w:rPr>
                    <w:t>，用于进行钢筋加工以及网片焊接组装</w:t>
                  </w:r>
                </w:p>
              </w:tc>
              <w:tc>
                <w:tcPr>
                  <w:tcW w:w="637" w:type="pct"/>
                  <w:tcBorders>
                    <w:tl2br w:val="nil"/>
                    <w:tr2bl w:val="nil"/>
                  </w:tcBorders>
                  <w:noWrap w:val="0"/>
                  <w:vAlign w:val="center"/>
                </w:tcPr>
                <w:p w14:paraId="23165876">
                  <w:pPr>
                    <w:pStyle w:val="1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highlight w:val="none"/>
                      <w:u w:val="none" w:color="auto"/>
                      <w:lang w:val="en-US" w:eastAsia="zh-CN"/>
                    </w:rPr>
                  </w:pPr>
                  <w:r>
                    <w:rPr>
                      <w:rFonts w:hint="eastAsia" w:ascii="Times New Roman" w:hAnsi="Times New Roman" w:eastAsia="宋体"/>
                      <w:color w:val="auto"/>
                      <w:highlight w:val="none"/>
                      <w:u w:val="none" w:color="auto"/>
                      <w:lang w:val="en-US" w:eastAsia="zh-CN"/>
                    </w:rPr>
                    <w:t>新建</w:t>
                  </w:r>
                </w:p>
              </w:tc>
            </w:tr>
            <w:tr w14:paraId="42F345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1" w:type="pct"/>
                  <w:vMerge w:val="restart"/>
                  <w:tcBorders>
                    <w:tl2br w:val="nil"/>
                    <w:tr2bl w:val="nil"/>
                  </w:tcBorders>
                  <w:noWrap w:val="0"/>
                  <w:vAlign w:val="center"/>
                </w:tcPr>
                <w:p w14:paraId="1107742E">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auto"/>
                      <w:highlight w:val="none"/>
                      <w:u w:val="none" w:color="auto"/>
                    </w:rPr>
                  </w:pPr>
                  <w:r>
                    <w:rPr>
                      <w:rFonts w:ascii="Times New Roman" w:hAnsi="Times New Roman" w:eastAsia="宋体"/>
                      <w:color w:val="auto"/>
                      <w:highlight w:val="none"/>
                      <w:u w:val="none" w:color="auto"/>
                    </w:rPr>
                    <w:t>公用工程</w:t>
                  </w:r>
                </w:p>
              </w:tc>
              <w:tc>
                <w:tcPr>
                  <w:tcW w:w="992" w:type="pct"/>
                  <w:gridSpan w:val="2"/>
                  <w:tcBorders>
                    <w:tl2br w:val="nil"/>
                    <w:tr2bl w:val="nil"/>
                  </w:tcBorders>
                  <w:noWrap w:val="0"/>
                  <w:vAlign w:val="center"/>
                </w:tcPr>
                <w:p w14:paraId="7BB4020F">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auto"/>
                      <w:highlight w:val="none"/>
                      <w:u w:val="none" w:color="auto"/>
                    </w:rPr>
                  </w:pPr>
                  <w:r>
                    <w:rPr>
                      <w:rFonts w:ascii="Times New Roman" w:hAnsi="Times New Roman" w:eastAsia="宋体"/>
                      <w:color w:val="auto"/>
                      <w:highlight w:val="none"/>
                      <w:u w:val="none" w:color="auto"/>
                    </w:rPr>
                    <w:t>供水</w:t>
                  </w:r>
                </w:p>
              </w:tc>
              <w:tc>
                <w:tcPr>
                  <w:tcW w:w="2888" w:type="pct"/>
                  <w:tcBorders>
                    <w:tl2br w:val="nil"/>
                    <w:tr2bl w:val="nil"/>
                  </w:tcBorders>
                  <w:noWrap w:val="0"/>
                  <w:vAlign w:val="center"/>
                </w:tcPr>
                <w:p w14:paraId="2A2ABA92">
                  <w:pPr>
                    <w:pStyle w:val="1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highlight w:val="yellow"/>
                      <w:u w:val="none" w:color="auto"/>
                    </w:rPr>
                  </w:pPr>
                  <w:r>
                    <w:rPr>
                      <w:rFonts w:ascii="Times New Roman" w:hAnsi="Times New Roman" w:eastAsia="宋体"/>
                      <w:color w:val="auto"/>
                      <w:highlight w:val="none"/>
                      <w:u w:val="none" w:color="auto"/>
                    </w:rPr>
                    <w:t>接市政给水管网</w:t>
                  </w:r>
                </w:p>
              </w:tc>
              <w:tc>
                <w:tcPr>
                  <w:tcW w:w="637" w:type="pct"/>
                  <w:tcBorders>
                    <w:tl2br w:val="nil"/>
                    <w:tr2bl w:val="nil"/>
                  </w:tcBorders>
                  <w:noWrap w:val="0"/>
                  <w:vAlign w:val="center"/>
                </w:tcPr>
                <w:p w14:paraId="143E226F">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auto"/>
                      <w:highlight w:val="none"/>
                      <w:u w:val="none" w:color="auto"/>
                    </w:rPr>
                  </w:pPr>
                  <w:r>
                    <w:rPr>
                      <w:rFonts w:hint="eastAsia" w:ascii="Times New Roman" w:hAnsi="Times New Roman" w:eastAsia="宋体"/>
                      <w:color w:val="auto"/>
                      <w:highlight w:val="none"/>
                      <w:u w:val="none" w:color="auto"/>
                      <w:lang w:val="en-US" w:eastAsia="zh-CN"/>
                    </w:rPr>
                    <w:t>依托现有工程</w:t>
                  </w:r>
                </w:p>
              </w:tc>
            </w:tr>
            <w:tr w14:paraId="16E0D5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1" w:type="pct"/>
                  <w:vMerge w:val="continue"/>
                  <w:tcBorders>
                    <w:tl2br w:val="nil"/>
                    <w:tr2bl w:val="nil"/>
                  </w:tcBorders>
                  <w:noWrap w:val="0"/>
                  <w:vAlign w:val="center"/>
                </w:tcPr>
                <w:p w14:paraId="76E7ED21">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auto"/>
                      <w:highlight w:val="none"/>
                      <w:u w:val="none" w:color="auto"/>
                    </w:rPr>
                  </w:pPr>
                </w:p>
              </w:tc>
              <w:tc>
                <w:tcPr>
                  <w:tcW w:w="992" w:type="pct"/>
                  <w:gridSpan w:val="2"/>
                  <w:tcBorders>
                    <w:tl2br w:val="nil"/>
                    <w:tr2bl w:val="nil"/>
                  </w:tcBorders>
                  <w:noWrap w:val="0"/>
                  <w:vAlign w:val="center"/>
                </w:tcPr>
                <w:p w14:paraId="6270A476">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auto"/>
                      <w:highlight w:val="none"/>
                      <w:u w:val="none" w:color="auto"/>
                    </w:rPr>
                  </w:pPr>
                  <w:r>
                    <w:rPr>
                      <w:rFonts w:ascii="Times New Roman" w:hAnsi="Times New Roman" w:eastAsia="宋体"/>
                      <w:color w:val="auto"/>
                      <w:highlight w:val="none"/>
                      <w:u w:val="none" w:color="auto"/>
                    </w:rPr>
                    <w:t>供电</w:t>
                  </w:r>
                </w:p>
              </w:tc>
              <w:tc>
                <w:tcPr>
                  <w:tcW w:w="2888" w:type="pct"/>
                  <w:tcBorders>
                    <w:tl2br w:val="nil"/>
                    <w:tr2bl w:val="nil"/>
                  </w:tcBorders>
                  <w:noWrap w:val="0"/>
                  <w:vAlign w:val="center"/>
                </w:tcPr>
                <w:p w14:paraId="4022E606">
                  <w:pPr>
                    <w:pStyle w:val="1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highlight w:val="yellow"/>
                      <w:u w:val="none" w:color="auto"/>
                    </w:rPr>
                  </w:pPr>
                  <w:r>
                    <w:rPr>
                      <w:rFonts w:ascii="Times New Roman" w:hAnsi="Times New Roman" w:eastAsia="宋体"/>
                      <w:color w:val="auto"/>
                      <w:highlight w:val="none"/>
                      <w:u w:val="none" w:color="auto"/>
                    </w:rPr>
                    <w:t>接市政供电管网</w:t>
                  </w:r>
                </w:p>
              </w:tc>
              <w:tc>
                <w:tcPr>
                  <w:tcW w:w="637" w:type="pct"/>
                  <w:tcBorders>
                    <w:tl2br w:val="nil"/>
                    <w:tr2bl w:val="nil"/>
                  </w:tcBorders>
                  <w:noWrap w:val="0"/>
                  <w:vAlign w:val="center"/>
                </w:tcPr>
                <w:p w14:paraId="194A2A71">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auto"/>
                      <w:highlight w:val="none"/>
                      <w:u w:val="none" w:color="auto"/>
                    </w:rPr>
                  </w:pPr>
                  <w:r>
                    <w:rPr>
                      <w:rFonts w:hint="eastAsia" w:ascii="Times New Roman" w:hAnsi="Times New Roman" w:eastAsia="宋体"/>
                      <w:color w:val="auto"/>
                      <w:highlight w:val="none"/>
                      <w:u w:val="none" w:color="auto"/>
                      <w:lang w:val="en-US" w:eastAsia="zh-CN"/>
                    </w:rPr>
                    <w:t>依托现有工程</w:t>
                  </w:r>
                </w:p>
              </w:tc>
            </w:tr>
            <w:tr w14:paraId="6EE5EE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481" w:type="pct"/>
                  <w:vMerge w:val="continue"/>
                  <w:tcBorders>
                    <w:tl2br w:val="nil"/>
                    <w:tr2bl w:val="nil"/>
                  </w:tcBorders>
                  <w:noWrap w:val="0"/>
                  <w:vAlign w:val="center"/>
                </w:tcPr>
                <w:p w14:paraId="71B074C6">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auto"/>
                      <w:highlight w:val="none"/>
                      <w:u w:val="none" w:color="auto"/>
                    </w:rPr>
                  </w:pPr>
                </w:p>
              </w:tc>
              <w:tc>
                <w:tcPr>
                  <w:tcW w:w="992" w:type="pct"/>
                  <w:gridSpan w:val="2"/>
                  <w:tcBorders>
                    <w:tl2br w:val="nil"/>
                    <w:tr2bl w:val="nil"/>
                  </w:tcBorders>
                  <w:noWrap w:val="0"/>
                  <w:vAlign w:val="center"/>
                </w:tcPr>
                <w:p w14:paraId="438E9C00">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auto"/>
                      <w:highlight w:val="none"/>
                      <w:u w:val="none" w:color="auto"/>
                    </w:rPr>
                  </w:pPr>
                  <w:r>
                    <w:rPr>
                      <w:rFonts w:ascii="Times New Roman" w:hAnsi="Times New Roman" w:eastAsia="宋体"/>
                      <w:color w:val="auto"/>
                      <w:highlight w:val="none"/>
                      <w:u w:val="none" w:color="auto"/>
                    </w:rPr>
                    <w:t>排水</w:t>
                  </w:r>
                </w:p>
              </w:tc>
              <w:tc>
                <w:tcPr>
                  <w:tcW w:w="2888" w:type="pct"/>
                  <w:tcBorders>
                    <w:tl2br w:val="nil"/>
                    <w:tr2bl w:val="nil"/>
                  </w:tcBorders>
                  <w:noWrap w:val="0"/>
                  <w:vAlign w:val="center"/>
                </w:tcPr>
                <w:p w14:paraId="6C804E96">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highlight w:val="none"/>
                      <w:u w:val="none" w:color="auto"/>
                    </w:rPr>
                  </w:pPr>
                  <w:r>
                    <w:rPr>
                      <w:rFonts w:hint="eastAsia" w:ascii="Times New Roman" w:hAnsi="Times New Roman" w:eastAsia="宋体"/>
                      <w:color w:val="auto"/>
                      <w:highlight w:val="none"/>
                      <w:u w:val="none" w:color="auto"/>
                    </w:rPr>
                    <w:t>实行雨污分流；</w:t>
                  </w:r>
                  <w:r>
                    <w:rPr>
                      <w:rFonts w:hint="default" w:ascii="Times New Roman" w:hAnsi="Times New Roman" w:eastAsia="宋体" w:cs="Times New Roman"/>
                      <w:color w:val="auto"/>
                      <w:szCs w:val="21"/>
                      <w:highlight w:val="none"/>
                      <w:lang w:val="en-US" w:eastAsia="zh-CN"/>
                    </w:rPr>
                    <w:t>雨水经雨水管</w:t>
                  </w:r>
                  <w:r>
                    <w:rPr>
                      <w:rFonts w:hint="eastAsia" w:ascii="Times New Roman" w:hAnsi="Times New Roman" w:eastAsia="宋体" w:cs="Times New Roman"/>
                      <w:color w:val="auto"/>
                      <w:szCs w:val="21"/>
                      <w:highlight w:val="none"/>
                      <w:lang w:val="en-US" w:eastAsia="zh-CN"/>
                    </w:rPr>
                    <w:t>网</w:t>
                  </w:r>
                  <w:r>
                    <w:rPr>
                      <w:rFonts w:hint="default" w:ascii="Times New Roman" w:hAnsi="Times New Roman" w:eastAsia="宋体" w:cs="Times New Roman"/>
                      <w:color w:val="auto"/>
                      <w:szCs w:val="21"/>
                      <w:highlight w:val="none"/>
                      <w:lang w:val="en-US" w:eastAsia="zh-CN"/>
                    </w:rPr>
                    <w:t>收集后排入周边水体；循环水循环使用，不外排；生活污水经</w:t>
                  </w:r>
                  <w:r>
                    <w:rPr>
                      <w:rFonts w:hint="eastAsia" w:eastAsia="宋体" w:cs="Times New Roman"/>
                      <w:color w:val="auto"/>
                      <w:szCs w:val="21"/>
                      <w:highlight w:val="none"/>
                      <w:lang w:val="en-US" w:eastAsia="zh-CN"/>
                    </w:rPr>
                    <w:t>化粪池预</w:t>
                  </w:r>
                  <w:r>
                    <w:rPr>
                      <w:rFonts w:hint="default" w:ascii="Times New Roman" w:hAnsi="Times New Roman" w:eastAsia="宋体" w:cs="Times New Roman"/>
                      <w:color w:val="auto"/>
                      <w:szCs w:val="21"/>
                      <w:highlight w:val="none"/>
                      <w:lang w:val="en-US" w:eastAsia="zh-CN"/>
                    </w:rPr>
                    <w:t>处理</w:t>
                  </w:r>
                  <w:r>
                    <w:rPr>
                      <w:rFonts w:hint="eastAsia" w:eastAsia="宋体" w:cs="Times New Roman"/>
                      <w:color w:val="auto"/>
                      <w:szCs w:val="21"/>
                      <w:highlight w:val="none"/>
                      <w:lang w:val="en-US" w:eastAsia="zh-CN"/>
                    </w:rPr>
                    <w:t>达标</w:t>
                  </w:r>
                  <w:r>
                    <w:rPr>
                      <w:rFonts w:hint="default" w:ascii="Times New Roman" w:hAnsi="Times New Roman" w:eastAsia="宋体" w:cs="Times New Roman"/>
                      <w:color w:val="auto"/>
                      <w:szCs w:val="21"/>
                      <w:highlight w:val="none"/>
                      <w:lang w:val="en-US" w:eastAsia="zh-CN"/>
                    </w:rPr>
                    <w:t>后排入市政污水管网</w:t>
                  </w:r>
                </w:p>
              </w:tc>
              <w:tc>
                <w:tcPr>
                  <w:tcW w:w="637" w:type="pct"/>
                  <w:tcBorders>
                    <w:tl2br w:val="nil"/>
                    <w:tr2bl w:val="nil"/>
                  </w:tcBorders>
                  <w:noWrap w:val="0"/>
                  <w:vAlign w:val="center"/>
                </w:tcPr>
                <w:p w14:paraId="7E4691E1">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u w:val="none" w:color="auto"/>
                      <w:lang w:val="en-US" w:eastAsia="zh-CN"/>
                    </w:rPr>
                  </w:pPr>
                  <w:r>
                    <w:rPr>
                      <w:rFonts w:hint="eastAsia" w:ascii="Times New Roman" w:hAnsi="Times New Roman" w:eastAsia="宋体"/>
                      <w:color w:val="auto"/>
                      <w:highlight w:val="none"/>
                      <w:u w:val="none" w:color="auto"/>
                      <w:lang w:val="en-US" w:eastAsia="zh-CN"/>
                    </w:rPr>
                    <w:t>依托现有工程</w:t>
                  </w:r>
                </w:p>
              </w:tc>
            </w:tr>
            <w:tr w14:paraId="7268DB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1" w:type="pct"/>
                  <w:vMerge w:val="restart"/>
                  <w:tcBorders>
                    <w:tl2br w:val="nil"/>
                    <w:tr2bl w:val="nil"/>
                  </w:tcBorders>
                  <w:noWrap w:val="0"/>
                  <w:vAlign w:val="center"/>
                </w:tcPr>
                <w:p w14:paraId="169004FF">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auto"/>
                      <w:highlight w:val="none"/>
                      <w:u w:val="none" w:color="auto"/>
                    </w:rPr>
                  </w:pPr>
                  <w:r>
                    <w:rPr>
                      <w:rFonts w:ascii="Times New Roman" w:hAnsi="Times New Roman" w:eastAsia="宋体"/>
                      <w:color w:val="auto"/>
                      <w:highlight w:val="none"/>
                      <w:u w:val="none" w:color="auto"/>
                    </w:rPr>
                    <w:t>环保工程</w:t>
                  </w:r>
                </w:p>
              </w:tc>
              <w:tc>
                <w:tcPr>
                  <w:tcW w:w="992" w:type="pct"/>
                  <w:gridSpan w:val="2"/>
                  <w:vMerge w:val="restart"/>
                  <w:tcBorders>
                    <w:tl2br w:val="nil"/>
                    <w:tr2bl w:val="nil"/>
                  </w:tcBorders>
                  <w:noWrap w:val="0"/>
                  <w:vAlign w:val="center"/>
                </w:tcPr>
                <w:p w14:paraId="204A4F85">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auto"/>
                      <w:highlight w:val="none"/>
                      <w:u w:val="none" w:color="auto"/>
                    </w:rPr>
                  </w:pPr>
                  <w:r>
                    <w:rPr>
                      <w:rFonts w:ascii="Times New Roman" w:hAnsi="Times New Roman" w:eastAsia="宋体"/>
                      <w:color w:val="auto"/>
                      <w:highlight w:val="none"/>
                      <w:u w:val="none" w:color="auto"/>
                    </w:rPr>
                    <w:t>废水</w:t>
                  </w:r>
                </w:p>
              </w:tc>
              <w:tc>
                <w:tcPr>
                  <w:tcW w:w="2888" w:type="pct"/>
                  <w:tcBorders>
                    <w:tl2br w:val="nil"/>
                    <w:tr2bl w:val="nil"/>
                  </w:tcBorders>
                  <w:noWrap w:val="0"/>
                  <w:vAlign w:val="center"/>
                </w:tcPr>
                <w:p w14:paraId="0EDC3EE7">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highlight w:val="none"/>
                      <w:u w:val="none" w:color="auto"/>
                      <w:lang w:val="en-US" w:eastAsia="zh-CN"/>
                    </w:rPr>
                  </w:pPr>
                  <w:r>
                    <w:rPr>
                      <w:rFonts w:hint="eastAsia" w:ascii="Times New Roman" w:hAnsi="Times New Roman" w:eastAsia="宋体"/>
                      <w:color w:val="auto"/>
                      <w:highlight w:val="none"/>
                      <w:u w:val="none" w:color="auto"/>
                      <w:lang w:val="en-US" w:eastAsia="zh-CN"/>
                    </w:rPr>
                    <w:t>生产废水循环使用不外排</w:t>
                  </w:r>
                </w:p>
              </w:tc>
              <w:tc>
                <w:tcPr>
                  <w:tcW w:w="637" w:type="pct"/>
                  <w:tcBorders>
                    <w:tl2br w:val="nil"/>
                    <w:tr2bl w:val="nil"/>
                  </w:tcBorders>
                  <w:noWrap w:val="0"/>
                  <w:vAlign w:val="center"/>
                </w:tcPr>
                <w:p w14:paraId="58239FD4">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u w:val="none" w:color="auto"/>
                      <w:lang w:val="en-US" w:eastAsia="zh-CN"/>
                    </w:rPr>
                  </w:pPr>
                  <w:r>
                    <w:rPr>
                      <w:rFonts w:hint="eastAsia" w:ascii="Times New Roman" w:hAnsi="Times New Roman" w:eastAsia="宋体" w:cs="Times New Roman"/>
                      <w:color w:val="auto"/>
                      <w:highlight w:val="none"/>
                      <w:u w:val="none" w:color="auto"/>
                      <w:lang w:val="en-US" w:eastAsia="zh-CN"/>
                    </w:rPr>
                    <w:t>新增</w:t>
                  </w:r>
                </w:p>
              </w:tc>
            </w:tr>
            <w:tr w14:paraId="47D53A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1" w:type="pct"/>
                  <w:vMerge w:val="continue"/>
                  <w:tcBorders>
                    <w:tl2br w:val="nil"/>
                    <w:tr2bl w:val="nil"/>
                  </w:tcBorders>
                  <w:noWrap w:val="0"/>
                  <w:vAlign w:val="center"/>
                </w:tcPr>
                <w:p w14:paraId="4707D2A4">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auto"/>
                      <w:highlight w:val="none"/>
                      <w:u w:val="none" w:color="auto"/>
                    </w:rPr>
                  </w:pPr>
                </w:p>
              </w:tc>
              <w:tc>
                <w:tcPr>
                  <w:tcW w:w="992" w:type="pct"/>
                  <w:gridSpan w:val="2"/>
                  <w:vMerge w:val="continue"/>
                  <w:tcBorders>
                    <w:tl2br w:val="nil"/>
                    <w:tr2bl w:val="nil"/>
                  </w:tcBorders>
                  <w:noWrap w:val="0"/>
                  <w:vAlign w:val="center"/>
                </w:tcPr>
                <w:p w14:paraId="1A0BAB64">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auto"/>
                      <w:highlight w:val="none"/>
                      <w:u w:val="none" w:color="auto"/>
                    </w:rPr>
                  </w:pPr>
                </w:p>
              </w:tc>
              <w:tc>
                <w:tcPr>
                  <w:tcW w:w="2888" w:type="pct"/>
                  <w:tcBorders>
                    <w:tl2br w:val="nil"/>
                    <w:tr2bl w:val="nil"/>
                  </w:tcBorders>
                  <w:noWrap w:val="0"/>
                  <w:vAlign w:val="center"/>
                </w:tcPr>
                <w:p w14:paraId="17EE5B0A">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highlight w:val="none"/>
                      <w:u w:val="none" w:color="auto"/>
                      <w:lang w:val="en-US" w:eastAsia="zh-CN"/>
                    </w:rPr>
                  </w:pPr>
                  <w:r>
                    <w:rPr>
                      <w:rFonts w:hint="eastAsia" w:ascii="Times New Roman" w:hAnsi="Times New Roman" w:eastAsia="宋体" w:cs="Times New Roman"/>
                      <w:color w:val="auto"/>
                      <w:sz w:val="21"/>
                      <w:szCs w:val="21"/>
                      <w:highlight w:val="none"/>
                      <w:lang w:eastAsia="zh-CN"/>
                    </w:rPr>
                    <w:t>生活污水经化粪池收集处理后由市政污水管网，排入闽清白金工业园区污水处理厂集中处理</w:t>
                  </w:r>
                </w:p>
              </w:tc>
              <w:tc>
                <w:tcPr>
                  <w:tcW w:w="637" w:type="pct"/>
                  <w:tcBorders>
                    <w:tl2br w:val="nil"/>
                    <w:tr2bl w:val="nil"/>
                  </w:tcBorders>
                  <w:noWrap w:val="0"/>
                  <w:vAlign w:val="center"/>
                </w:tcPr>
                <w:p w14:paraId="370C2BF9">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u w:val="none" w:color="auto"/>
                      <w:lang w:val="en-US" w:eastAsia="zh-CN"/>
                    </w:rPr>
                  </w:pPr>
                  <w:r>
                    <w:rPr>
                      <w:rFonts w:hint="eastAsia" w:ascii="Times New Roman" w:hAnsi="Times New Roman" w:eastAsia="宋体"/>
                      <w:color w:val="auto"/>
                      <w:highlight w:val="none"/>
                      <w:u w:val="none" w:color="auto"/>
                      <w:lang w:val="en-US" w:eastAsia="zh-CN"/>
                    </w:rPr>
                    <w:t>依托现有工程</w:t>
                  </w:r>
                </w:p>
              </w:tc>
            </w:tr>
            <w:tr w14:paraId="472ECC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481" w:type="pct"/>
                  <w:vMerge w:val="continue"/>
                  <w:tcBorders>
                    <w:tl2br w:val="nil"/>
                    <w:tr2bl w:val="nil"/>
                  </w:tcBorders>
                  <w:noWrap w:val="0"/>
                  <w:vAlign w:val="center"/>
                </w:tcPr>
                <w:p w14:paraId="04E6BEFE">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auto"/>
                      <w:highlight w:val="none"/>
                      <w:u w:val="none" w:color="auto"/>
                    </w:rPr>
                  </w:pPr>
                </w:p>
              </w:tc>
              <w:tc>
                <w:tcPr>
                  <w:tcW w:w="992" w:type="pct"/>
                  <w:gridSpan w:val="2"/>
                  <w:vMerge w:val="restart"/>
                  <w:tcBorders>
                    <w:tl2br w:val="nil"/>
                    <w:tr2bl w:val="nil"/>
                  </w:tcBorders>
                  <w:noWrap w:val="0"/>
                  <w:vAlign w:val="center"/>
                </w:tcPr>
                <w:p w14:paraId="524E6E0E">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auto"/>
                      <w:highlight w:val="none"/>
                      <w:u w:val="none" w:color="auto"/>
                    </w:rPr>
                  </w:pPr>
                  <w:r>
                    <w:rPr>
                      <w:rFonts w:ascii="Times New Roman" w:hAnsi="Times New Roman" w:eastAsia="宋体"/>
                      <w:color w:val="auto"/>
                      <w:highlight w:val="none"/>
                      <w:u w:val="none" w:color="auto"/>
                    </w:rPr>
                    <w:t>废气</w:t>
                  </w:r>
                </w:p>
              </w:tc>
              <w:tc>
                <w:tcPr>
                  <w:tcW w:w="2888" w:type="pct"/>
                  <w:tcBorders>
                    <w:tl2br w:val="nil"/>
                    <w:tr2bl w:val="nil"/>
                  </w:tcBorders>
                  <w:noWrap w:val="0"/>
                  <w:vAlign w:val="center"/>
                </w:tcPr>
                <w:p w14:paraId="1F7DA667">
                  <w:pPr>
                    <w:pStyle w:val="122"/>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Times New Roman" w:hAnsi="Times New Roman" w:eastAsia="宋体"/>
                      <w:color w:val="000000"/>
                      <w:highlight w:val="yellow"/>
                      <w:lang w:eastAsia="zh-CN"/>
                    </w:rPr>
                  </w:pPr>
                  <w:r>
                    <w:rPr>
                      <w:rFonts w:hint="eastAsia" w:ascii="Times New Roman" w:hAnsi="Times New Roman" w:eastAsia="宋体" w:cs="Times New Roman"/>
                      <w:color w:val="000000"/>
                      <w:kern w:val="2"/>
                      <w:sz w:val="21"/>
                      <w:szCs w:val="21"/>
                      <w:u w:val="none" w:color="auto"/>
                      <w:lang w:val="en-US" w:eastAsia="zh-CN" w:bidi="ar-SA"/>
                    </w:rPr>
                    <w:t>燃生物质锅炉废气</w:t>
                  </w:r>
                  <w:r>
                    <w:rPr>
                      <w:rFonts w:hint="eastAsia" w:eastAsia="宋体" w:cs="Times New Roman"/>
                      <w:color w:val="000000"/>
                      <w:kern w:val="2"/>
                      <w:sz w:val="21"/>
                      <w:szCs w:val="21"/>
                      <w:u w:val="none" w:color="auto"/>
                      <w:lang w:val="en-US" w:eastAsia="zh-CN" w:bidi="ar-SA"/>
                    </w:rPr>
                    <w:t>处理工艺为</w:t>
                  </w:r>
                  <w:r>
                    <w:rPr>
                      <w:rFonts w:hint="eastAsia" w:ascii="Times New Roman" w:hAnsi="Times New Roman" w:eastAsia="宋体" w:cs="Times New Roman"/>
                      <w:color w:val="000000"/>
                      <w:kern w:val="2"/>
                      <w:sz w:val="21"/>
                      <w:szCs w:val="21"/>
                      <w:u w:val="none" w:color="auto"/>
                      <w:lang w:val="en-US" w:eastAsia="zh-CN" w:bidi="ar-SA"/>
                    </w:rPr>
                    <w:t>低氮燃烧+多管除尘器+布袋除尘器+1根40m高排气筒排放</w:t>
                  </w:r>
                  <w:r>
                    <w:rPr>
                      <w:rFonts w:hint="eastAsia" w:eastAsia="宋体" w:cs="Times New Roman"/>
                      <w:color w:val="000000"/>
                      <w:kern w:val="2"/>
                      <w:sz w:val="21"/>
                      <w:szCs w:val="21"/>
                      <w:u w:val="none" w:color="auto"/>
                      <w:lang w:val="en-US" w:eastAsia="zh-CN" w:bidi="ar-SA"/>
                    </w:rPr>
                    <w:t>；</w:t>
                  </w:r>
                </w:p>
                <w:p w14:paraId="3A3DD849">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highlight w:val="none"/>
                      <w:u w:val="none" w:color="auto"/>
                      <w:lang w:val="en-US" w:eastAsia="zh-CN"/>
                    </w:rPr>
                  </w:pPr>
                </w:p>
              </w:tc>
              <w:tc>
                <w:tcPr>
                  <w:tcW w:w="637" w:type="pct"/>
                  <w:tcBorders>
                    <w:tl2br w:val="nil"/>
                    <w:tr2bl w:val="nil"/>
                  </w:tcBorders>
                  <w:noWrap w:val="0"/>
                  <w:vAlign w:val="center"/>
                </w:tcPr>
                <w:p w14:paraId="64860196">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highlight w:val="none"/>
                      <w:u w:val="none" w:color="auto"/>
                      <w:lang w:val="en-US" w:eastAsia="zh-CN"/>
                    </w:rPr>
                  </w:pPr>
                  <w:r>
                    <w:rPr>
                      <w:rFonts w:hint="eastAsia" w:ascii="Times New Roman" w:hAnsi="Times New Roman" w:eastAsia="宋体" w:cs="Times New Roman"/>
                      <w:color w:val="auto"/>
                      <w:highlight w:val="none"/>
                      <w:u w:val="none" w:color="auto"/>
                      <w:lang w:val="en-US" w:eastAsia="zh-CN"/>
                    </w:rPr>
                    <w:t>新增</w:t>
                  </w:r>
                </w:p>
              </w:tc>
            </w:tr>
            <w:tr w14:paraId="106A23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481" w:type="pct"/>
                  <w:vMerge w:val="continue"/>
                  <w:tcBorders>
                    <w:tl2br w:val="nil"/>
                    <w:tr2bl w:val="nil"/>
                  </w:tcBorders>
                  <w:noWrap w:val="0"/>
                  <w:vAlign w:val="center"/>
                </w:tcPr>
                <w:p w14:paraId="2E01F59B">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rPr>
                  </w:pPr>
                </w:p>
              </w:tc>
              <w:tc>
                <w:tcPr>
                  <w:tcW w:w="992" w:type="pct"/>
                  <w:gridSpan w:val="2"/>
                  <w:vMerge w:val="continue"/>
                  <w:tcBorders>
                    <w:tl2br w:val="nil"/>
                    <w:tr2bl w:val="nil"/>
                  </w:tcBorders>
                  <w:noWrap w:val="0"/>
                  <w:vAlign w:val="center"/>
                </w:tcPr>
                <w:p w14:paraId="5BAD0C97">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rPr>
                  </w:pPr>
                </w:p>
              </w:tc>
              <w:tc>
                <w:tcPr>
                  <w:tcW w:w="2888" w:type="pct"/>
                  <w:tcBorders>
                    <w:tl2br w:val="nil"/>
                    <w:tr2bl w:val="nil"/>
                  </w:tcBorders>
                  <w:noWrap w:val="0"/>
                  <w:vAlign w:val="center"/>
                </w:tcPr>
                <w:p w14:paraId="00147087">
                  <w:pPr>
                    <w:pStyle w:val="122"/>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olor w:val="000000"/>
                      <w:highlight w:val="none"/>
                      <w:lang w:val="en-US" w:eastAsia="zh-CN"/>
                    </w:rPr>
                  </w:pPr>
                  <w:r>
                    <w:rPr>
                      <w:rFonts w:hint="default" w:ascii="Times New Roman" w:hAnsi="Times New Roman" w:eastAsia="宋体"/>
                      <w:color w:val="000000"/>
                      <w:highlight w:val="none"/>
                      <w:lang w:val="en-US" w:eastAsia="zh-CN"/>
                    </w:rPr>
                    <w:t>项目料仓顶、进料搅拌系统均分别配备了袋式除尘器，粉尘经处理后无组织排放</w:t>
                  </w:r>
                </w:p>
                <w:p w14:paraId="144E5239">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highlight w:val="none"/>
                      <w:u w:val="none" w:color="auto"/>
                      <w:lang w:val="en-US" w:eastAsia="zh-CN"/>
                    </w:rPr>
                  </w:pPr>
                </w:p>
              </w:tc>
              <w:tc>
                <w:tcPr>
                  <w:tcW w:w="637" w:type="pct"/>
                  <w:tcBorders>
                    <w:tl2br w:val="nil"/>
                    <w:tr2bl w:val="nil"/>
                  </w:tcBorders>
                  <w:noWrap w:val="0"/>
                  <w:vAlign w:val="center"/>
                </w:tcPr>
                <w:p w14:paraId="628696EF">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highlight w:val="none"/>
                      <w:u w:val="none" w:color="auto"/>
                      <w:lang w:val="en-US" w:eastAsia="zh-CN"/>
                    </w:rPr>
                  </w:pPr>
                  <w:r>
                    <w:rPr>
                      <w:rFonts w:hint="eastAsia" w:ascii="Times New Roman" w:hAnsi="Times New Roman" w:eastAsia="宋体"/>
                      <w:color w:val="auto"/>
                      <w:highlight w:val="none"/>
                      <w:u w:val="none" w:color="auto"/>
                      <w:lang w:val="en-US" w:eastAsia="zh-CN"/>
                    </w:rPr>
                    <w:t>依托现有工程</w:t>
                  </w:r>
                </w:p>
              </w:tc>
            </w:tr>
            <w:tr w14:paraId="051631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1" w:type="pct"/>
                  <w:vMerge w:val="continue"/>
                  <w:tcBorders>
                    <w:tl2br w:val="nil"/>
                    <w:tr2bl w:val="nil"/>
                  </w:tcBorders>
                  <w:noWrap w:val="0"/>
                  <w:vAlign w:val="center"/>
                </w:tcPr>
                <w:p w14:paraId="2ACF2664">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auto"/>
                      <w:highlight w:val="none"/>
                      <w:u w:val="none" w:color="auto"/>
                    </w:rPr>
                  </w:pPr>
                </w:p>
              </w:tc>
              <w:tc>
                <w:tcPr>
                  <w:tcW w:w="992" w:type="pct"/>
                  <w:gridSpan w:val="2"/>
                  <w:tcBorders>
                    <w:tl2br w:val="nil"/>
                    <w:tr2bl w:val="nil"/>
                  </w:tcBorders>
                  <w:noWrap w:val="0"/>
                  <w:vAlign w:val="center"/>
                </w:tcPr>
                <w:p w14:paraId="141E7A5E">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highlight w:val="none"/>
                      <w:u w:val="none" w:color="auto"/>
                    </w:rPr>
                  </w:pPr>
                  <w:r>
                    <w:rPr>
                      <w:rFonts w:ascii="Times New Roman" w:hAnsi="Times New Roman" w:eastAsia="宋体" w:cs="Times New Roman"/>
                      <w:color w:val="auto"/>
                      <w:highlight w:val="none"/>
                      <w:u w:val="none" w:color="auto"/>
                    </w:rPr>
                    <w:t>噪声</w:t>
                  </w:r>
                </w:p>
              </w:tc>
              <w:tc>
                <w:tcPr>
                  <w:tcW w:w="2888" w:type="pct"/>
                  <w:tcBorders>
                    <w:tl2br w:val="nil"/>
                    <w:tr2bl w:val="nil"/>
                  </w:tcBorders>
                  <w:noWrap w:val="0"/>
                  <w:vAlign w:val="center"/>
                </w:tcPr>
                <w:p w14:paraId="2ACBB1BD">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rPr>
                    <w:t>选用低噪声设备，加强设备的维护管理</w:t>
                  </w:r>
                  <w:r>
                    <w:rPr>
                      <w:rFonts w:hint="default" w:ascii="Times New Roman" w:hAnsi="Times New Roman" w:eastAsia="宋体" w:cs="Times New Roman"/>
                      <w:color w:val="auto"/>
                      <w:highlight w:val="none"/>
                      <w:u w:val="none" w:color="auto"/>
                      <w:lang w:eastAsia="zh-CN"/>
                    </w:rPr>
                    <w:t>；</w:t>
                  </w:r>
                  <w:r>
                    <w:rPr>
                      <w:rFonts w:hint="default" w:ascii="Times New Roman" w:hAnsi="Times New Roman" w:eastAsia="宋体" w:cs="Times New Roman"/>
                      <w:color w:val="auto"/>
                      <w:highlight w:val="none"/>
                      <w:u w:val="none" w:color="auto"/>
                    </w:rPr>
                    <w:t>对高噪声设备</w:t>
                  </w:r>
                  <w:r>
                    <w:rPr>
                      <w:rFonts w:hint="default" w:ascii="Times New Roman" w:hAnsi="Times New Roman" w:eastAsia="宋体" w:cs="Times New Roman"/>
                      <w:color w:val="auto"/>
                      <w:highlight w:val="none"/>
                      <w:u w:val="none" w:color="auto"/>
                      <w:lang w:eastAsia="zh-CN"/>
                    </w:rPr>
                    <w:t>进行基础减振</w:t>
                  </w:r>
                  <w:r>
                    <w:rPr>
                      <w:rFonts w:hint="default" w:ascii="Times New Roman" w:hAnsi="Times New Roman" w:eastAsia="宋体" w:cs="Times New Roman"/>
                      <w:color w:val="auto"/>
                      <w:highlight w:val="none"/>
                      <w:u w:val="none" w:color="auto"/>
                    </w:rPr>
                    <w:t>、</w:t>
                  </w:r>
                  <w:r>
                    <w:rPr>
                      <w:rFonts w:hint="default" w:ascii="Times New Roman" w:hAnsi="Times New Roman" w:eastAsia="宋体" w:cs="Times New Roman"/>
                      <w:color w:val="auto"/>
                      <w:highlight w:val="none"/>
                      <w:u w:val="none" w:color="auto"/>
                      <w:lang w:eastAsia="zh-CN"/>
                    </w:rPr>
                    <w:t>通过厂房墙体</w:t>
                  </w:r>
                  <w:r>
                    <w:rPr>
                      <w:rFonts w:hint="default" w:ascii="Times New Roman" w:hAnsi="Times New Roman" w:eastAsia="宋体" w:cs="Times New Roman"/>
                      <w:color w:val="auto"/>
                      <w:highlight w:val="none"/>
                      <w:u w:val="none" w:color="auto"/>
                    </w:rPr>
                    <w:t>隔声等</w:t>
                  </w:r>
                  <w:r>
                    <w:rPr>
                      <w:rFonts w:hint="default" w:ascii="Times New Roman" w:hAnsi="Times New Roman" w:eastAsia="宋体" w:cs="Times New Roman"/>
                      <w:color w:val="auto"/>
                      <w:highlight w:val="none"/>
                      <w:u w:val="none" w:color="auto"/>
                      <w:lang w:eastAsia="zh-CN"/>
                    </w:rPr>
                    <w:t>综合</w:t>
                  </w:r>
                  <w:r>
                    <w:rPr>
                      <w:rFonts w:hint="default" w:ascii="Times New Roman" w:hAnsi="Times New Roman" w:eastAsia="宋体" w:cs="Times New Roman"/>
                      <w:color w:val="auto"/>
                      <w:highlight w:val="none"/>
                      <w:u w:val="none" w:color="auto"/>
                    </w:rPr>
                    <w:t>降噪措施</w:t>
                  </w:r>
                </w:p>
              </w:tc>
              <w:tc>
                <w:tcPr>
                  <w:tcW w:w="637" w:type="pct"/>
                  <w:tcBorders>
                    <w:tl2br w:val="nil"/>
                    <w:tr2bl w:val="nil"/>
                  </w:tcBorders>
                  <w:noWrap w:val="0"/>
                  <w:vAlign w:val="center"/>
                </w:tcPr>
                <w:p w14:paraId="22CBE78D">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u w:val="none" w:color="auto"/>
                      <w:lang w:val="en-US" w:eastAsia="zh-CN"/>
                    </w:rPr>
                  </w:pPr>
                  <w:r>
                    <w:rPr>
                      <w:rFonts w:hint="eastAsia" w:ascii="Times New Roman" w:hAnsi="Times New Roman" w:eastAsia="宋体" w:cs="Times New Roman"/>
                      <w:color w:val="auto"/>
                      <w:highlight w:val="none"/>
                      <w:u w:val="none" w:color="auto"/>
                      <w:lang w:val="en-US" w:eastAsia="zh-CN"/>
                    </w:rPr>
                    <w:t>新增</w:t>
                  </w:r>
                </w:p>
              </w:tc>
            </w:tr>
            <w:tr w14:paraId="3A0ADA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81" w:type="pct"/>
                  <w:vMerge w:val="continue"/>
                  <w:tcBorders>
                    <w:tl2br w:val="nil"/>
                    <w:tr2bl w:val="nil"/>
                  </w:tcBorders>
                  <w:noWrap w:val="0"/>
                  <w:vAlign w:val="center"/>
                </w:tcPr>
                <w:p w14:paraId="7EFA63E7">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auto"/>
                      <w:highlight w:val="none"/>
                      <w:u w:val="none" w:color="auto"/>
                    </w:rPr>
                  </w:pPr>
                </w:p>
              </w:tc>
              <w:tc>
                <w:tcPr>
                  <w:tcW w:w="432" w:type="pct"/>
                  <w:vMerge w:val="restart"/>
                  <w:tcBorders>
                    <w:tl2br w:val="nil"/>
                    <w:tr2bl w:val="nil"/>
                  </w:tcBorders>
                  <w:noWrap w:val="0"/>
                  <w:vAlign w:val="center"/>
                </w:tcPr>
                <w:p w14:paraId="72484F18">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highlight w:val="none"/>
                      <w:u w:val="none" w:color="auto"/>
                    </w:rPr>
                  </w:pPr>
                  <w:r>
                    <w:rPr>
                      <w:rFonts w:ascii="Times New Roman" w:hAnsi="Times New Roman" w:eastAsia="宋体" w:cs="Times New Roman"/>
                      <w:color w:val="auto"/>
                      <w:highlight w:val="none"/>
                      <w:u w:val="none" w:color="auto"/>
                    </w:rPr>
                    <w:t>固废治理</w:t>
                  </w:r>
                </w:p>
              </w:tc>
              <w:tc>
                <w:tcPr>
                  <w:tcW w:w="560" w:type="pct"/>
                  <w:tcBorders>
                    <w:tl2br w:val="nil"/>
                    <w:tr2bl w:val="nil"/>
                  </w:tcBorders>
                  <w:noWrap w:val="0"/>
                  <w:vAlign w:val="center"/>
                </w:tcPr>
                <w:p w14:paraId="446DE5F4">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highlight w:val="none"/>
                      <w:u w:val="none" w:color="auto"/>
                    </w:rPr>
                  </w:pPr>
                  <w:r>
                    <w:rPr>
                      <w:rFonts w:ascii="Times New Roman" w:hAnsi="Times New Roman" w:eastAsia="宋体" w:cs="Times New Roman"/>
                      <w:color w:val="auto"/>
                      <w:highlight w:val="none"/>
                      <w:u w:val="none" w:color="auto"/>
                    </w:rPr>
                    <w:t>生活垃圾</w:t>
                  </w:r>
                </w:p>
              </w:tc>
              <w:tc>
                <w:tcPr>
                  <w:tcW w:w="2888" w:type="pct"/>
                  <w:tcBorders>
                    <w:tl2br w:val="nil"/>
                    <w:tr2bl w:val="nil"/>
                  </w:tcBorders>
                  <w:noWrap w:val="0"/>
                  <w:vAlign w:val="center"/>
                </w:tcPr>
                <w:p w14:paraId="1CE67B1F">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highlight w:val="none"/>
                      <w:u w:val="none" w:color="auto"/>
                    </w:rPr>
                  </w:pPr>
                  <w:r>
                    <w:rPr>
                      <w:rFonts w:hint="eastAsia" w:ascii="Times New Roman" w:hAnsi="Times New Roman" w:eastAsia="宋体" w:cs="Times New Roman"/>
                      <w:color w:val="auto"/>
                      <w:highlight w:val="none"/>
                      <w:u w:val="none" w:color="auto"/>
                    </w:rPr>
                    <w:t>委托当地环卫部门统一清运</w:t>
                  </w:r>
                </w:p>
              </w:tc>
              <w:tc>
                <w:tcPr>
                  <w:tcW w:w="637" w:type="pct"/>
                  <w:tcBorders>
                    <w:tl2br w:val="nil"/>
                    <w:tr2bl w:val="nil"/>
                  </w:tcBorders>
                  <w:noWrap w:val="0"/>
                  <w:vAlign w:val="center"/>
                </w:tcPr>
                <w:p w14:paraId="7121DDA3">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highlight w:val="none"/>
                      <w:u w:val="none" w:color="auto"/>
                    </w:rPr>
                  </w:pPr>
                  <w:r>
                    <w:rPr>
                      <w:rFonts w:hint="eastAsia" w:ascii="Times New Roman" w:hAnsi="Times New Roman" w:eastAsia="宋体"/>
                      <w:color w:val="auto"/>
                      <w:highlight w:val="none"/>
                      <w:u w:val="none" w:color="auto"/>
                      <w:lang w:val="en-US" w:eastAsia="zh-CN"/>
                    </w:rPr>
                    <w:t>依托现有工程</w:t>
                  </w:r>
                </w:p>
              </w:tc>
            </w:tr>
            <w:tr w14:paraId="127914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81" w:type="pct"/>
                  <w:vMerge w:val="continue"/>
                  <w:tcBorders>
                    <w:tl2br w:val="nil"/>
                    <w:tr2bl w:val="nil"/>
                  </w:tcBorders>
                  <w:noWrap w:val="0"/>
                  <w:vAlign w:val="center"/>
                </w:tcPr>
                <w:p w14:paraId="39B8C542">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auto"/>
                      <w:highlight w:val="none"/>
                      <w:u w:val="none" w:color="auto"/>
                    </w:rPr>
                  </w:pPr>
                </w:p>
              </w:tc>
              <w:tc>
                <w:tcPr>
                  <w:tcW w:w="432" w:type="pct"/>
                  <w:vMerge w:val="continue"/>
                  <w:tcBorders>
                    <w:tl2br w:val="nil"/>
                    <w:tr2bl w:val="nil"/>
                  </w:tcBorders>
                  <w:noWrap w:val="0"/>
                  <w:vAlign w:val="center"/>
                </w:tcPr>
                <w:p w14:paraId="73B8BEF5">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highlight w:val="none"/>
                      <w:u w:val="none" w:color="auto"/>
                    </w:rPr>
                  </w:pPr>
                </w:p>
              </w:tc>
              <w:tc>
                <w:tcPr>
                  <w:tcW w:w="560" w:type="pct"/>
                  <w:tcBorders>
                    <w:tl2br w:val="nil"/>
                    <w:tr2bl w:val="nil"/>
                  </w:tcBorders>
                  <w:noWrap w:val="0"/>
                  <w:vAlign w:val="center"/>
                </w:tcPr>
                <w:p w14:paraId="74417A63">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highlight w:val="none"/>
                      <w:u w:val="none" w:color="auto"/>
                    </w:rPr>
                  </w:pPr>
                  <w:r>
                    <w:rPr>
                      <w:rFonts w:ascii="Times New Roman" w:hAnsi="Times New Roman" w:eastAsia="宋体" w:cs="Times New Roman"/>
                      <w:color w:val="auto"/>
                      <w:highlight w:val="none"/>
                      <w:u w:val="none" w:color="auto"/>
                    </w:rPr>
                    <w:t>一般固体废物</w:t>
                  </w:r>
                </w:p>
              </w:tc>
              <w:tc>
                <w:tcPr>
                  <w:tcW w:w="2888" w:type="pct"/>
                  <w:tcBorders>
                    <w:tl2br w:val="nil"/>
                    <w:tr2bl w:val="nil"/>
                  </w:tcBorders>
                  <w:noWrap w:val="0"/>
                  <w:vAlign w:val="center"/>
                </w:tcPr>
                <w:p w14:paraId="6A4D5C8C">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u w:val="none" w:color="auto"/>
                      <w:lang w:val="en-US" w:eastAsia="zh-CN"/>
                    </w:rPr>
                  </w:pPr>
                  <w:r>
                    <w:rPr>
                      <w:rFonts w:hint="eastAsia" w:ascii="Times New Roman" w:hAnsi="Times New Roman" w:eastAsia="宋体" w:cs="Times New Roman"/>
                      <w:color w:val="auto"/>
                      <w:highlight w:val="none"/>
                      <w:u w:val="none" w:color="auto"/>
                      <w:lang w:val="en-US" w:eastAsia="zh-CN"/>
                    </w:rPr>
                    <w:t>设置</w:t>
                  </w:r>
                  <w:r>
                    <w:rPr>
                      <w:rFonts w:hint="eastAsia" w:ascii="Times New Roman" w:hAnsi="Times New Roman" w:eastAsia="宋体" w:cs="Times New Roman"/>
                      <w:color w:val="auto"/>
                      <w:highlight w:val="none"/>
                      <w:u w:val="none" w:color="auto"/>
                    </w:rPr>
                    <w:t>一般固废</w:t>
                  </w:r>
                  <w:r>
                    <w:rPr>
                      <w:rFonts w:hint="eastAsia" w:ascii="Times New Roman" w:hAnsi="Times New Roman" w:eastAsia="宋体" w:cs="Times New Roman"/>
                      <w:color w:val="auto"/>
                      <w:highlight w:val="none"/>
                      <w:u w:val="none" w:color="auto"/>
                      <w:lang w:val="en-US" w:eastAsia="zh-CN"/>
                    </w:rPr>
                    <w:t>暂存区</w:t>
                  </w:r>
                  <w:r>
                    <w:rPr>
                      <w:rFonts w:hint="default" w:ascii="Times New Roman" w:hAnsi="Times New Roman" w:eastAsia="宋体" w:cs="Times New Roman"/>
                      <w:color w:val="auto"/>
                      <w:highlight w:val="none"/>
                      <w:u w:val="none" w:color="auto"/>
                      <w:lang w:eastAsia="zh-CN"/>
                    </w:rPr>
                    <w:t>，一般工业固废</w:t>
                  </w:r>
                  <w:r>
                    <w:rPr>
                      <w:rFonts w:hint="default" w:ascii="Times New Roman" w:hAnsi="Times New Roman" w:eastAsia="宋体" w:cs="Times New Roman"/>
                      <w:color w:val="auto"/>
                      <w:highlight w:val="none"/>
                      <w:u w:val="none" w:color="auto"/>
                    </w:rPr>
                    <w:t>分类</w:t>
                  </w:r>
                  <w:r>
                    <w:rPr>
                      <w:rFonts w:hint="default" w:ascii="Times New Roman" w:hAnsi="Times New Roman" w:eastAsia="宋体" w:cs="Times New Roman"/>
                      <w:color w:val="auto"/>
                      <w:highlight w:val="none"/>
                      <w:u w:val="none" w:color="auto"/>
                      <w:lang w:eastAsia="zh-CN"/>
                    </w:rPr>
                    <w:t>收</w:t>
                  </w:r>
                  <w:r>
                    <w:rPr>
                      <w:rFonts w:hint="default" w:ascii="Times New Roman" w:hAnsi="Times New Roman" w:eastAsia="宋体" w:cs="Times New Roman"/>
                      <w:color w:val="auto"/>
                      <w:highlight w:val="none"/>
                      <w:u w:val="none" w:color="auto"/>
                    </w:rPr>
                    <w:t>集</w:t>
                  </w:r>
                  <w:r>
                    <w:rPr>
                      <w:rFonts w:hint="default" w:ascii="Times New Roman" w:hAnsi="Times New Roman" w:eastAsia="宋体" w:cs="Times New Roman"/>
                      <w:color w:val="auto"/>
                      <w:highlight w:val="none"/>
                      <w:u w:val="none" w:color="auto"/>
                      <w:lang w:eastAsia="zh-CN"/>
                    </w:rPr>
                    <w:t>、暂存</w:t>
                  </w:r>
                  <w:r>
                    <w:rPr>
                      <w:rFonts w:hint="default" w:ascii="Times New Roman" w:hAnsi="Times New Roman" w:eastAsia="宋体" w:cs="Times New Roman"/>
                      <w:color w:val="auto"/>
                      <w:highlight w:val="none"/>
                      <w:u w:val="none" w:color="auto"/>
                    </w:rPr>
                    <w:t>后</w:t>
                  </w:r>
                  <w:r>
                    <w:rPr>
                      <w:rFonts w:hint="default" w:ascii="Times New Roman" w:hAnsi="Times New Roman" w:eastAsia="宋体" w:cs="Times New Roman"/>
                      <w:color w:val="auto"/>
                      <w:highlight w:val="none"/>
                      <w:u w:val="none" w:color="auto"/>
                      <w:lang w:eastAsia="zh-CN"/>
                    </w:rPr>
                    <w:t>综合利用</w:t>
                  </w:r>
                </w:p>
              </w:tc>
              <w:tc>
                <w:tcPr>
                  <w:tcW w:w="637" w:type="pct"/>
                  <w:tcBorders>
                    <w:tl2br w:val="nil"/>
                    <w:tr2bl w:val="nil"/>
                  </w:tcBorders>
                  <w:noWrap w:val="0"/>
                  <w:vAlign w:val="center"/>
                </w:tcPr>
                <w:p w14:paraId="724534C5">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u w:val="none" w:color="auto"/>
                      <w:lang w:val="en-US" w:eastAsia="zh-CN"/>
                    </w:rPr>
                  </w:pPr>
                  <w:r>
                    <w:rPr>
                      <w:rFonts w:hint="eastAsia" w:ascii="Times New Roman" w:hAnsi="Times New Roman" w:eastAsia="宋体"/>
                      <w:color w:val="auto"/>
                      <w:highlight w:val="none"/>
                      <w:u w:val="none" w:color="auto"/>
                      <w:lang w:val="en-US" w:eastAsia="zh-CN"/>
                    </w:rPr>
                    <w:t>依托现有工程</w:t>
                  </w:r>
                </w:p>
              </w:tc>
            </w:tr>
          </w:tbl>
          <w:p w14:paraId="188BCC5C">
            <w:pPr>
              <w:pStyle w:val="44"/>
              <w:ind w:left="0" w:leftChars="0" w:firstLine="0" w:firstLineChars="0"/>
              <w:rPr>
                <w:color w:val="000000" w:themeColor="text1"/>
                <w:highlight w:val="none"/>
                <w14:textFill>
                  <w14:solidFill>
                    <w14:schemeClr w14:val="tx1"/>
                  </w14:solidFill>
                </w14:textFill>
              </w:rPr>
            </w:pPr>
          </w:p>
          <w:p w14:paraId="14F9EE88">
            <w:pPr>
              <w:pStyle w:val="44"/>
              <w:ind w:left="0" w:leftChars="0" w:firstLine="0" w:firstLineChars="0"/>
              <w:rPr>
                <w:color w:val="000000" w:themeColor="text1"/>
                <w:highlight w:val="none"/>
                <w14:textFill>
                  <w14:solidFill>
                    <w14:schemeClr w14:val="tx1"/>
                  </w14:solidFill>
                </w14:textFill>
              </w:rPr>
            </w:pPr>
          </w:p>
        </w:tc>
      </w:tr>
      <w:bookmarkEnd w:id="12"/>
    </w:tbl>
    <w:p w14:paraId="44C446F4">
      <w:pPr>
        <w:rPr>
          <w:color w:val="000000" w:themeColor="text1"/>
          <w:highlight w:val="none"/>
          <w14:textFill>
            <w14:solidFill>
              <w14:schemeClr w14:val="tx1"/>
            </w14:solidFill>
          </w14:textFill>
        </w:rPr>
        <w:sectPr>
          <w:pgSz w:w="11905" w:h="16838"/>
          <w:pgMar w:top="1417" w:right="1417" w:bottom="1417" w:left="1417" w:header="851" w:footer="1077" w:gutter="0"/>
          <w:pgBorders>
            <w:top w:val="none" w:sz="0" w:space="0"/>
            <w:left w:val="none" w:sz="0" w:space="0"/>
            <w:bottom w:val="none" w:sz="0" w:space="0"/>
            <w:right w:val="none" w:sz="0" w:space="0"/>
          </w:pgBorders>
          <w:pgNumType w:fmt="decimal"/>
          <w:cols w:space="0" w:num="1"/>
          <w:docGrid w:linePitch="312" w:charSpace="0"/>
        </w:sectPr>
      </w:pPr>
    </w:p>
    <w:tbl>
      <w:tblPr>
        <w:tblStyle w:val="32"/>
        <w:tblW w:w="933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178"/>
      </w:tblGrid>
      <w:tr w14:paraId="37DF7D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vAlign w:val="center"/>
          </w:tcPr>
          <w:p w14:paraId="51FB3FFE">
            <w:pPr>
              <w:pStyle w:val="30"/>
              <w:adjustRightInd w:val="0"/>
              <w:snapToGrid w:val="0"/>
              <w:spacing w:before="0" w:beforeAutospacing="0" w:after="0" w:afterAutospacing="0"/>
              <w:jc w:val="center"/>
              <w:rPr>
                <w:rFonts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建设内容</w:t>
            </w:r>
          </w:p>
        </w:tc>
        <w:tc>
          <w:tcPr>
            <w:tcW w:w="8911" w:type="dxa"/>
          </w:tcPr>
          <w:p w14:paraId="2E513D32">
            <w:pPr>
              <w:pStyle w:val="4"/>
              <w:bidi w:val="0"/>
              <w:ind w:left="720" w:leftChars="0" w:hanging="720" w:firstLineChars="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平面布局</w:t>
            </w:r>
          </w:p>
          <w:p w14:paraId="63A2F2D5">
            <w:pPr>
              <w:pStyle w:val="137"/>
              <w:ind w:firstLine="31680"/>
              <w:rPr>
                <w:rFonts w:hint="eastAsia" w:ascii="Times New Roman" w:hAnsi="Times New Roman" w:eastAsia="宋体"/>
                <w:color w:val="000000" w:themeColor="text1"/>
                <w:szCs w:val="24"/>
                <w:highlight w:val="none"/>
                <w14:textFill>
                  <w14:solidFill>
                    <w14:schemeClr w14:val="tx1"/>
                  </w14:solidFill>
                </w14:textFill>
              </w:rPr>
            </w:pPr>
            <w:r>
              <w:rPr>
                <w:rFonts w:hint="eastAsia" w:ascii="Times New Roman" w:hAnsi="Times New Roman" w:eastAsia="宋体"/>
                <w:color w:val="000000" w:themeColor="text1"/>
                <w:szCs w:val="24"/>
                <w:highlight w:val="none"/>
                <w14:textFill>
                  <w14:solidFill>
                    <w14:schemeClr w14:val="tx1"/>
                  </w14:solidFill>
                </w14:textFill>
              </w:rPr>
              <w:t>项目选址于</w:t>
            </w:r>
            <w:r>
              <w:rPr>
                <w:rFonts w:hint="eastAsia" w:ascii="Times New Roman" w:hAnsi="Times New Roman" w:eastAsia="宋体"/>
                <w:color w:val="000000" w:themeColor="text1"/>
                <w:szCs w:val="24"/>
                <w:highlight w:val="none"/>
                <w:lang w:eastAsia="zh-CN"/>
                <w14:textFill>
                  <w14:solidFill>
                    <w14:schemeClr w14:val="tx1"/>
                  </w14:solidFill>
                </w14:textFill>
              </w:rPr>
              <w:t>福建省福州市闽清县池园镇丽山村</w:t>
            </w:r>
            <w:r>
              <w:rPr>
                <w:rFonts w:hint="eastAsia" w:ascii="Times New Roman" w:hAnsi="Times New Roman" w:eastAsia="宋体"/>
                <w:color w:val="000000" w:themeColor="text1"/>
                <w:szCs w:val="24"/>
                <w:highlight w:val="none"/>
                <w14:textFill>
                  <w14:solidFill>
                    <w14:schemeClr w14:val="tx1"/>
                  </w14:solidFill>
                </w14:textFill>
              </w:rPr>
              <w:t>，</w:t>
            </w:r>
            <w:r>
              <w:rPr>
                <w:rFonts w:hint="eastAsia" w:ascii="Times New Roman" w:hAnsi="Times New Roman" w:eastAsia="宋体"/>
                <w:color w:val="000000" w:themeColor="text1"/>
                <w:szCs w:val="24"/>
                <w:highlight w:val="none"/>
                <w:lang w:val="en-US" w:eastAsia="zh-CN"/>
                <w14:textFill>
                  <w14:solidFill>
                    <w14:schemeClr w14:val="tx1"/>
                  </w14:solidFill>
                </w14:textFill>
              </w:rPr>
              <w:t>场地呈长方形。项目生产区位于场地北部，占地面积约8500m</w:t>
            </w:r>
            <w:r>
              <w:rPr>
                <w:rFonts w:hint="eastAsia" w:ascii="Times New Roman" w:hAnsi="Times New Roman" w:eastAsia="宋体"/>
                <w:color w:val="000000" w:themeColor="text1"/>
                <w:szCs w:val="24"/>
                <w:highlight w:val="none"/>
                <w:vertAlign w:val="superscript"/>
                <w:lang w:val="en-US" w:eastAsia="zh-CN"/>
                <w14:textFill>
                  <w14:solidFill>
                    <w14:schemeClr w14:val="tx1"/>
                  </w14:solidFill>
                </w14:textFill>
              </w:rPr>
              <w:t>2</w:t>
            </w:r>
            <w:r>
              <w:rPr>
                <w:rFonts w:hint="eastAsia" w:ascii="Times New Roman" w:hAnsi="Times New Roman" w:eastAsia="宋体"/>
                <w:color w:val="000000" w:themeColor="text1"/>
                <w:szCs w:val="24"/>
                <w:highlight w:val="none"/>
                <w:lang w:val="en-US" w:eastAsia="zh-CN"/>
                <w14:textFill>
                  <w14:solidFill>
                    <w14:schemeClr w14:val="tx1"/>
                  </w14:solidFill>
                </w14:textFill>
              </w:rPr>
              <w:t>，生产区由西向东依次布置为制浆区、储浆罐、废浆池、釜前等待区、切割区、禁养区、蒸压釜区、成品区等。场地南部设置办公和住宿区，位于生产区上风向。项目</w:t>
            </w:r>
            <w:r>
              <w:rPr>
                <w:rFonts w:hint="eastAsia" w:ascii="Times New Roman" w:hAnsi="Times New Roman" w:eastAsia="宋体"/>
                <w:color w:val="000000" w:themeColor="text1"/>
                <w:szCs w:val="24"/>
                <w:highlight w:val="none"/>
                <w14:textFill>
                  <w14:solidFill>
                    <w14:schemeClr w14:val="tx1"/>
                  </w14:solidFill>
                </w14:textFill>
              </w:rPr>
              <w:t>整体布局紧凑，便于工艺流程的进行；建筑物间留出必要的间距和通道，应符合防火、卫生、安全要求。</w:t>
            </w:r>
          </w:p>
          <w:p w14:paraId="4B72822F">
            <w:pPr>
              <w:pStyle w:val="137"/>
              <w:ind w:firstLine="31680"/>
              <w:rPr>
                <w:rFonts w:hint="eastAsia" w:ascii="Times New Roman" w:hAnsi="Times New Roman" w:eastAsia="宋体"/>
                <w:color w:val="000000" w:themeColor="text1"/>
                <w:szCs w:val="24"/>
                <w:highlight w:val="none"/>
                <w14:textFill>
                  <w14:solidFill>
                    <w14:schemeClr w14:val="tx1"/>
                  </w14:solidFill>
                </w14:textFill>
              </w:rPr>
            </w:pPr>
            <w:r>
              <w:rPr>
                <w:rFonts w:hint="eastAsia" w:ascii="Times New Roman" w:hAnsi="Times New Roman" w:eastAsia="宋体"/>
                <w:color w:val="000000" w:themeColor="text1"/>
                <w:szCs w:val="24"/>
                <w:highlight w:val="none"/>
                <w:lang w:val="en-US" w:eastAsia="zh-CN"/>
                <w14:textFill>
                  <w14:solidFill>
                    <w14:schemeClr w14:val="tx1"/>
                  </w14:solidFill>
                </w14:textFill>
              </w:rPr>
              <w:t>项目环保设施布置情况为：废气收集后设置废气处理装置处处理，处理后引至厂房顶高空排放，对周边敏感目标影响很小。</w:t>
            </w:r>
          </w:p>
          <w:p w14:paraId="6D230C15">
            <w:pPr>
              <w:pStyle w:val="137"/>
              <w:ind w:firstLine="31680"/>
              <w:rPr>
                <w:color w:val="000000" w:themeColor="text1"/>
                <w:highlight w:val="none"/>
                <w14:textFill>
                  <w14:solidFill>
                    <w14:schemeClr w14:val="tx1"/>
                  </w14:solidFill>
                </w14:textFill>
              </w:rPr>
            </w:pPr>
            <w:r>
              <w:rPr>
                <w:rFonts w:hint="eastAsia" w:ascii="Times New Roman" w:hAnsi="Times New Roman" w:eastAsia="宋体"/>
                <w:color w:val="000000" w:themeColor="text1"/>
                <w:szCs w:val="24"/>
                <w:highlight w:val="none"/>
                <w14:textFill>
                  <w14:solidFill>
                    <w14:schemeClr w14:val="tx1"/>
                  </w14:solidFill>
                </w14:textFill>
              </w:rPr>
              <w:t>综上所述，项目平面布置较为合理</w:t>
            </w:r>
            <w:r>
              <w:rPr>
                <w:rFonts w:hint="eastAsia" w:ascii="Times New Roman" w:hAnsi="Times New Roman" w:eastAsia="宋体"/>
                <w:color w:val="000000" w:themeColor="text1"/>
                <w:szCs w:val="24"/>
                <w:highlight w:val="none"/>
                <w:lang w:eastAsia="zh-CN"/>
                <w14:textFill>
                  <w14:solidFill>
                    <w14:schemeClr w14:val="tx1"/>
                  </w14:solidFill>
                </w14:textFill>
              </w:rPr>
              <w:t>。</w:t>
            </w:r>
          </w:p>
          <w:p w14:paraId="25CE2784">
            <w:pPr>
              <w:pStyle w:val="3"/>
              <w:bidi w:val="0"/>
              <w:ind w:left="0" w:leftChars="0" w:firstLine="0" w:firstLineChars="0"/>
              <w:rPr>
                <w:rFonts w:hint="eastAsia"/>
                <w:color w:val="000000" w:themeColor="text1"/>
                <w:highlight w:val="none"/>
                <w14:textFill>
                  <w14:solidFill>
                    <w14:schemeClr w14:val="tx1"/>
                  </w14:solidFill>
                </w14:textFill>
              </w:rPr>
            </w:pPr>
            <w:bookmarkStart w:id="13" w:name="_Toc9977"/>
            <w:bookmarkStart w:id="14" w:name="_Toc24506"/>
            <w:bookmarkStart w:id="15" w:name="_Toc6646"/>
            <w:bookmarkStart w:id="16" w:name="_Toc10081"/>
            <w:r>
              <w:rPr>
                <w:rFonts w:hint="eastAsia"/>
                <w:color w:val="000000" w:themeColor="text1"/>
                <w:highlight w:val="none"/>
                <w14:textFill>
                  <w14:solidFill>
                    <w14:schemeClr w14:val="tx1"/>
                  </w14:solidFill>
                </w14:textFill>
              </w:rPr>
              <w:t>主要生产设备</w:t>
            </w:r>
            <w:bookmarkEnd w:id="13"/>
            <w:bookmarkEnd w:id="14"/>
            <w:bookmarkEnd w:id="15"/>
            <w:bookmarkEnd w:id="16"/>
          </w:p>
          <w:p w14:paraId="764EA68D">
            <w:pPr>
              <w:pStyle w:val="44"/>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本项目主要生产设备</w:t>
            </w:r>
            <w:r>
              <w:rPr>
                <w:rFonts w:hint="eastAsia"/>
                <w:color w:val="000000" w:themeColor="text1"/>
                <w:highlight w:val="none"/>
                <w:lang w:val="en-US" w:eastAsia="zh-CN"/>
                <w14:textFill>
                  <w14:solidFill>
                    <w14:schemeClr w14:val="tx1"/>
                  </w14:solidFill>
                </w14:textFill>
              </w:rPr>
              <w:t>及建成后全厂主要生产设施</w:t>
            </w:r>
            <w:r>
              <w:rPr>
                <w:rFonts w:hint="eastAsia"/>
                <w:color w:val="000000" w:themeColor="text1"/>
                <w:highlight w:val="none"/>
                <w14:textFill>
                  <w14:solidFill>
                    <w14:schemeClr w14:val="tx1"/>
                  </w14:solidFill>
                </w14:textFill>
              </w:rPr>
              <w:t>见下表</w:t>
            </w:r>
            <w:r>
              <w:rPr>
                <w:color w:val="000000" w:themeColor="text1"/>
                <w:highlight w:val="none"/>
                <w14:textFill>
                  <w14:solidFill>
                    <w14:schemeClr w14:val="tx1"/>
                  </w14:solidFill>
                </w14:textFill>
              </w:rPr>
              <w:t>。</w:t>
            </w:r>
          </w:p>
          <w:p w14:paraId="3B2120A5">
            <w:pPr>
              <w:pStyle w:val="42"/>
              <w:keepNext/>
              <w:keepLines/>
              <w:pageBreakBefore w:val="0"/>
              <w:widowControl w:val="0"/>
              <w:kinsoku/>
              <w:wordWrap/>
              <w:overflowPunct/>
              <w:topLinePunct w:val="0"/>
              <w:autoSpaceDE/>
              <w:autoSpaceDN/>
              <w:bidi w:val="0"/>
              <w:adjustRightInd/>
              <w:snapToGrid/>
              <w:spacing w:before="0" w:after="0"/>
              <w:ind w:left="630" w:leftChars="0" w:firstLineChars="0"/>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bookmarkStart w:id="17" w:name="_Ref15628"/>
            <w:bookmarkStart w:id="18" w:name="_Toc20936"/>
            <w:bookmarkStart w:id="19" w:name="_Toc12299"/>
            <w:bookmarkStart w:id="20" w:name="_Toc4944"/>
            <w:bookmarkStart w:id="21" w:name="_Toc25944"/>
            <w:r>
              <w:rPr>
                <w:rFonts w:hint="eastAsia" w:ascii="Times New Roman" w:hAnsi="Times New Roman" w:eastAsia="宋体" w:cs="Times New Roman"/>
                <w:color w:val="000000" w:themeColor="text1"/>
                <w:highlight w:val="none"/>
                <w:lang w:val="en-US" w:eastAsia="zh-CN"/>
                <w14:textFill>
                  <w14:solidFill>
                    <w14:schemeClr w14:val="tx1"/>
                  </w14:solidFill>
                </w14:textFill>
              </w:rPr>
              <w:t>项目生产设备</w:t>
            </w:r>
            <w:bookmarkEnd w:id="17"/>
            <w:r>
              <w:rPr>
                <w:rFonts w:hint="eastAsia" w:ascii="Times New Roman" w:hAnsi="Times New Roman" w:eastAsia="宋体" w:cs="Times New Roman"/>
                <w:color w:val="000000" w:themeColor="text1"/>
                <w:highlight w:val="none"/>
                <w:lang w:val="en-US" w:eastAsia="zh-CN"/>
                <w14:textFill>
                  <w14:solidFill>
                    <w14:schemeClr w14:val="tx1"/>
                  </w14:solidFill>
                </w14:textFill>
              </w:rPr>
              <w:t>清单表</w:t>
            </w:r>
          </w:p>
          <w:tbl>
            <w:tblPr>
              <w:tblStyle w:val="3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8"/>
              <w:gridCol w:w="2546"/>
              <w:gridCol w:w="1290"/>
              <w:gridCol w:w="1088"/>
              <w:gridCol w:w="3155"/>
            </w:tblGrid>
            <w:tr w14:paraId="4379E6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490" w:type="pct"/>
                  <w:tcBorders>
                    <w:bottom w:val="single" w:color="auto" w:sz="12" w:space="0"/>
                  </w:tcBorders>
                  <w:noWrap w:val="0"/>
                  <w:vAlign w:val="center"/>
                </w:tcPr>
                <w:p w14:paraId="2927E2DC">
                  <w:pPr>
                    <w:pStyle w:val="1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aps w:val="0"/>
                      <w:color w:val="000000"/>
                      <w:sz w:val="21"/>
                      <w:szCs w:val="21"/>
                      <w:lang w:val="en-US" w:eastAsia="zh-CN"/>
                    </w:rPr>
                  </w:pPr>
                  <w:r>
                    <w:rPr>
                      <w:rFonts w:hint="default" w:ascii="Times New Roman" w:hAnsi="Times New Roman" w:eastAsia="宋体" w:cs="Times New Roman"/>
                      <w:b/>
                      <w:bCs/>
                      <w:caps w:val="0"/>
                      <w:color w:val="000000"/>
                      <w:sz w:val="21"/>
                      <w:szCs w:val="21"/>
                      <w:lang w:val="en-US" w:eastAsia="zh-CN"/>
                    </w:rPr>
                    <w:t>序号</w:t>
                  </w:r>
                </w:p>
              </w:tc>
              <w:tc>
                <w:tcPr>
                  <w:tcW w:w="1421" w:type="pct"/>
                  <w:tcBorders>
                    <w:bottom w:val="single" w:color="auto" w:sz="12" w:space="0"/>
                  </w:tcBorders>
                  <w:noWrap w:val="0"/>
                  <w:vAlign w:val="center"/>
                </w:tcPr>
                <w:p w14:paraId="6D06ABB4">
                  <w:pPr>
                    <w:pStyle w:val="1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aps w:val="0"/>
                      <w:color w:val="000000"/>
                      <w:sz w:val="21"/>
                      <w:szCs w:val="21"/>
                      <w:lang w:val="en-US" w:eastAsia="zh-CN"/>
                    </w:rPr>
                  </w:pPr>
                  <w:r>
                    <w:rPr>
                      <w:rFonts w:hint="default" w:ascii="Times New Roman" w:hAnsi="Times New Roman" w:eastAsia="宋体" w:cs="Times New Roman"/>
                      <w:b/>
                      <w:bCs/>
                      <w:caps w:val="0"/>
                      <w:color w:val="000000"/>
                      <w:sz w:val="21"/>
                      <w:szCs w:val="21"/>
                      <w:lang w:val="en-US" w:eastAsia="zh-CN"/>
                    </w:rPr>
                    <w:t>设备名称</w:t>
                  </w:r>
                </w:p>
              </w:tc>
              <w:tc>
                <w:tcPr>
                  <w:tcW w:w="720" w:type="pct"/>
                  <w:tcBorders>
                    <w:bottom w:val="single" w:color="auto" w:sz="12" w:space="0"/>
                  </w:tcBorders>
                  <w:noWrap w:val="0"/>
                  <w:vAlign w:val="center"/>
                </w:tcPr>
                <w:p w14:paraId="5E8AEA4E">
                  <w:pPr>
                    <w:pStyle w:val="1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aps w:val="0"/>
                      <w:color w:val="000000"/>
                      <w:sz w:val="21"/>
                      <w:szCs w:val="21"/>
                      <w:lang w:val="en-US" w:eastAsia="zh-CN"/>
                    </w:rPr>
                  </w:pPr>
                  <w:r>
                    <w:rPr>
                      <w:rFonts w:hint="eastAsia" w:ascii="Times New Roman" w:hAnsi="Times New Roman" w:eastAsia="宋体" w:cs="Times New Roman"/>
                      <w:b/>
                      <w:bCs/>
                      <w:caps w:val="0"/>
                      <w:color w:val="000000"/>
                      <w:sz w:val="21"/>
                      <w:szCs w:val="21"/>
                      <w:lang w:val="en-US" w:eastAsia="zh-CN"/>
                    </w:rPr>
                    <w:t>本次扩建设备</w:t>
                  </w:r>
                  <w:r>
                    <w:rPr>
                      <w:rFonts w:hint="default" w:ascii="Times New Roman" w:hAnsi="Times New Roman" w:eastAsia="宋体" w:cs="Times New Roman"/>
                      <w:b/>
                      <w:bCs/>
                      <w:caps w:val="0"/>
                      <w:color w:val="000000"/>
                      <w:sz w:val="21"/>
                      <w:szCs w:val="21"/>
                      <w:lang w:val="en-US" w:eastAsia="zh-CN"/>
                    </w:rPr>
                    <w:t>数量</w:t>
                  </w:r>
                </w:p>
              </w:tc>
              <w:tc>
                <w:tcPr>
                  <w:tcW w:w="607" w:type="pct"/>
                  <w:tcBorders>
                    <w:bottom w:val="single" w:color="auto" w:sz="12" w:space="0"/>
                  </w:tcBorders>
                  <w:noWrap w:val="0"/>
                  <w:vAlign w:val="center"/>
                </w:tcPr>
                <w:p w14:paraId="391001BD">
                  <w:pPr>
                    <w:pStyle w:val="1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aps w:val="0"/>
                      <w:color w:val="000000"/>
                      <w:sz w:val="21"/>
                      <w:szCs w:val="21"/>
                      <w:lang w:val="en-US" w:eastAsia="zh-CN"/>
                    </w:rPr>
                  </w:pPr>
                  <w:r>
                    <w:rPr>
                      <w:rFonts w:hint="default" w:ascii="Times New Roman" w:hAnsi="Times New Roman" w:eastAsia="宋体" w:cs="Times New Roman"/>
                      <w:b/>
                      <w:bCs/>
                      <w:caps w:val="0"/>
                      <w:color w:val="000000"/>
                      <w:sz w:val="21"/>
                      <w:szCs w:val="21"/>
                      <w:lang w:val="en-US" w:eastAsia="zh-CN"/>
                    </w:rPr>
                    <w:t>单位</w:t>
                  </w:r>
                </w:p>
              </w:tc>
              <w:tc>
                <w:tcPr>
                  <w:tcW w:w="1761" w:type="pct"/>
                  <w:tcBorders>
                    <w:bottom w:val="single" w:color="auto" w:sz="12" w:space="0"/>
                  </w:tcBorders>
                  <w:noWrap w:val="0"/>
                  <w:vAlign w:val="center"/>
                </w:tcPr>
                <w:p w14:paraId="4FBDFEAD">
                  <w:pPr>
                    <w:pStyle w:val="1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aps w:val="0"/>
                      <w:color w:val="000000"/>
                      <w:sz w:val="21"/>
                      <w:szCs w:val="21"/>
                      <w:lang w:val="en-US" w:eastAsia="zh-CN"/>
                    </w:rPr>
                  </w:pPr>
                  <w:r>
                    <w:rPr>
                      <w:rFonts w:hint="default" w:ascii="Times New Roman" w:hAnsi="Times New Roman" w:eastAsia="宋体" w:cs="Times New Roman"/>
                      <w:b/>
                      <w:bCs/>
                      <w:caps w:val="0"/>
                      <w:color w:val="000000"/>
                      <w:sz w:val="21"/>
                      <w:szCs w:val="21"/>
                      <w:lang w:val="en-US" w:eastAsia="zh-CN"/>
                    </w:rPr>
                    <w:t>位置</w:t>
                  </w:r>
                </w:p>
              </w:tc>
            </w:tr>
            <w:tr w14:paraId="5FA90B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90" w:type="pct"/>
                  <w:tcBorders>
                    <w:top w:val="single" w:color="auto" w:sz="12" w:space="0"/>
                    <w:tl2br w:val="nil"/>
                    <w:tr2bl w:val="nil"/>
                  </w:tcBorders>
                  <w:noWrap w:val="0"/>
                  <w:vAlign w:val="center"/>
                </w:tcPr>
                <w:p w14:paraId="6208EE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olor w:val="000000"/>
                      <w:sz w:val="21"/>
                      <w:szCs w:val="21"/>
                      <w:highlight w:val="none"/>
                      <w:lang w:val="en-US" w:eastAsia="zh-CN"/>
                    </w:rPr>
                    <w:t>1</w:t>
                  </w:r>
                </w:p>
              </w:tc>
              <w:tc>
                <w:tcPr>
                  <w:tcW w:w="1421" w:type="pct"/>
                  <w:tcBorders>
                    <w:top w:val="single" w:color="auto" w:sz="12" w:space="0"/>
                    <w:tl2br w:val="nil"/>
                    <w:tr2bl w:val="nil"/>
                  </w:tcBorders>
                  <w:noWrap w:val="0"/>
                  <w:vAlign w:val="center"/>
                </w:tcPr>
                <w:p w14:paraId="1CB1D519">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olor w:val="000000"/>
                      <w:kern w:val="2"/>
                      <w:sz w:val="21"/>
                      <w:szCs w:val="21"/>
                      <w:highlight w:val="none"/>
                      <w:lang w:val="en-US" w:eastAsia="zh-CN" w:bidi="ar-SA"/>
                    </w:rPr>
                  </w:pPr>
                  <w:r>
                    <w:rPr>
                      <w:rFonts w:hint="eastAsia" w:ascii="Times New Roman" w:hAnsi="Times New Roman" w:eastAsia="宋体" w:cs="Times New Roman"/>
                      <w:color w:val="auto"/>
                      <w:kern w:val="2"/>
                      <w:sz w:val="21"/>
                      <w:szCs w:val="21"/>
                      <w:lang w:val="en-US" w:eastAsia="zh-CN" w:bidi="ar-SA"/>
                    </w:rPr>
                    <w:t>网笼输送机</w:t>
                  </w:r>
                </w:p>
              </w:tc>
              <w:tc>
                <w:tcPr>
                  <w:tcW w:w="720" w:type="pct"/>
                  <w:tcBorders>
                    <w:top w:val="single" w:color="auto" w:sz="12" w:space="0"/>
                    <w:tl2br w:val="nil"/>
                    <w:tr2bl w:val="nil"/>
                  </w:tcBorders>
                  <w:noWrap w:val="0"/>
                  <w:vAlign w:val="center"/>
                </w:tcPr>
                <w:p w14:paraId="07FD4545">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olor w:val="000000"/>
                      <w:kern w:val="2"/>
                      <w:sz w:val="21"/>
                      <w:szCs w:val="21"/>
                      <w:highlight w:val="none"/>
                      <w:lang w:val="en-US" w:eastAsia="zh-CN" w:bidi="ar-SA"/>
                    </w:rPr>
                  </w:pPr>
                  <w:r>
                    <w:rPr>
                      <w:rFonts w:hint="eastAsia" w:ascii="Times New Roman" w:hAnsi="Times New Roman" w:eastAsia="宋体" w:cs="Times New Roman"/>
                      <w:color w:val="auto"/>
                      <w:spacing w:val="-10"/>
                      <w:kern w:val="2"/>
                      <w:sz w:val="21"/>
                      <w:szCs w:val="21"/>
                      <w:lang w:val="en-US" w:eastAsia="zh-CN" w:bidi="ar-SA"/>
                    </w:rPr>
                    <w:t>1</w:t>
                  </w:r>
                </w:p>
              </w:tc>
              <w:tc>
                <w:tcPr>
                  <w:tcW w:w="607" w:type="pct"/>
                  <w:tcBorders>
                    <w:top w:val="single" w:color="auto" w:sz="12" w:space="0"/>
                    <w:tl2br w:val="nil"/>
                    <w:tr2bl w:val="nil"/>
                  </w:tcBorders>
                  <w:noWrap w:val="0"/>
                  <w:vAlign w:val="center"/>
                </w:tcPr>
                <w:p w14:paraId="58DB9E5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000000"/>
                      <w:kern w:val="2"/>
                      <w:sz w:val="21"/>
                      <w:szCs w:val="21"/>
                      <w:highlight w:val="none"/>
                      <w:lang w:val="en-US" w:eastAsia="zh-CN" w:bidi="ar-SA"/>
                    </w:rPr>
                  </w:pPr>
                  <w:r>
                    <w:rPr>
                      <w:rFonts w:hint="eastAsia" w:ascii="Times New Roman" w:hAnsi="Times New Roman" w:eastAsia="宋体" w:cs="Times New Roman"/>
                      <w:color w:val="auto"/>
                      <w:spacing w:val="-10"/>
                      <w:kern w:val="2"/>
                      <w:sz w:val="21"/>
                      <w:szCs w:val="21"/>
                      <w:lang w:val="en-US" w:eastAsia="zh-CN" w:bidi="ar-SA"/>
                    </w:rPr>
                    <w:t>辆</w:t>
                  </w:r>
                </w:p>
              </w:tc>
              <w:tc>
                <w:tcPr>
                  <w:tcW w:w="1761" w:type="pct"/>
                  <w:tcBorders>
                    <w:top w:val="single" w:color="auto" w:sz="12" w:space="0"/>
                    <w:tl2br w:val="nil"/>
                    <w:tr2bl w:val="nil"/>
                  </w:tcBorders>
                  <w:shd w:val="clear" w:color="auto" w:fill="auto"/>
                  <w:noWrap w:val="0"/>
                  <w:vAlign w:val="center"/>
                </w:tcPr>
                <w:p w14:paraId="1036D2E1">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Cs/>
                      <w:kern w:val="2"/>
                      <w:sz w:val="21"/>
                      <w:szCs w:val="24"/>
                      <w:lang w:val="en-US" w:eastAsia="zh-CN" w:bidi="ar-SA"/>
                    </w:rPr>
                  </w:pPr>
                  <w:r>
                    <w:rPr>
                      <w:rFonts w:hint="eastAsia" w:ascii="Times New Roman" w:hAnsi="Times New Roman" w:eastAsia="宋体" w:cs="Times New Roman"/>
                      <w:bCs/>
                      <w:sz w:val="21"/>
                      <w:szCs w:val="24"/>
                      <w:lang w:val="en-US" w:eastAsia="zh-CN"/>
                    </w:rPr>
                    <w:t>网片焊接组装区</w:t>
                  </w:r>
                </w:p>
              </w:tc>
            </w:tr>
            <w:tr w14:paraId="39B8E8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490" w:type="pct"/>
                  <w:tcBorders>
                    <w:tl2br w:val="nil"/>
                    <w:tr2bl w:val="nil"/>
                  </w:tcBorders>
                  <w:noWrap w:val="0"/>
                  <w:vAlign w:val="center"/>
                </w:tcPr>
                <w:p w14:paraId="78290B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2</w:t>
                  </w:r>
                </w:p>
              </w:tc>
              <w:tc>
                <w:tcPr>
                  <w:tcW w:w="1421" w:type="pct"/>
                  <w:tcBorders>
                    <w:tl2br w:val="nil"/>
                    <w:tr2bl w:val="nil"/>
                  </w:tcBorders>
                  <w:shd w:val="clear" w:color="auto" w:fill="auto"/>
                  <w:noWrap w:val="0"/>
                  <w:vAlign w:val="center"/>
                </w:tcPr>
                <w:p w14:paraId="2ECB65AD">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auto"/>
                      <w:spacing w:val="7"/>
                      <w:kern w:val="2"/>
                      <w:sz w:val="21"/>
                      <w:szCs w:val="21"/>
                      <w:lang w:val="en-US" w:eastAsia="zh-CN" w:bidi="ar-SA"/>
                    </w:rPr>
                    <w:t>双模并跺车</w:t>
                  </w:r>
                </w:p>
              </w:tc>
              <w:tc>
                <w:tcPr>
                  <w:tcW w:w="720" w:type="pct"/>
                  <w:tcBorders>
                    <w:tl2br w:val="nil"/>
                    <w:tr2bl w:val="nil"/>
                  </w:tcBorders>
                  <w:shd w:val="clear" w:color="auto" w:fill="auto"/>
                  <w:noWrap w:val="0"/>
                  <w:vAlign w:val="center"/>
                </w:tcPr>
                <w:p w14:paraId="5EE7C71A">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auto"/>
                      <w:spacing w:val="-10"/>
                      <w:kern w:val="2"/>
                      <w:sz w:val="21"/>
                      <w:szCs w:val="21"/>
                      <w:lang w:val="en-US" w:eastAsia="zh-CN" w:bidi="ar-SA"/>
                    </w:rPr>
                    <w:t>1</w:t>
                  </w:r>
                </w:p>
              </w:tc>
              <w:tc>
                <w:tcPr>
                  <w:tcW w:w="607" w:type="pct"/>
                  <w:tcBorders>
                    <w:tl2br w:val="nil"/>
                    <w:tr2bl w:val="nil"/>
                  </w:tcBorders>
                  <w:shd w:val="clear" w:color="auto" w:fill="auto"/>
                  <w:noWrap w:val="0"/>
                  <w:vAlign w:val="center"/>
                </w:tcPr>
                <w:p w14:paraId="5E08408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olor w:val="000000"/>
                      <w:sz w:val="21"/>
                      <w:szCs w:val="21"/>
                      <w:highlight w:val="none"/>
                      <w:lang w:val="en-US" w:eastAsia="zh-CN"/>
                    </w:rPr>
                    <w:t>台</w:t>
                  </w:r>
                </w:p>
              </w:tc>
              <w:tc>
                <w:tcPr>
                  <w:tcW w:w="1761" w:type="pct"/>
                  <w:tcBorders>
                    <w:tl2br w:val="nil"/>
                    <w:tr2bl w:val="nil"/>
                  </w:tcBorders>
                  <w:shd w:val="clear" w:color="auto" w:fill="auto"/>
                  <w:noWrap w:val="0"/>
                  <w:vAlign w:val="center"/>
                </w:tcPr>
                <w:p w14:paraId="24ABF259">
                  <w:pPr>
                    <w:keepNext w:val="0"/>
                    <w:keepLines w:val="0"/>
                    <w:pageBreakBefore w:val="0"/>
                    <w:widowControl w:val="0"/>
                    <w:kinsoku/>
                    <w:wordWrap/>
                    <w:overflowPunct/>
                    <w:topLinePunct w:val="0"/>
                    <w:autoSpaceDE/>
                    <w:autoSpaceDN/>
                    <w:bidi w:val="0"/>
                    <w:jc w:val="center"/>
                    <w:textAlignment w:val="auto"/>
                    <w:rPr>
                      <w:rFonts w:hint="eastAsia" w:ascii="Times New Roman" w:hAnsi="Times New Roman" w:eastAsia="宋体" w:cs="Times New Roman"/>
                      <w:bCs/>
                      <w:kern w:val="2"/>
                      <w:sz w:val="21"/>
                      <w:szCs w:val="24"/>
                      <w:lang w:val="en-US" w:eastAsia="zh-CN" w:bidi="ar-SA"/>
                    </w:rPr>
                  </w:pPr>
                  <w:r>
                    <w:rPr>
                      <w:rFonts w:hint="eastAsia" w:ascii="Times New Roman" w:hAnsi="Times New Roman" w:eastAsia="宋体" w:cs="Times New Roman"/>
                      <w:bCs/>
                      <w:sz w:val="21"/>
                      <w:szCs w:val="24"/>
                      <w:lang w:val="en-US" w:eastAsia="zh-CN"/>
                    </w:rPr>
                    <w:t>切割区</w:t>
                  </w:r>
                </w:p>
              </w:tc>
            </w:tr>
            <w:tr w14:paraId="24C6F5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13" w:hRule="atLeast"/>
                <w:jc w:val="center"/>
              </w:trPr>
              <w:tc>
                <w:tcPr>
                  <w:tcW w:w="490" w:type="pct"/>
                  <w:tcBorders>
                    <w:tl2br w:val="nil"/>
                    <w:tr2bl w:val="nil"/>
                  </w:tcBorders>
                  <w:noWrap w:val="0"/>
                  <w:vAlign w:val="center"/>
                </w:tcPr>
                <w:p w14:paraId="19AF48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3</w:t>
                  </w:r>
                </w:p>
              </w:tc>
              <w:tc>
                <w:tcPr>
                  <w:tcW w:w="1421" w:type="pct"/>
                  <w:tcBorders>
                    <w:tl2br w:val="nil"/>
                    <w:tr2bl w:val="nil"/>
                  </w:tcBorders>
                  <w:shd w:val="clear" w:color="auto" w:fill="auto"/>
                  <w:noWrap w:val="0"/>
                  <w:vAlign w:val="center"/>
                </w:tcPr>
                <w:p w14:paraId="5C63A789">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auto"/>
                      <w:spacing w:val="2"/>
                      <w:kern w:val="2"/>
                      <w:position w:val="1"/>
                      <w:sz w:val="21"/>
                      <w:szCs w:val="21"/>
                      <w:lang w:val="en-US" w:eastAsia="zh-CN" w:bidi="ar-SA"/>
                    </w:rPr>
                    <w:t>网片烘干吊机</w:t>
                  </w:r>
                </w:p>
              </w:tc>
              <w:tc>
                <w:tcPr>
                  <w:tcW w:w="720" w:type="pct"/>
                  <w:tcBorders>
                    <w:tl2br w:val="nil"/>
                    <w:tr2bl w:val="nil"/>
                  </w:tcBorders>
                  <w:shd w:val="clear" w:color="auto" w:fill="auto"/>
                  <w:noWrap w:val="0"/>
                  <w:vAlign w:val="center"/>
                </w:tcPr>
                <w:p w14:paraId="543F3B86">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auto"/>
                      <w:spacing w:val="-3"/>
                      <w:kern w:val="2"/>
                      <w:sz w:val="21"/>
                      <w:szCs w:val="21"/>
                      <w:lang w:val="en-US" w:eastAsia="zh-CN" w:bidi="ar-SA"/>
                    </w:rPr>
                    <w:t>1</w:t>
                  </w:r>
                </w:p>
              </w:tc>
              <w:tc>
                <w:tcPr>
                  <w:tcW w:w="607" w:type="pct"/>
                  <w:tcBorders>
                    <w:tl2br w:val="nil"/>
                    <w:tr2bl w:val="nil"/>
                  </w:tcBorders>
                  <w:shd w:val="clear" w:color="auto" w:fill="auto"/>
                  <w:noWrap w:val="0"/>
                  <w:vAlign w:val="center"/>
                </w:tcPr>
                <w:p w14:paraId="216292A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olor w:val="000000"/>
                      <w:sz w:val="21"/>
                      <w:szCs w:val="21"/>
                      <w:highlight w:val="none"/>
                      <w:lang w:val="en-US" w:eastAsia="zh-CN"/>
                    </w:rPr>
                    <w:t>台</w:t>
                  </w:r>
                </w:p>
              </w:tc>
              <w:tc>
                <w:tcPr>
                  <w:tcW w:w="1761" w:type="pct"/>
                  <w:tcBorders>
                    <w:tl2br w:val="nil"/>
                    <w:tr2bl w:val="nil"/>
                  </w:tcBorders>
                  <w:shd w:val="clear" w:color="auto" w:fill="auto"/>
                  <w:noWrap w:val="0"/>
                  <w:vAlign w:val="center"/>
                </w:tcPr>
                <w:p w14:paraId="4C503747">
                  <w:pPr>
                    <w:keepNext w:val="0"/>
                    <w:keepLines w:val="0"/>
                    <w:pageBreakBefore w:val="0"/>
                    <w:widowControl w:val="0"/>
                    <w:kinsoku/>
                    <w:wordWrap/>
                    <w:overflowPunct/>
                    <w:topLinePunct w:val="0"/>
                    <w:autoSpaceDE/>
                    <w:autoSpaceDN/>
                    <w:bidi w:val="0"/>
                    <w:jc w:val="center"/>
                    <w:textAlignment w:val="auto"/>
                    <w:rPr>
                      <w:rFonts w:hint="eastAsia" w:ascii="Times New Roman" w:hAnsi="Times New Roman" w:eastAsia="宋体" w:cs="Times New Roman"/>
                      <w:bCs/>
                      <w:kern w:val="2"/>
                      <w:sz w:val="21"/>
                      <w:szCs w:val="24"/>
                      <w:lang w:val="en-US" w:eastAsia="zh-CN" w:bidi="ar-SA"/>
                    </w:rPr>
                  </w:pPr>
                  <w:r>
                    <w:rPr>
                      <w:rFonts w:hint="eastAsia" w:ascii="Times New Roman" w:hAnsi="Times New Roman" w:eastAsia="宋体" w:cs="Times New Roman"/>
                      <w:bCs/>
                      <w:sz w:val="21"/>
                      <w:szCs w:val="24"/>
                      <w:lang w:val="en-US" w:eastAsia="zh-CN"/>
                    </w:rPr>
                    <w:t>网片焊接组装区</w:t>
                  </w:r>
                </w:p>
              </w:tc>
            </w:tr>
            <w:tr w14:paraId="7F0CEB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90" w:type="pct"/>
                  <w:tcBorders>
                    <w:tl2br w:val="nil"/>
                    <w:tr2bl w:val="nil"/>
                  </w:tcBorders>
                  <w:noWrap w:val="0"/>
                  <w:vAlign w:val="center"/>
                </w:tcPr>
                <w:p w14:paraId="0946D4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000000"/>
                      <w:kern w:val="2"/>
                      <w:sz w:val="21"/>
                      <w:szCs w:val="21"/>
                      <w:highlight w:val="none"/>
                      <w:lang w:val="en-US" w:eastAsia="zh-CN" w:bidi="ar-SA"/>
                    </w:rPr>
                  </w:pPr>
                  <w:r>
                    <w:rPr>
                      <w:rFonts w:hint="eastAsia" w:ascii="Times New Roman" w:hAnsi="Times New Roman" w:eastAsia="宋体"/>
                      <w:color w:val="000000"/>
                      <w:sz w:val="21"/>
                      <w:szCs w:val="21"/>
                      <w:highlight w:val="none"/>
                      <w:lang w:val="en-US" w:eastAsia="zh-CN"/>
                    </w:rPr>
                    <w:t>4</w:t>
                  </w:r>
                </w:p>
              </w:tc>
              <w:tc>
                <w:tcPr>
                  <w:tcW w:w="1421" w:type="pct"/>
                  <w:tcBorders>
                    <w:tl2br w:val="nil"/>
                    <w:tr2bl w:val="nil"/>
                  </w:tcBorders>
                  <w:shd w:val="clear" w:color="auto" w:fill="auto"/>
                  <w:noWrap w:val="0"/>
                  <w:vAlign w:val="center"/>
                </w:tcPr>
                <w:p w14:paraId="394CEC08">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auto"/>
                      <w:spacing w:val="6"/>
                      <w:kern w:val="2"/>
                      <w:sz w:val="21"/>
                      <w:szCs w:val="21"/>
                      <w:lang w:val="en-US" w:eastAsia="zh-CN" w:bidi="ar-SA"/>
                    </w:rPr>
                    <w:t>插拔钎吊机</w:t>
                  </w:r>
                </w:p>
              </w:tc>
              <w:tc>
                <w:tcPr>
                  <w:tcW w:w="720" w:type="pct"/>
                  <w:tcBorders>
                    <w:tl2br w:val="nil"/>
                    <w:tr2bl w:val="nil"/>
                  </w:tcBorders>
                  <w:shd w:val="clear" w:color="auto" w:fill="auto"/>
                  <w:noWrap w:val="0"/>
                  <w:vAlign w:val="center"/>
                </w:tcPr>
                <w:p w14:paraId="148CD87B">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auto"/>
                      <w:spacing w:val="-10"/>
                      <w:kern w:val="2"/>
                      <w:sz w:val="21"/>
                      <w:szCs w:val="21"/>
                      <w:lang w:val="en-US" w:eastAsia="zh-CN" w:bidi="ar-SA"/>
                    </w:rPr>
                    <w:t>1</w:t>
                  </w:r>
                </w:p>
              </w:tc>
              <w:tc>
                <w:tcPr>
                  <w:tcW w:w="607" w:type="pct"/>
                  <w:tcBorders>
                    <w:tl2br w:val="nil"/>
                    <w:tr2bl w:val="nil"/>
                  </w:tcBorders>
                  <w:shd w:val="clear" w:color="auto" w:fill="auto"/>
                  <w:noWrap w:val="0"/>
                  <w:vAlign w:val="center"/>
                </w:tcPr>
                <w:p w14:paraId="3547699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olor w:val="000000"/>
                      <w:sz w:val="21"/>
                      <w:szCs w:val="21"/>
                      <w:highlight w:val="none"/>
                      <w:lang w:val="en-US" w:eastAsia="zh-CN"/>
                    </w:rPr>
                    <w:t>台</w:t>
                  </w:r>
                </w:p>
              </w:tc>
              <w:tc>
                <w:tcPr>
                  <w:tcW w:w="1761" w:type="pct"/>
                  <w:tcBorders>
                    <w:tl2br w:val="nil"/>
                    <w:tr2bl w:val="nil"/>
                  </w:tcBorders>
                  <w:shd w:val="clear" w:color="auto" w:fill="auto"/>
                  <w:noWrap w:val="0"/>
                  <w:vAlign w:val="center"/>
                </w:tcPr>
                <w:p w14:paraId="0C02B04A">
                  <w:pPr>
                    <w:keepNext w:val="0"/>
                    <w:keepLines w:val="0"/>
                    <w:pageBreakBefore w:val="0"/>
                    <w:widowControl w:val="0"/>
                    <w:kinsoku/>
                    <w:wordWrap/>
                    <w:overflowPunct/>
                    <w:topLinePunct w:val="0"/>
                    <w:autoSpaceDE/>
                    <w:autoSpaceDN/>
                    <w:bidi w:val="0"/>
                    <w:jc w:val="center"/>
                    <w:textAlignment w:val="auto"/>
                    <w:rPr>
                      <w:rFonts w:hint="eastAsia" w:ascii="Times New Roman" w:hAnsi="Times New Roman" w:eastAsia="宋体" w:cs="Times New Roman"/>
                      <w:bCs/>
                      <w:kern w:val="2"/>
                      <w:sz w:val="21"/>
                      <w:szCs w:val="24"/>
                      <w:lang w:val="en-US" w:eastAsia="zh-CN" w:bidi="ar-SA"/>
                    </w:rPr>
                  </w:pPr>
                  <w:r>
                    <w:rPr>
                      <w:rFonts w:hint="eastAsia" w:ascii="Times New Roman" w:hAnsi="Times New Roman" w:eastAsia="宋体" w:cs="Times New Roman"/>
                      <w:bCs/>
                      <w:sz w:val="21"/>
                      <w:szCs w:val="24"/>
                      <w:lang w:val="en-US" w:eastAsia="zh-CN"/>
                    </w:rPr>
                    <w:t>网片焊接组装区</w:t>
                  </w:r>
                </w:p>
              </w:tc>
            </w:tr>
            <w:tr w14:paraId="798AA3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490" w:type="pct"/>
                  <w:tcBorders>
                    <w:tl2br w:val="nil"/>
                    <w:tr2bl w:val="nil"/>
                  </w:tcBorders>
                  <w:noWrap w:val="0"/>
                  <w:vAlign w:val="center"/>
                </w:tcPr>
                <w:p w14:paraId="20A66A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000000"/>
                      <w:kern w:val="2"/>
                      <w:sz w:val="21"/>
                      <w:szCs w:val="21"/>
                      <w:highlight w:val="none"/>
                      <w:lang w:val="en-US" w:eastAsia="zh-CN" w:bidi="ar-SA"/>
                    </w:rPr>
                  </w:pPr>
                  <w:r>
                    <w:rPr>
                      <w:rFonts w:hint="eastAsia" w:ascii="Times New Roman" w:hAnsi="Times New Roman" w:eastAsia="宋体"/>
                      <w:color w:val="000000"/>
                      <w:sz w:val="21"/>
                      <w:szCs w:val="21"/>
                      <w:highlight w:val="none"/>
                      <w:lang w:val="en-US" w:eastAsia="zh-CN"/>
                    </w:rPr>
                    <w:t>5</w:t>
                  </w:r>
                </w:p>
              </w:tc>
              <w:tc>
                <w:tcPr>
                  <w:tcW w:w="1421" w:type="pct"/>
                  <w:tcBorders>
                    <w:tl2br w:val="nil"/>
                    <w:tr2bl w:val="nil"/>
                  </w:tcBorders>
                  <w:shd w:val="clear" w:color="auto" w:fill="auto"/>
                  <w:noWrap w:val="0"/>
                  <w:vAlign w:val="center"/>
                </w:tcPr>
                <w:p w14:paraId="5629C42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auto"/>
                      <w:spacing w:val="2"/>
                      <w:kern w:val="2"/>
                      <w:position w:val="1"/>
                      <w:sz w:val="21"/>
                      <w:szCs w:val="21"/>
                      <w:lang w:val="en-US" w:eastAsia="zh-CN" w:bidi="ar-SA"/>
                    </w:rPr>
                    <w:t>全自动无托打包线</w:t>
                  </w:r>
                </w:p>
              </w:tc>
              <w:tc>
                <w:tcPr>
                  <w:tcW w:w="720" w:type="pct"/>
                  <w:tcBorders>
                    <w:tl2br w:val="nil"/>
                    <w:tr2bl w:val="nil"/>
                  </w:tcBorders>
                  <w:shd w:val="clear" w:color="auto" w:fill="auto"/>
                  <w:noWrap w:val="0"/>
                  <w:vAlign w:val="center"/>
                </w:tcPr>
                <w:p w14:paraId="767D752C">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607" w:type="pct"/>
                  <w:tcBorders>
                    <w:tl2br w:val="nil"/>
                    <w:tr2bl w:val="nil"/>
                  </w:tcBorders>
                  <w:shd w:val="clear" w:color="auto" w:fill="auto"/>
                  <w:noWrap w:val="0"/>
                  <w:vAlign w:val="center"/>
                </w:tcPr>
                <w:p w14:paraId="4530F2C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auto"/>
                      <w:kern w:val="2"/>
                      <w:sz w:val="21"/>
                      <w:szCs w:val="21"/>
                      <w:lang w:val="en-US" w:eastAsia="zh-CN" w:bidi="ar-SA"/>
                    </w:rPr>
                    <w:t>套</w:t>
                  </w:r>
                </w:p>
              </w:tc>
              <w:tc>
                <w:tcPr>
                  <w:tcW w:w="1761" w:type="pct"/>
                  <w:tcBorders>
                    <w:tl2br w:val="nil"/>
                    <w:tr2bl w:val="nil"/>
                  </w:tcBorders>
                  <w:shd w:val="clear" w:color="auto" w:fill="auto"/>
                  <w:noWrap w:val="0"/>
                  <w:vAlign w:val="center"/>
                </w:tcPr>
                <w:p w14:paraId="1CEC832D">
                  <w:pPr>
                    <w:keepNext w:val="0"/>
                    <w:keepLines w:val="0"/>
                    <w:pageBreakBefore w:val="0"/>
                    <w:widowControl w:val="0"/>
                    <w:kinsoku/>
                    <w:wordWrap/>
                    <w:overflowPunct/>
                    <w:topLinePunct w:val="0"/>
                    <w:autoSpaceDE/>
                    <w:autoSpaceDN/>
                    <w:bidi w:val="0"/>
                    <w:jc w:val="center"/>
                    <w:textAlignment w:val="auto"/>
                    <w:rPr>
                      <w:rFonts w:hint="eastAsia" w:ascii="Times New Roman" w:hAnsi="Times New Roman" w:eastAsia="宋体" w:cs="Times New Roman"/>
                      <w:bCs/>
                      <w:kern w:val="2"/>
                      <w:sz w:val="21"/>
                      <w:szCs w:val="24"/>
                      <w:lang w:val="en-US" w:eastAsia="zh-CN" w:bidi="ar-SA"/>
                    </w:rPr>
                  </w:pPr>
                  <w:r>
                    <w:rPr>
                      <w:rFonts w:hint="eastAsia" w:ascii="Times New Roman" w:hAnsi="Times New Roman" w:eastAsia="宋体" w:cs="Times New Roman"/>
                      <w:bCs/>
                      <w:sz w:val="21"/>
                      <w:szCs w:val="24"/>
                      <w:lang w:val="en-US" w:eastAsia="zh-CN"/>
                    </w:rPr>
                    <w:t>打包区</w:t>
                  </w:r>
                </w:p>
              </w:tc>
            </w:tr>
            <w:tr w14:paraId="6E22C7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490" w:type="pct"/>
                  <w:tcBorders>
                    <w:tl2br w:val="nil"/>
                    <w:tr2bl w:val="nil"/>
                  </w:tcBorders>
                  <w:noWrap w:val="0"/>
                  <w:vAlign w:val="center"/>
                </w:tcPr>
                <w:p w14:paraId="3A8CCF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6</w:t>
                  </w:r>
                </w:p>
              </w:tc>
              <w:tc>
                <w:tcPr>
                  <w:tcW w:w="1421" w:type="pct"/>
                  <w:tcBorders>
                    <w:tl2br w:val="nil"/>
                    <w:tr2bl w:val="nil"/>
                  </w:tcBorders>
                  <w:shd w:val="clear" w:color="auto" w:fill="auto"/>
                  <w:noWrap w:val="0"/>
                  <w:vAlign w:val="center"/>
                </w:tcPr>
                <w:p w14:paraId="0454F8F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2"/>
                      <w:kern w:val="2"/>
                      <w:position w:val="1"/>
                      <w:sz w:val="21"/>
                      <w:szCs w:val="21"/>
                      <w:lang w:val="en-US" w:eastAsia="zh-CN" w:bidi="ar-SA"/>
                    </w:rPr>
                  </w:pPr>
                  <w:r>
                    <w:rPr>
                      <w:rFonts w:hint="eastAsia" w:ascii="Times New Roman" w:hAnsi="Times New Roman" w:eastAsia="宋体" w:cs="Times New Roman"/>
                      <w:color w:val="auto"/>
                      <w:spacing w:val="2"/>
                      <w:kern w:val="2"/>
                      <w:position w:val="1"/>
                      <w:sz w:val="21"/>
                      <w:szCs w:val="21"/>
                      <w:lang w:val="en-US" w:eastAsia="zh-CN" w:bidi="ar-SA"/>
                    </w:rPr>
                    <w:t>燃生物质锅炉（12t/h）</w:t>
                  </w:r>
                </w:p>
              </w:tc>
              <w:tc>
                <w:tcPr>
                  <w:tcW w:w="720" w:type="pct"/>
                  <w:tcBorders>
                    <w:tl2br w:val="nil"/>
                    <w:tr2bl w:val="nil"/>
                  </w:tcBorders>
                  <w:shd w:val="clear" w:color="auto" w:fill="auto"/>
                  <w:noWrap w:val="0"/>
                  <w:vAlign w:val="center"/>
                </w:tcPr>
                <w:p w14:paraId="16FA40A5">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607" w:type="pct"/>
                  <w:tcBorders>
                    <w:tl2br w:val="nil"/>
                    <w:tr2bl w:val="nil"/>
                  </w:tcBorders>
                  <w:shd w:val="clear" w:color="auto" w:fill="auto"/>
                  <w:noWrap w:val="0"/>
                  <w:vAlign w:val="center"/>
                </w:tcPr>
                <w:p w14:paraId="20CA480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台</w:t>
                  </w:r>
                </w:p>
              </w:tc>
              <w:tc>
                <w:tcPr>
                  <w:tcW w:w="1761" w:type="pct"/>
                  <w:tcBorders>
                    <w:tl2br w:val="nil"/>
                    <w:tr2bl w:val="nil"/>
                  </w:tcBorders>
                  <w:shd w:val="clear" w:color="auto" w:fill="auto"/>
                  <w:noWrap w:val="0"/>
                  <w:vAlign w:val="center"/>
                </w:tcPr>
                <w:p w14:paraId="4D5C825F">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Cs/>
                      <w:sz w:val="21"/>
                      <w:szCs w:val="24"/>
                      <w:lang w:val="en-US" w:eastAsia="zh-CN"/>
                    </w:rPr>
                  </w:pPr>
                  <w:r>
                    <w:rPr>
                      <w:rFonts w:hint="eastAsia" w:ascii="Times New Roman" w:hAnsi="Times New Roman" w:eastAsia="宋体" w:cs="Times New Roman"/>
                      <w:bCs/>
                      <w:sz w:val="21"/>
                      <w:szCs w:val="24"/>
                      <w:lang w:val="en-US" w:eastAsia="zh-CN"/>
                    </w:rPr>
                    <w:t>燃生物质锅炉区</w:t>
                  </w:r>
                </w:p>
              </w:tc>
            </w:tr>
          </w:tbl>
          <w:p w14:paraId="434CAA35"/>
          <w:p w14:paraId="607C4288">
            <w:pPr>
              <w:pStyle w:val="3"/>
              <w:bidi w:val="0"/>
              <w:ind w:left="0" w:leftChars="0" w:firstLine="0" w:firstLineChars="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主要原辅材料</w:t>
            </w:r>
            <w:bookmarkEnd w:id="18"/>
            <w:bookmarkEnd w:id="19"/>
            <w:bookmarkEnd w:id="20"/>
            <w:bookmarkEnd w:id="21"/>
            <w:r>
              <w:rPr>
                <w:rFonts w:hint="eastAsia"/>
                <w:color w:val="000000" w:themeColor="text1"/>
                <w:highlight w:val="none"/>
                <w14:textFill>
                  <w14:solidFill>
                    <w14:schemeClr w14:val="tx1"/>
                  </w14:solidFill>
                </w14:textFill>
              </w:rPr>
              <w:t>及能源消耗</w:t>
            </w:r>
          </w:p>
          <w:p w14:paraId="6BB06368">
            <w:pPr>
              <w:pStyle w:val="44"/>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（1）主要原辅材料</w:t>
            </w:r>
          </w:p>
          <w:p w14:paraId="4FAC52F8">
            <w:pPr>
              <w:pStyle w:val="44"/>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w:t>
            </w:r>
            <w:r>
              <w:rPr>
                <w:color w:val="000000" w:themeColor="text1"/>
                <w:highlight w:val="none"/>
                <w14:textFill>
                  <w14:solidFill>
                    <w14:schemeClr w14:val="tx1"/>
                  </w14:solidFill>
                </w14:textFill>
              </w:rPr>
              <w:t>主要原辅材料用量见</w:t>
            </w:r>
            <w:r>
              <w:rPr>
                <w:rFonts w:hint="eastAsia"/>
                <w:color w:val="000000" w:themeColor="text1"/>
                <w:highlight w:val="none"/>
                <w14:textFill>
                  <w14:solidFill>
                    <w14:schemeClr w14:val="tx1"/>
                  </w14:solidFill>
                </w14:textFill>
              </w:rPr>
              <w:t>下表</w:t>
            </w:r>
            <w:r>
              <w:rPr>
                <w:color w:val="000000" w:themeColor="text1"/>
                <w:highlight w:val="none"/>
                <w14:textFill>
                  <w14:solidFill>
                    <w14:schemeClr w14:val="tx1"/>
                  </w14:solidFill>
                </w14:textFill>
              </w:rPr>
              <w:t>。</w:t>
            </w:r>
          </w:p>
          <w:p w14:paraId="0A5E6A0C">
            <w:pPr>
              <w:pStyle w:val="42"/>
              <w:keepNext/>
              <w:keepLines/>
              <w:pageBreakBefore w:val="0"/>
              <w:widowControl w:val="0"/>
              <w:kinsoku/>
              <w:wordWrap/>
              <w:overflowPunct/>
              <w:topLinePunct w:val="0"/>
              <w:autoSpaceDE/>
              <w:autoSpaceDN/>
              <w:bidi w:val="0"/>
              <w:adjustRightInd/>
              <w:snapToGrid/>
              <w:spacing w:before="0" w:after="0"/>
              <w:ind w:left="630" w:leftChars="0" w:firstLineChars="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主要原辅材料预计消耗一览表</w:t>
            </w:r>
          </w:p>
          <w:tbl>
            <w:tblPr>
              <w:tblStyle w:val="32"/>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266"/>
              <w:gridCol w:w="1557"/>
              <w:gridCol w:w="1804"/>
              <w:gridCol w:w="1056"/>
              <w:gridCol w:w="2007"/>
              <w:gridCol w:w="1267"/>
            </w:tblGrid>
            <w:tr w14:paraId="53C0C1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63" w:type="pct"/>
                  <w:tcBorders>
                    <w:bottom w:val="single" w:color="000000" w:sz="12" w:space="0"/>
                  </w:tcBorders>
                  <w:shd w:val="clear" w:color="auto" w:fill="auto"/>
                  <w:noWrap/>
                  <w:vAlign w:val="center"/>
                </w:tcPr>
                <w:p w14:paraId="3342CF3D">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原材料名称</w:t>
                  </w:r>
                </w:p>
              </w:tc>
              <w:tc>
                <w:tcPr>
                  <w:tcW w:w="993" w:type="pct"/>
                  <w:tcBorders>
                    <w:bottom w:val="single" w:color="000000" w:sz="12" w:space="0"/>
                  </w:tcBorders>
                  <w:shd w:val="clear" w:color="auto" w:fill="auto"/>
                  <w:noWrap/>
                  <w:vAlign w:val="center"/>
                </w:tcPr>
                <w:p w14:paraId="53A48A20">
                  <w:pPr>
                    <w:widowControl/>
                    <w:jc w:val="center"/>
                    <w:textAlignment w:val="center"/>
                    <w:rPr>
                      <w:rFonts w:hint="default" w:ascii="Times New Roman" w:hAnsi="Times New Roman" w:eastAsia="宋体" w:cs="Times New Roman"/>
                      <w:color w:val="auto"/>
                      <w:kern w:val="0"/>
                      <w:szCs w:val="21"/>
                      <w:lang w:val="en-US" w:eastAsia="zh-CN" w:bidi="ar"/>
                    </w:rPr>
                  </w:pPr>
                  <w:r>
                    <w:rPr>
                      <w:rFonts w:hint="eastAsia" w:ascii="Times New Roman" w:hAnsi="Times New Roman" w:eastAsia="宋体" w:cs="Times New Roman"/>
                      <w:color w:val="auto"/>
                      <w:kern w:val="0"/>
                      <w:szCs w:val="21"/>
                      <w:lang w:val="en-US" w:eastAsia="zh-CN" w:bidi="ar"/>
                    </w:rPr>
                    <w:t>工艺配比</w:t>
                  </w:r>
                </w:p>
              </w:tc>
              <w:tc>
                <w:tcPr>
                  <w:tcW w:w="1131" w:type="pct"/>
                  <w:tcBorders>
                    <w:bottom w:val="single" w:color="000000" w:sz="12" w:space="0"/>
                  </w:tcBorders>
                  <w:shd w:val="clear" w:color="auto" w:fill="auto"/>
                  <w:noWrap/>
                  <w:vAlign w:val="center"/>
                </w:tcPr>
                <w:p w14:paraId="38B5224B">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年</w:t>
                  </w:r>
                  <w:r>
                    <w:rPr>
                      <w:rFonts w:hint="eastAsia" w:ascii="Times New Roman" w:hAnsi="Times New Roman" w:eastAsia="宋体" w:cs="Times New Roman"/>
                      <w:color w:val="000000"/>
                      <w:kern w:val="0"/>
                      <w:szCs w:val="21"/>
                      <w:lang w:bidi="ar"/>
                    </w:rPr>
                    <w:t>消耗</w:t>
                  </w:r>
                  <w:r>
                    <w:rPr>
                      <w:rFonts w:ascii="Times New Roman" w:hAnsi="Times New Roman" w:eastAsia="宋体" w:cs="Times New Roman"/>
                      <w:color w:val="000000"/>
                      <w:kern w:val="0"/>
                      <w:szCs w:val="21"/>
                      <w:lang w:bidi="ar"/>
                    </w:rPr>
                    <w:t>量</w:t>
                  </w:r>
                  <w:r>
                    <w:rPr>
                      <w:rFonts w:hint="eastAsia" w:ascii="Times New Roman" w:hAnsi="Times New Roman" w:eastAsia="宋体" w:cs="Times New Roman"/>
                      <w:color w:val="000000"/>
                      <w:kern w:val="0"/>
                      <w:szCs w:val="21"/>
                      <w:lang w:bidi="ar"/>
                    </w:rPr>
                    <w:t>t/a</w:t>
                  </w:r>
                </w:p>
              </w:tc>
              <w:tc>
                <w:tcPr>
                  <w:tcW w:w="553" w:type="pct"/>
                  <w:tcBorders>
                    <w:bottom w:val="single" w:color="000000" w:sz="12" w:space="0"/>
                  </w:tcBorders>
                  <w:shd w:val="clear" w:color="auto" w:fill="auto"/>
                  <w:noWrap/>
                  <w:vAlign w:val="center"/>
                </w:tcPr>
                <w:p w14:paraId="17F170F0">
                  <w:pPr>
                    <w:pStyle w:val="123"/>
                    <w:tabs>
                      <w:tab w:val="left" w:pos="-2848"/>
                    </w:tabs>
                    <w:spacing w:line="240" w:lineRule="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物理形态</w:t>
                  </w:r>
                </w:p>
              </w:tc>
              <w:tc>
                <w:tcPr>
                  <w:tcW w:w="994" w:type="pct"/>
                  <w:tcBorders>
                    <w:bottom w:val="single" w:color="000000" w:sz="12" w:space="0"/>
                  </w:tcBorders>
                  <w:shd w:val="clear" w:color="auto" w:fill="auto"/>
                  <w:noWrap/>
                  <w:vAlign w:val="center"/>
                </w:tcPr>
                <w:p w14:paraId="55A6DF8B">
                  <w:pPr>
                    <w:pStyle w:val="123"/>
                    <w:tabs>
                      <w:tab w:val="left" w:pos="-2848"/>
                    </w:tabs>
                    <w:spacing w:line="240" w:lineRule="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厂区内最大存储量</w:t>
                  </w:r>
                  <w:r>
                    <w:rPr>
                      <w:rFonts w:hint="eastAsia" w:eastAsia="宋体" w:cs="Times New Roman"/>
                      <w:color w:val="auto"/>
                      <w:kern w:val="0"/>
                      <w:szCs w:val="21"/>
                      <w:lang w:val="en-US" w:eastAsia="zh-CN"/>
                    </w:rPr>
                    <w:t>t</w:t>
                  </w:r>
                </w:p>
              </w:tc>
              <w:tc>
                <w:tcPr>
                  <w:tcW w:w="663" w:type="pct"/>
                  <w:tcBorders>
                    <w:bottom w:val="single" w:color="000000" w:sz="12" w:space="0"/>
                  </w:tcBorders>
                  <w:shd w:val="clear" w:color="auto" w:fill="auto"/>
                  <w:noWrap/>
                  <w:vAlign w:val="center"/>
                </w:tcPr>
                <w:p w14:paraId="24866AED">
                  <w:pPr>
                    <w:pStyle w:val="123"/>
                    <w:tabs>
                      <w:tab w:val="left" w:pos="-2848"/>
                    </w:tabs>
                    <w:spacing w:line="240" w:lineRule="auto"/>
                    <w:rPr>
                      <w:rFonts w:ascii="Times New Roman" w:hAnsi="Times New Roman" w:eastAsia="宋体" w:cs="Times New Roman"/>
                      <w:color w:val="000000"/>
                      <w:kern w:val="0"/>
                      <w:szCs w:val="21"/>
                    </w:rPr>
                  </w:pPr>
                  <w:r>
                    <w:rPr>
                      <w:rFonts w:ascii="Times New Roman" w:hAnsi="Times New Roman" w:eastAsia="宋体" w:cs="Times New Roman"/>
                      <w:color w:val="000000"/>
                      <w:szCs w:val="21"/>
                    </w:rPr>
                    <w:t>储存类型</w:t>
                  </w:r>
                </w:p>
              </w:tc>
            </w:tr>
            <w:tr w14:paraId="7FF173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9" w:hRule="atLeast"/>
                <w:jc w:val="center"/>
              </w:trPr>
              <w:tc>
                <w:tcPr>
                  <w:tcW w:w="663" w:type="pct"/>
                  <w:tcBorders>
                    <w:top w:val="single" w:color="000000" w:sz="12" w:space="0"/>
                    <w:tl2br w:val="nil"/>
                    <w:tr2bl w:val="nil"/>
                  </w:tcBorders>
                  <w:shd w:val="clear" w:color="auto" w:fill="auto"/>
                  <w:noWrap/>
                  <w:vAlign w:val="center"/>
                </w:tcPr>
                <w:p w14:paraId="24C700A0">
                  <w:pPr>
                    <w:widowControl/>
                    <w:jc w:val="center"/>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kern w:val="0"/>
                      <w:szCs w:val="21"/>
                      <w:lang w:bidi="ar"/>
                    </w:rPr>
                    <w:t>块状石粉</w:t>
                  </w:r>
                </w:p>
              </w:tc>
              <w:tc>
                <w:tcPr>
                  <w:tcW w:w="993" w:type="pct"/>
                  <w:tcBorders>
                    <w:top w:val="single" w:color="000000" w:sz="12" w:space="0"/>
                    <w:tl2br w:val="nil"/>
                    <w:tr2bl w:val="nil"/>
                  </w:tcBorders>
                  <w:shd w:val="clear" w:color="auto" w:fill="auto"/>
                  <w:noWrap/>
                  <w:vAlign w:val="center"/>
                </w:tcPr>
                <w:p w14:paraId="27C55654">
                  <w:pPr>
                    <w:widowControl/>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0"/>
                      <w:szCs w:val="21"/>
                      <w:lang w:val="en-US" w:eastAsia="zh-CN" w:bidi="ar"/>
                    </w:rPr>
                    <w:t>71</w:t>
                  </w:r>
                  <w:r>
                    <w:rPr>
                      <w:rFonts w:hint="eastAsia" w:ascii="Times New Roman" w:hAnsi="Times New Roman" w:eastAsia="宋体" w:cs="Times New Roman"/>
                      <w:color w:val="auto"/>
                      <w:kern w:val="0"/>
                      <w:szCs w:val="21"/>
                      <w:lang w:bidi="ar"/>
                    </w:rPr>
                    <w:t>.92</w:t>
                  </w:r>
                  <w:r>
                    <w:rPr>
                      <w:rFonts w:ascii="Times New Roman" w:hAnsi="Times New Roman" w:eastAsia="宋体" w:cs="Times New Roman"/>
                      <w:color w:val="auto"/>
                      <w:kern w:val="0"/>
                      <w:szCs w:val="21"/>
                      <w:lang w:bidi="ar"/>
                    </w:rPr>
                    <w:t>%</w:t>
                  </w:r>
                </w:p>
              </w:tc>
              <w:tc>
                <w:tcPr>
                  <w:tcW w:w="1131" w:type="pct"/>
                  <w:tcBorders>
                    <w:top w:val="single" w:color="000000" w:sz="12" w:space="0"/>
                    <w:tl2br w:val="nil"/>
                    <w:tr2bl w:val="nil"/>
                  </w:tcBorders>
                  <w:shd w:val="clear" w:color="auto" w:fill="auto"/>
                  <w:noWrap/>
                  <w:vAlign w:val="center"/>
                </w:tcPr>
                <w:p w14:paraId="3915488F">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0"/>
                      <w:szCs w:val="21"/>
                      <w:lang w:val="en-US" w:eastAsia="zh-CN" w:bidi="ar"/>
                    </w:rPr>
                    <w:t>17662.04</w:t>
                  </w:r>
                </w:p>
              </w:tc>
              <w:tc>
                <w:tcPr>
                  <w:tcW w:w="553" w:type="pct"/>
                  <w:tcBorders>
                    <w:top w:val="single" w:color="000000" w:sz="12" w:space="0"/>
                    <w:tl2br w:val="nil"/>
                    <w:tr2bl w:val="nil"/>
                  </w:tcBorders>
                  <w:shd w:val="clear" w:color="auto" w:fill="auto"/>
                  <w:noWrap/>
                  <w:vAlign w:val="center"/>
                </w:tcPr>
                <w:p w14:paraId="008D7317">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kern w:val="0"/>
                      <w:szCs w:val="21"/>
                      <w:lang w:val="en-US" w:eastAsia="zh-CN" w:bidi="ar"/>
                    </w:rPr>
                    <w:t>固态</w:t>
                  </w:r>
                </w:p>
              </w:tc>
              <w:tc>
                <w:tcPr>
                  <w:tcW w:w="994" w:type="pct"/>
                  <w:tcBorders>
                    <w:top w:val="single" w:color="000000" w:sz="12" w:space="0"/>
                    <w:tl2br w:val="nil"/>
                    <w:tr2bl w:val="nil"/>
                  </w:tcBorders>
                  <w:shd w:val="clear" w:color="auto" w:fill="auto"/>
                  <w:noWrap/>
                  <w:vAlign w:val="center"/>
                </w:tcPr>
                <w:p w14:paraId="5BD6E8AD">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sz w:val="21"/>
                      <w:szCs w:val="21"/>
                      <w:u w:val="none"/>
                      <w:lang w:val="en-US" w:eastAsia="zh-CN"/>
                    </w:rPr>
                    <w:t>10</w:t>
                  </w:r>
                  <w:r>
                    <w:rPr>
                      <w:rFonts w:hint="default" w:ascii="Times New Roman" w:hAnsi="Times New Roman" w:eastAsia="宋体" w:cs="Times New Roman"/>
                      <w:b w:val="0"/>
                      <w:bCs w:val="0"/>
                      <w:color w:val="000000"/>
                      <w:sz w:val="21"/>
                      <w:szCs w:val="21"/>
                      <w:u w:val="none"/>
                      <w:lang w:val="en-US" w:eastAsia="zh-CN"/>
                    </w:rPr>
                    <w:t>00</w:t>
                  </w:r>
                </w:p>
              </w:tc>
              <w:tc>
                <w:tcPr>
                  <w:tcW w:w="663" w:type="pct"/>
                  <w:tcBorders>
                    <w:top w:val="single" w:color="000000" w:sz="12" w:space="0"/>
                    <w:tl2br w:val="nil"/>
                    <w:tr2bl w:val="nil"/>
                  </w:tcBorders>
                  <w:shd w:val="clear" w:color="auto" w:fill="auto"/>
                  <w:noWrap/>
                  <w:vAlign w:val="center"/>
                </w:tcPr>
                <w:p w14:paraId="4D84EFD4">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车间内储存</w:t>
                  </w:r>
                </w:p>
              </w:tc>
            </w:tr>
            <w:tr w14:paraId="528C56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9" w:hRule="atLeast"/>
                <w:jc w:val="center"/>
              </w:trPr>
              <w:tc>
                <w:tcPr>
                  <w:tcW w:w="663" w:type="pct"/>
                  <w:tcBorders>
                    <w:tl2br w:val="nil"/>
                    <w:tr2bl w:val="nil"/>
                  </w:tcBorders>
                  <w:shd w:val="clear" w:color="auto" w:fill="auto"/>
                  <w:noWrap/>
                  <w:vAlign w:val="center"/>
                </w:tcPr>
                <w:p w14:paraId="6CF75833">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石灰</w:t>
                  </w:r>
                </w:p>
              </w:tc>
              <w:tc>
                <w:tcPr>
                  <w:tcW w:w="993" w:type="pct"/>
                  <w:tcBorders>
                    <w:tl2br w:val="nil"/>
                    <w:tr2bl w:val="nil"/>
                  </w:tcBorders>
                  <w:shd w:val="clear" w:color="auto" w:fill="auto"/>
                  <w:noWrap/>
                  <w:vAlign w:val="center"/>
                </w:tcPr>
                <w:p w14:paraId="6E1680A1">
                  <w:pPr>
                    <w:widowControl/>
                    <w:jc w:val="center"/>
                    <w:textAlignment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0"/>
                      <w:szCs w:val="21"/>
                      <w:lang w:val="en-US" w:eastAsia="zh-CN" w:bidi="ar"/>
                    </w:rPr>
                    <w:t>15</w:t>
                  </w:r>
                  <w:r>
                    <w:rPr>
                      <w:rFonts w:ascii="Times New Roman" w:hAnsi="Times New Roman" w:eastAsia="宋体" w:cs="Times New Roman"/>
                      <w:color w:val="auto"/>
                      <w:kern w:val="0"/>
                      <w:szCs w:val="21"/>
                      <w:lang w:bidi="ar"/>
                    </w:rPr>
                    <w:t>.00%</w:t>
                  </w:r>
                </w:p>
              </w:tc>
              <w:tc>
                <w:tcPr>
                  <w:tcW w:w="1131" w:type="pct"/>
                  <w:tcBorders>
                    <w:tl2br w:val="nil"/>
                    <w:tr2bl w:val="nil"/>
                  </w:tcBorders>
                  <w:shd w:val="clear" w:color="auto" w:fill="auto"/>
                  <w:noWrap/>
                  <w:vAlign w:val="center"/>
                </w:tcPr>
                <w:p w14:paraId="53800B70">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8990.36</w:t>
                  </w:r>
                </w:p>
              </w:tc>
              <w:tc>
                <w:tcPr>
                  <w:tcW w:w="553" w:type="pct"/>
                  <w:tcBorders>
                    <w:tl2br w:val="nil"/>
                    <w:tr2bl w:val="nil"/>
                  </w:tcBorders>
                  <w:shd w:val="clear" w:color="auto" w:fill="auto"/>
                  <w:noWrap/>
                  <w:vAlign w:val="center"/>
                </w:tcPr>
                <w:p w14:paraId="7243B920">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固态</w:t>
                  </w:r>
                </w:p>
              </w:tc>
              <w:tc>
                <w:tcPr>
                  <w:tcW w:w="994" w:type="pct"/>
                  <w:tcBorders>
                    <w:tl2br w:val="nil"/>
                    <w:tr2bl w:val="nil"/>
                  </w:tcBorders>
                  <w:shd w:val="clear" w:color="auto" w:fill="auto"/>
                  <w:noWrap/>
                  <w:vAlign w:val="center"/>
                </w:tcPr>
                <w:p w14:paraId="5D85804C">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sz w:val="21"/>
                      <w:szCs w:val="21"/>
                      <w:u w:val="none"/>
                      <w:lang w:val="en-US" w:eastAsia="zh-CN"/>
                    </w:rPr>
                    <w:t>150</w:t>
                  </w:r>
                </w:p>
              </w:tc>
              <w:tc>
                <w:tcPr>
                  <w:tcW w:w="663" w:type="pct"/>
                  <w:tcBorders>
                    <w:tl2br w:val="nil"/>
                    <w:tr2bl w:val="nil"/>
                  </w:tcBorders>
                  <w:shd w:val="clear" w:color="auto" w:fill="auto"/>
                  <w:noWrap/>
                  <w:vAlign w:val="center"/>
                </w:tcPr>
                <w:p w14:paraId="2B2200FB">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料仓储存</w:t>
                  </w:r>
                </w:p>
              </w:tc>
            </w:tr>
            <w:tr w14:paraId="5481D4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9" w:hRule="atLeast"/>
                <w:jc w:val="center"/>
              </w:trPr>
              <w:tc>
                <w:tcPr>
                  <w:tcW w:w="663" w:type="pct"/>
                  <w:tcBorders>
                    <w:tl2br w:val="nil"/>
                    <w:tr2bl w:val="nil"/>
                  </w:tcBorders>
                  <w:shd w:val="clear" w:color="auto" w:fill="auto"/>
                  <w:vAlign w:val="center"/>
                </w:tcPr>
                <w:p w14:paraId="6CDF6AFA">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石膏</w:t>
                  </w:r>
                </w:p>
              </w:tc>
              <w:tc>
                <w:tcPr>
                  <w:tcW w:w="993" w:type="pct"/>
                  <w:tcBorders>
                    <w:tl2br w:val="nil"/>
                    <w:tr2bl w:val="nil"/>
                  </w:tcBorders>
                  <w:shd w:val="clear" w:color="auto" w:fill="auto"/>
                  <w:noWrap/>
                  <w:vAlign w:val="center"/>
                </w:tcPr>
                <w:p w14:paraId="4EE76D24">
                  <w:pPr>
                    <w:widowControl/>
                    <w:jc w:val="center"/>
                    <w:textAlignment w:val="center"/>
                    <w:rPr>
                      <w:rFonts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0"/>
                      <w:szCs w:val="21"/>
                      <w:lang w:bidi="ar"/>
                    </w:rPr>
                    <w:t>3.00%</w:t>
                  </w:r>
                </w:p>
              </w:tc>
              <w:tc>
                <w:tcPr>
                  <w:tcW w:w="1131" w:type="pct"/>
                  <w:tcBorders>
                    <w:tl2br w:val="nil"/>
                    <w:tr2bl w:val="nil"/>
                  </w:tcBorders>
                  <w:shd w:val="clear" w:color="auto" w:fill="auto"/>
                  <w:noWrap/>
                  <w:vAlign w:val="center"/>
                </w:tcPr>
                <w:p w14:paraId="7A7A46CA">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0"/>
                      <w:szCs w:val="21"/>
                      <w:lang w:val="en-US" w:eastAsia="zh-CN" w:bidi="ar"/>
                    </w:rPr>
                    <w:t>918</w:t>
                  </w:r>
                </w:p>
              </w:tc>
              <w:tc>
                <w:tcPr>
                  <w:tcW w:w="553" w:type="pct"/>
                  <w:tcBorders>
                    <w:tl2br w:val="nil"/>
                    <w:tr2bl w:val="nil"/>
                  </w:tcBorders>
                  <w:shd w:val="clear" w:color="auto" w:fill="auto"/>
                  <w:noWrap/>
                  <w:vAlign w:val="center"/>
                </w:tcPr>
                <w:p w14:paraId="3FFAA653">
                  <w:pPr>
                    <w:widowControl/>
                    <w:jc w:val="center"/>
                    <w:textAlignment w:val="center"/>
                    <w:rPr>
                      <w:rFonts w:ascii="Times New Roman" w:hAnsi="Times New Roman" w:eastAsia="宋体" w:cs="Times New Roman"/>
                      <w:color w:val="auto"/>
                      <w:szCs w:val="21"/>
                    </w:rPr>
                  </w:pPr>
                  <w:r>
                    <w:rPr>
                      <w:rFonts w:hint="eastAsia" w:ascii="Times New Roman" w:hAnsi="Times New Roman" w:cs="Times New Roman"/>
                      <w:color w:val="auto"/>
                      <w:szCs w:val="21"/>
                      <w:lang w:val="en-US" w:eastAsia="zh-CN"/>
                    </w:rPr>
                    <w:t>固态</w:t>
                  </w:r>
                </w:p>
              </w:tc>
              <w:tc>
                <w:tcPr>
                  <w:tcW w:w="994" w:type="pct"/>
                  <w:tcBorders>
                    <w:tl2br w:val="nil"/>
                    <w:tr2bl w:val="nil"/>
                  </w:tcBorders>
                  <w:shd w:val="clear" w:color="auto" w:fill="auto"/>
                  <w:noWrap/>
                  <w:vAlign w:val="center"/>
                </w:tcPr>
                <w:p w14:paraId="2C0FB919">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sz w:val="21"/>
                      <w:szCs w:val="21"/>
                      <w:u w:val="none"/>
                      <w:lang w:val="en-US" w:eastAsia="zh-CN"/>
                    </w:rPr>
                    <w:t>5</w:t>
                  </w:r>
                  <w:r>
                    <w:rPr>
                      <w:rFonts w:hint="default" w:ascii="Times New Roman" w:hAnsi="Times New Roman" w:eastAsia="宋体" w:cs="Times New Roman"/>
                      <w:b w:val="0"/>
                      <w:bCs w:val="0"/>
                      <w:color w:val="000000"/>
                      <w:sz w:val="21"/>
                      <w:szCs w:val="21"/>
                      <w:u w:val="none"/>
                      <w:lang w:val="en-US" w:eastAsia="zh-CN"/>
                    </w:rPr>
                    <w:t>0</w:t>
                  </w:r>
                </w:p>
              </w:tc>
              <w:tc>
                <w:tcPr>
                  <w:tcW w:w="663" w:type="pct"/>
                  <w:tcBorders>
                    <w:tl2br w:val="nil"/>
                    <w:tr2bl w:val="nil"/>
                  </w:tcBorders>
                  <w:shd w:val="clear" w:color="auto" w:fill="auto"/>
                  <w:noWrap/>
                  <w:vAlign w:val="center"/>
                </w:tcPr>
                <w:p w14:paraId="0DCB8A35">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车间内储存</w:t>
                  </w:r>
                </w:p>
              </w:tc>
            </w:tr>
            <w:tr w14:paraId="778D27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0" w:hRule="atLeast"/>
                <w:jc w:val="center"/>
              </w:trPr>
              <w:tc>
                <w:tcPr>
                  <w:tcW w:w="663" w:type="pct"/>
                  <w:tcBorders>
                    <w:tl2br w:val="nil"/>
                    <w:tr2bl w:val="nil"/>
                  </w:tcBorders>
                  <w:shd w:val="clear" w:color="auto" w:fill="auto"/>
                  <w:noWrap/>
                  <w:vAlign w:val="center"/>
                </w:tcPr>
                <w:p w14:paraId="13CB4D6D">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水泥</w:t>
                  </w:r>
                </w:p>
              </w:tc>
              <w:tc>
                <w:tcPr>
                  <w:tcW w:w="993" w:type="pct"/>
                  <w:tcBorders>
                    <w:tl2br w:val="nil"/>
                    <w:tr2bl w:val="nil"/>
                  </w:tcBorders>
                  <w:shd w:val="clear" w:color="auto" w:fill="auto"/>
                  <w:noWrap/>
                  <w:vAlign w:val="center"/>
                </w:tcPr>
                <w:p w14:paraId="3A528F21">
                  <w:pPr>
                    <w:widowControl/>
                    <w:jc w:val="center"/>
                    <w:textAlignment w:val="center"/>
                    <w:rPr>
                      <w:rFonts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0"/>
                      <w:szCs w:val="21"/>
                      <w:lang w:bidi="ar"/>
                    </w:rPr>
                    <w:t>10.00%</w:t>
                  </w:r>
                </w:p>
              </w:tc>
              <w:tc>
                <w:tcPr>
                  <w:tcW w:w="1131" w:type="pct"/>
                  <w:tcBorders>
                    <w:tl2br w:val="nil"/>
                    <w:tr2bl w:val="nil"/>
                  </w:tcBorders>
                  <w:shd w:val="clear" w:color="auto" w:fill="auto"/>
                  <w:noWrap/>
                  <w:vAlign w:val="center"/>
                </w:tcPr>
                <w:p w14:paraId="58D7CB2B">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0"/>
                      <w:szCs w:val="21"/>
                      <w:lang w:val="en-US" w:eastAsia="zh-CN" w:bidi="ar"/>
                    </w:rPr>
                    <w:t>3060</w:t>
                  </w:r>
                </w:p>
              </w:tc>
              <w:tc>
                <w:tcPr>
                  <w:tcW w:w="553" w:type="pct"/>
                  <w:tcBorders>
                    <w:tl2br w:val="nil"/>
                    <w:tr2bl w:val="nil"/>
                  </w:tcBorders>
                  <w:shd w:val="clear" w:color="auto" w:fill="auto"/>
                  <w:noWrap/>
                  <w:vAlign w:val="center"/>
                </w:tcPr>
                <w:p w14:paraId="699A1C71">
                  <w:pPr>
                    <w:widowControl/>
                    <w:jc w:val="center"/>
                    <w:textAlignment w:val="center"/>
                    <w:rPr>
                      <w:rFonts w:ascii="Times New Roman" w:hAnsi="Times New Roman" w:eastAsia="宋体" w:cs="Times New Roman"/>
                      <w:color w:val="auto"/>
                      <w:szCs w:val="21"/>
                    </w:rPr>
                  </w:pPr>
                  <w:r>
                    <w:rPr>
                      <w:rFonts w:hint="eastAsia" w:ascii="Times New Roman" w:hAnsi="Times New Roman" w:cs="Times New Roman"/>
                      <w:color w:val="auto"/>
                      <w:szCs w:val="21"/>
                      <w:lang w:val="en-US" w:eastAsia="zh-CN"/>
                    </w:rPr>
                    <w:t>固态</w:t>
                  </w:r>
                </w:p>
              </w:tc>
              <w:tc>
                <w:tcPr>
                  <w:tcW w:w="994" w:type="pct"/>
                  <w:tcBorders>
                    <w:tl2br w:val="nil"/>
                    <w:tr2bl w:val="nil"/>
                  </w:tcBorders>
                  <w:shd w:val="clear" w:color="auto" w:fill="auto"/>
                  <w:noWrap/>
                  <w:vAlign w:val="center"/>
                </w:tcPr>
                <w:p w14:paraId="239A0B8C">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sz w:val="21"/>
                      <w:szCs w:val="21"/>
                      <w:u w:val="none"/>
                      <w:lang w:val="en-US" w:eastAsia="zh-CN"/>
                    </w:rPr>
                    <w:t>15</w:t>
                  </w:r>
                  <w:r>
                    <w:rPr>
                      <w:rFonts w:hint="default" w:ascii="Times New Roman" w:hAnsi="Times New Roman" w:eastAsia="宋体" w:cs="Times New Roman"/>
                      <w:b w:val="0"/>
                      <w:bCs w:val="0"/>
                      <w:color w:val="000000"/>
                      <w:sz w:val="21"/>
                      <w:szCs w:val="21"/>
                      <w:u w:val="none"/>
                    </w:rPr>
                    <w:t>0</w:t>
                  </w:r>
                </w:p>
              </w:tc>
              <w:tc>
                <w:tcPr>
                  <w:tcW w:w="663" w:type="pct"/>
                  <w:tcBorders>
                    <w:tl2br w:val="nil"/>
                    <w:tr2bl w:val="nil"/>
                  </w:tcBorders>
                  <w:shd w:val="clear" w:color="auto" w:fill="auto"/>
                  <w:noWrap/>
                  <w:vAlign w:val="center"/>
                </w:tcPr>
                <w:p w14:paraId="58420380">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料仓储存</w:t>
                  </w:r>
                </w:p>
              </w:tc>
            </w:tr>
            <w:tr w14:paraId="1828A8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1" w:hRule="atLeast"/>
                <w:jc w:val="center"/>
              </w:trPr>
              <w:tc>
                <w:tcPr>
                  <w:tcW w:w="663" w:type="pct"/>
                  <w:tcBorders>
                    <w:tl2br w:val="nil"/>
                    <w:tr2bl w:val="nil"/>
                  </w:tcBorders>
                  <w:shd w:val="clear" w:color="auto" w:fill="auto"/>
                  <w:noWrap/>
                  <w:vAlign w:val="center"/>
                </w:tcPr>
                <w:p w14:paraId="7D28D091">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铝粉</w:t>
                  </w:r>
                </w:p>
              </w:tc>
              <w:tc>
                <w:tcPr>
                  <w:tcW w:w="993" w:type="pct"/>
                  <w:tcBorders>
                    <w:tl2br w:val="nil"/>
                    <w:tr2bl w:val="nil"/>
                  </w:tcBorders>
                  <w:shd w:val="clear" w:color="auto" w:fill="auto"/>
                  <w:noWrap/>
                  <w:vAlign w:val="center"/>
                </w:tcPr>
                <w:p w14:paraId="6ABBCF3E">
                  <w:pPr>
                    <w:widowControl/>
                    <w:jc w:val="center"/>
                    <w:textAlignment w:val="center"/>
                    <w:rPr>
                      <w:rFonts w:ascii="Times New Roman" w:hAnsi="Times New Roman" w:eastAsia="宋体" w:cs="Times New Roman"/>
                      <w:color w:val="000000"/>
                      <w:kern w:val="2"/>
                      <w:sz w:val="21"/>
                      <w:szCs w:val="21"/>
                      <w:lang w:val="en-US" w:eastAsia="zh-CN" w:bidi="ar-SA"/>
                    </w:rPr>
                  </w:pPr>
                  <w:r>
                    <w:rPr>
                      <w:rStyle w:val="67"/>
                      <w:rFonts w:ascii="Times New Roman" w:hAnsi="Times New Roman" w:cs="Times New Roman"/>
                      <w:sz w:val="21"/>
                      <w:szCs w:val="21"/>
                      <w:lang w:bidi="ar"/>
                    </w:rPr>
                    <w:t>0.08%</w:t>
                  </w:r>
                </w:p>
              </w:tc>
              <w:tc>
                <w:tcPr>
                  <w:tcW w:w="1131" w:type="pct"/>
                  <w:tcBorders>
                    <w:tl2br w:val="nil"/>
                    <w:tr2bl w:val="nil"/>
                  </w:tcBorders>
                  <w:shd w:val="clear" w:color="auto" w:fill="auto"/>
                  <w:noWrap/>
                  <w:vAlign w:val="center"/>
                </w:tcPr>
                <w:p w14:paraId="32B905DE">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0"/>
                      <w:szCs w:val="21"/>
                      <w:lang w:val="en-US" w:eastAsia="zh-CN" w:bidi="ar"/>
                    </w:rPr>
                    <w:t>25</w:t>
                  </w:r>
                </w:p>
              </w:tc>
              <w:tc>
                <w:tcPr>
                  <w:tcW w:w="553" w:type="pct"/>
                  <w:tcBorders>
                    <w:tl2br w:val="nil"/>
                    <w:tr2bl w:val="nil"/>
                  </w:tcBorders>
                  <w:shd w:val="clear" w:color="auto" w:fill="auto"/>
                  <w:noWrap/>
                  <w:vAlign w:val="center"/>
                </w:tcPr>
                <w:p w14:paraId="7F22F2B5">
                  <w:pPr>
                    <w:widowControl/>
                    <w:jc w:val="center"/>
                    <w:textAlignment w:val="center"/>
                    <w:rPr>
                      <w:rFonts w:ascii="Times New Roman" w:hAnsi="Times New Roman" w:eastAsia="宋体" w:cs="Times New Roman"/>
                      <w:color w:val="auto"/>
                      <w:szCs w:val="21"/>
                    </w:rPr>
                  </w:pPr>
                  <w:r>
                    <w:rPr>
                      <w:rFonts w:hint="eastAsia" w:ascii="Times New Roman" w:hAnsi="Times New Roman" w:cs="Times New Roman"/>
                      <w:color w:val="auto"/>
                      <w:szCs w:val="21"/>
                      <w:lang w:val="en-US" w:eastAsia="zh-CN"/>
                    </w:rPr>
                    <w:t>固态</w:t>
                  </w:r>
                </w:p>
              </w:tc>
              <w:tc>
                <w:tcPr>
                  <w:tcW w:w="994" w:type="pct"/>
                  <w:tcBorders>
                    <w:tl2br w:val="nil"/>
                    <w:tr2bl w:val="nil"/>
                  </w:tcBorders>
                  <w:shd w:val="clear" w:color="auto" w:fill="auto"/>
                  <w:noWrap/>
                  <w:vAlign w:val="center"/>
                </w:tcPr>
                <w:p w14:paraId="16FCCD55">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sz w:val="21"/>
                      <w:szCs w:val="21"/>
                      <w:u w:val="none"/>
                      <w:lang w:val="en-US" w:eastAsia="zh-CN"/>
                    </w:rPr>
                    <w:t>2</w:t>
                  </w:r>
                </w:p>
              </w:tc>
              <w:tc>
                <w:tcPr>
                  <w:tcW w:w="663" w:type="pct"/>
                  <w:tcBorders>
                    <w:tl2br w:val="nil"/>
                    <w:tr2bl w:val="nil"/>
                  </w:tcBorders>
                  <w:shd w:val="clear" w:color="auto" w:fill="auto"/>
                  <w:noWrap/>
                  <w:vAlign w:val="center"/>
                </w:tcPr>
                <w:p w14:paraId="7AC5FA85">
                  <w:pPr>
                    <w:widowControl/>
                    <w:jc w:val="center"/>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料仓储存</w:t>
                  </w:r>
                </w:p>
              </w:tc>
            </w:tr>
            <w:tr w14:paraId="0DA93F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1" w:hRule="atLeast"/>
                <w:jc w:val="center"/>
              </w:trPr>
              <w:tc>
                <w:tcPr>
                  <w:tcW w:w="663" w:type="pct"/>
                  <w:tcBorders>
                    <w:tl2br w:val="nil"/>
                    <w:tr2bl w:val="nil"/>
                  </w:tcBorders>
                  <w:shd w:val="clear" w:color="auto" w:fill="auto"/>
                  <w:noWrap/>
                  <w:vAlign w:val="center"/>
                </w:tcPr>
                <w:p w14:paraId="72F08C66">
                  <w:pPr>
                    <w:widowControl/>
                    <w:jc w:val="center"/>
                    <w:textAlignment w:val="center"/>
                    <w:rPr>
                      <w:rFonts w:ascii="Times New Roman" w:hAnsi="Times New Roman" w:eastAsia="宋体" w:cs="Times New Roman"/>
                      <w:color w:val="000000"/>
                      <w:kern w:val="0"/>
                      <w:szCs w:val="21"/>
                      <w:lang w:bidi="ar"/>
                    </w:rPr>
                  </w:pPr>
                  <w:r>
                    <w:rPr>
                      <w:rFonts w:hint="eastAsia" w:ascii="Times New Roman" w:hAnsi="Times New Roman" w:cs="Times New Roman"/>
                      <w:color w:val="auto"/>
                      <w:kern w:val="2"/>
                      <w:sz w:val="21"/>
                      <w:szCs w:val="21"/>
                      <w:lang w:val="en-US" w:eastAsia="zh-CN" w:bidi="ar-SA"/>
                    </w:rPr>
                    <w:t>钢筋</w:t>
                  </w:r>
                </w:p>
              </w:tc>
              <w:tc>
                <w:tcPr>
                  <w:tcW w:w="993" w:type="pct"/>
                  <w:tcBorders>
                    <w:tl2br w:val="nil"/>
                    <w:tr2bl w:val="nil"/>
                  </w:tcBorders>
                  <w:shd w:val="clear" w:color="auto" w:fill="auto"/>
                  <w:noWrap/>
                  <w:vAlign w:val="center"/>
                </w:tcPr>
                <w:p w14:paraId="620BED6B">
                  <w:pPr>
                    <w:widowControl/>
                    <w:jc w:val="center"/>
                    <w:textAlignment w:val="center"/>
                    <w:rPr>
                      <w:rStyle w:val="67"/>
                      <w:rFonts w:hint="default" w:ascii="Times New Roman" w:hAnsi="Times New Roman" w:eastAsia="宋体" w:cs="Times New Roman"/>
                      <w:sz w:val="21"/>
                      <w:szCs w:val="21"/>
                      <w:lang w:val="en-US" w:eastAsia="zh-CN" w:bidi="ar"/>
                    </w:rPr>
                  </w:pPr>
                  <w:r>
                    <w:rPr>
                      <w:rStyle w:val="67"/>
                      <w:rFonts w:hint="eastAsia" w:cs="Times New Roman"/>
                      <w:sz w:val="21"/>
                      <w:szCs w:val="21"/>
                      <w:lang w:val="en-US" w:eastAsia="zh-CN" w:bidi="ar"/>
                    </w:rPr>
                    <w:t>/</w:t>
                  </w:r>
                </w:p>
              </w:tc>
              <w:tc>
                <w:tcPr>
                  <w:tcW w:w="1131" w:type="pct"/>
                  <w:tcBorders>
                    <w:tl2br w:val="nil"/>
                    <w:tr2bl w:val="nil"/>
                  </w:tcBorders>
                  <w:shd w:val="clear" w:color="auto" w:fill="auto"/>
                  <w:noWrap/>
                  <w:vAlign w:val="center"/>
                </w:tcPr>
                <w:p w14:paraId="7DF2D569">
                  <w:pPr>
                    <w:widowControl/>
                    <w:jc w:val="center"/>
                    <w:textAlignment w:val="center"/>
                    <w:rPr>
                      <w:rFonts w:hint="default" w:ascii="Times New Roman" w:hAnsi="Times New Roman" w:cs="Times New Roman"/>
                      <w:color w:val="000000"/>
                      <w:kern w:val="0"/>
                      <w:szCs w:val="21"/>
                      <w:lang w:val="en-US" w:eastAsia="zh-CN" w:bidi="ar"/>
                    </w:rPr>
                  </w:pPr>
                  <w:r>
                    <w:rPr>
                      <w:rFonts w:hint="eastAsia" w:cs="Times New Roman"/>
                      <w:color w:val="000000"/>
                      <w:kern w:val="0"/>
                      <w:szCs w:val="21"/>
                      <w:lang w:val="en-US" w:eastAsia="zh-CN" w:bidi="ar"/>
                    </w:rPr>
                    <w:t>975</w:t>
                  </w:r>
                </w:p>
              </w:tc>
              <w:tc>
                <w:tcPr>
                  <w:tcW w:w="553" w:type="pct"/>
                  <w:tcBorders>
                    <w:tl2br w:val="nil"/>
                    <w:tr2bl w:val="nil"/>
                  </w:tcBorders>
                  <w:shd w:val="clear" w:color="auto" w:fill="auto"/>
                  <w:noWrap/>
                  <w:vAlign w:val="center"/>
                </w:tcPr>
                <w:p w14:paraId="21DA0062">
                  <w:pPr>
                    <w:widowControl/>
                    <w:jc w:val="center"/>
                    <w:textAlignment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固态</w:t>
                  </w:r>
                </w:p>
              </w:tc>
              <w:tc>
                <w:tcPr>
                  <w:tcW w:w="994" w:type="pct"/>
                  <w:tcBorders>
                    <w:tl2br w:val="nil"/>
                    <w:tr2bl w:val="nil"/>
                  </w:tcBorders>
                  <w:shd w:val="clear" w:color="auto" w:fill="auto"/>
                  <w:noWrap/>
                  <w:vAlign w:val="center"/>
                </w:tcPr>
                <w:p w14:paraId="294AE660">
                  <w:pPr>
                    <w:widowControl/>
                    <w:jc w:val="center"/>
                    <w:textAlignment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10</w:t>
                  </w:r>
                </w:p>
              </w:tc>
              <w:tc>
                <w:tcPr>
                  <w:tcW w:w="663" w:type="pct"/>
                  <w:tcBorders>
                    <w:tl2br w:val="nil"/>
                    <w:tr2bl w:val="nil"/>
                  </w:tcBorders>
                  <w:shd w:val="clear" w:color="auto" w:fill="auto"/>
                  <w:noWrap/>
                  <w:vAlign w:val="center"/>
                </w:tcPr>
                <w:p w14:paraId="346A0855">
                  <w:pPr>
                    <w:widowControl/>
                    <w:jc w:val="center"/>
                    <w:textAlignment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车间内储存</w:t>
                  </w:r>
                </w:p>
              </w:tc>
            </w:tr>
            <w:tr w14:paraId="232E85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1" w:hRule="atLeast"/>
                <w:jc w:val="center"/>
              </w:trPr>
              <w:tc>
                <w:tcPr>
                  <w:tcW w:w="663" w:type="pct"/>
                  <w:tcBorders>
                    <w:tl2br w:val="nil"/>
                    <w:tr2bl w:val="nil"/>
                  </w:tcBorders>
                  <w:shd w:val="clear" w:color="auto" w:fill="auto"/>
                  <w:noWrap/>
                  <w:vAlign w:val="center"/>
                </w:tcPr>
                <w:p w14:paraId="3749BDD0">
                  <w:pPr>
                    <w:widowControl/>
                    <w:jc w:val="center"/>
                    <w:textAlignment w:val="center"/>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生物质颗粒</w:t>
                  </w:r>
                </w:p>
              </w:tc>
              <w:tc>
                <w:tcPr>
                  <w:tcW w:w="993" w:type="pct"/>
                  <w:tcBorders>
                    <w:tl2br w:val="nil"/>
                    <w:tr2bl w:val="nil"/>
                  </w:tcBorders>
                  <w:shd w:val="clear" w:color="auto" w:fill="auto"/>
                  <w:noWrap/>
                  <w:vAlign w:val="center"/>
                </w:tcPr>
                <w:p w14:paraId="7E13D437">
                  <w:pPr>
                    <w:widowControl/>
                    <w:jc w:val="center"/>
                    <w:textAlignment w:val="center"/>
                    <w:rPr>
                      <w:rStyle w:val="67"/>
                      <w:rFonts w:hint="eastAsia" w:cs="Times New Roman"/>
                      <w:sz w:val="21"/>
                      <w:szCs w:val="21"/>
                      <w:lang w:val="en-US" w:eastAsia="zh-CN" w:bidi="ar"/>
                    </w:rPr>
                  </w:pPr>
                  <w:r>
                    <w:rPr>
                      <w:rStyle w:val="67"/>
                      <w:rFonts w:hint="eastAsia" w:cs="Times New Roman"/>
                      <w:sz w:val="21"/>
                      <w:szCs w:val="21"/>
                      <w:lang w:val="en-US" w:eastAsia="zh-CN" w:bidi="ar"/>
                    </w:rPr>
                    <w:t>/</w:t>
                  </w:r>
                </w:p>
              </w:tc>
              <w:tc>
                <w:tcPr>
                  <w:tcW w:w="1131" w:type="pct"/>
                  <w:tcBorders>
                    <w:tl2br w:val="nil"/>
                    <w:tr2bl w:val="nil"/>
                  </w:tcBorders>
                  <w:shd w:val="clear" w:color="auto" w:fill="auto"/>
                  <w:noWrap/>
                  <w:vAlign w:val="center"/>
                </w:tcPr>
                <w:p w14:paraId="1DB403C7">
                  <w:pPr>
                    <w:widowControl/>
                    <w:jc w:val="center"/>
                    <w:textAlignment w:val="center"/>
                    <w:rPr>
                      <w:rFonts w:hint="default" w:cs="Times New Roman"/>
                      <w:color w:val="000000"/>
                      <w:kern w:val="0"/>
                      <w:szCs w:val="21"/>
                      <w:lang w:val="en-US" w:eastAsia="zh-CN" w:bidi="ar"/>
                    </w:rPr>
                  </w:pPr>
                  <w:r>
                    <w:rPr>
                      <w:rFonts w:hint="eastAsia" w:cs="Times New Roman"/>
                      <w:color w:val="000000"/>
                      <w:kern w:val="0"/>
                      <w:szCs w:val="21"/>
                      <w:lang w:val="en-US" w:eastAsia="zh-CN" w:bidi="ar"/>
                    </w:rPr>
                    <w:t>918</w:t>
                  </w:r>
                </w:p>
              </w:tc>
              <w:tc>
                <w:tcPr>
                  <w:tcW w:w="553" w:type="pct"/>
                  <w:tcBorders>
                    <w:tl2br w:val="nil"/>
                    <w:tr2bl w:val="nil"/>
                  </w:tcBorders>
                  <w:shd w:val="clear" w:color="auto" w:fill="auto"/>
                  <w:noWrap/>
                  <w:vAlign w:val="center"/>
                </w:tcPr>
                <w:p w14:paraId="4048F296">
                  <w:pPr>
                    <w:widowControl/>
                    <w:jc w:val="center"/>
                    <w:textAlignment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固态</w:t>
                  </w:r>
                </w:p>
              </w:tc>
              <w:tc>
                <w:tcPr>
                  <w:tcW w:w="994" w:type="pct"/>
                  <w:tcBorders>
                    <w:tl2br w:val="nil"/>
                    <w:tr2bl w:val="nil"/>
                  </w:tcBorders>
                  <w:shd w:val="clear" w:color="auto" w:fill="auto"/>
                  <w:noWrap/>
                  <w:vAlign w:val="center"/>
                </w:tcPr>
                <w:p w14:paraId="681BFECA">
                  <w:pPr>
                    <w:widowControl/>
                    <w:jc w:val="center"/>
                    <w:textAlignment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50</w:t>
                  </w:r>
                </w:p>
              </w:tc>
              <w:tc>
                <w:tcPr>
                  <w:tcW w:w="663" w:type="pct"/>
                  <w:tcBorders>
                    <w:tl2br w:val="nil"/>
                    <w:tr2bl w:val="nil"/>
                  </w:tcBorders>
                  <w:shd w:val="clear" w:color="auto" w:fill="auto"/>
                  <w:noWrap/>
                  <w:vAlign w:val="center"/>
                </w:tcPr>
                <w:p w14:paraId="50B9B3C8">
                  <w:pPr>
                    <w:widowControl/>
                    <w:jc w:val="center"/>
                    <w:textAlignment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车间内储存</w:t>
                  </w:r>
                </w:p>
              </w:tc>
            </w:tr>
          </w:tbl>
          <w:p w14:paraId="4A2A117F"/>
          <w:p w14:paraId="37619045">
            <w:pPr>
              <w:pStyle w:val="42"/>
              <w:keepNext/>
              <w:keepLines/>
              <w:pageBreakBefore w:val="0"/>
              <w:widowControl w:val="0"/>
              <w:kinsoku/>
              <w:wordWrap/>
              <w:overflowPunct/>
              <w:topLinePunct w:val="0"/>
              <w:autoSpaceDE/>
              <w:autoSpaceDN/>
              <w:bidi w:val="0"/>
              <w:adjustRightInd/>
              <w:snapToGrid/>
              <w:spacing w:before="0" w:after="0"/>
              <w:ind w:left="630" w:leftChars="0" w:firstLineChars="0"/>
              <w:textAlignment w:val="auto"/>
              <w:rPr>
                <w:rFonts w:hint="eastAsia"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生物质成型燃料组分分析表</w:t>
            </w:r>
          </w:p>
          <w:tbl>
            <w:tblPr>
              <w:tblStyle w:val="84"/>
              <w:tblW w:w="8962" w:type="dxa"/>
              <w:tblInd w:w="-54"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306"/>
              <w:gridCol w:w="1545"/>
              <w:gridCol w:w="1470"/>
              <w:gridCol w:w="1380"/>
              <w:gridCol w:w="1499"/>
              <w:gridCol w:w="1762"/>
            </w:tblGrid>
            <w:tr w14:paraId="255A0CCF">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PrEx>
              <w:trPr>
                <w:trHeight w:val="454" w:hRule="atLeast"/>
              </w:trPr>
              <w:tc>
                <w:tcPr>
                  <w:tcW w:w="1306" w:type="dxa"/>
                  <w:tcBorders>
                    <w:bottom w:val="single" w:color="auto" w:sz="12" w:space="0"/>
                  </w:tcBorders>
                  <w:vAlign w:val="center"/>
                </w:tcPr>
                <w:p w14:paraId="2BF14749">
                  <w:pPr>
                    <w:pStyle w:val="11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b/>
                      <w:bCs/>
                      <w:sz w:val="21"/>
                    </w:rPr>
                  </w:pPr>
                  <w:r>
                    <w:rPr>
                      <w:rFonts w:ascii="Times New Roman" w:hAnsi="Times New Roman" w:eastAsia="宋体"/>
                      <w:b/>
                      <w:bCs/>
                      <w:spacing w:val="-4"/>
                      <w:sz w:val="21"/>
                    </w:rPr>
                    <w:t>收到基水分</w:t>
                  </w:r>
                </w:p>
                <w:p w14:paraId="0E4FA77C">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Times New Roman"/>
                      <w:b/>
                      <w:bCs/>
                      <w:sz w:val="21"/>
                      <w:szCs w:val="21"/>
                    </w:rPr>
                  </w:pPr>
                  <w:r>
                    <w:rPr>
                      <w:rFonts w:ascii="Times New Roman" w:hAnsi="Times New Roman" w:eastAsia="宋体" w:cs="Times New Roman"/>
                      <w:b/>
                      <w:bCs/>
                      <w:spacing w:val="-2"/>
                      <w:sz w:val="21"/>
                      <w:szCs w:val="21"/>
                    </w:rPr>
                    <w:t>Mt</w:t>
                  </w:r>
                </w:p>
              </w:tc>
              <w:tc>
                <w:tcPr>
                  <w:tcW w:w="1545" w:type="dxa"/>
                  <w:tcBorders>
                    <w:bottom w:val="single" w:color="auto" w:sz="12" w:space="0"/>
                  </w:tcBorders>
                  <w:vAlign w:val="center"/>
                </w:tcPr>
                <w:p w14:paraId="782ADD5C">
                  <w:pPr>
                    <w:pStyle w:val="11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Times New Roman"/>
                      <w:b/>
                      <w:bCs/>
                      <w:sz w:val="21"/>
                      <w:szCs w:val="21"/>
                    </w:rPr>
                  </w:pPr>
                  <w:r>
                    <w:rPr>
                      <w:rFonts w:ascii="Times New Roman" w:hAnsi="Times New Roman" w:eastAsia="宋体"/>
                      <w:b/>
                      <w:bCs/>
                      <w:spacing w:val="-3"/>
                      <w:sz w:val="21"/>
                    </w:rPr>
                    <w:t>空气干燥基水分</w:t>
                  </w:r>
                  <w:r>
                    <w:rPr>
                      <w:rFonts w:ascii="Times New Roman" w:hAnsi="Times New Roman" w:eastAsia="宋体" w:cs="Times New Roman"/>
                      <w:b/>
                      <w:bCs/>
                      <w:spacing w:val="-1"/>
                      <w:sz w:val="21"/>
                      <w:szCs w:val="21"/>
                    </w:rPr>
                    <w:t>Mad</w:t>
                  </w:r>
                </w:p>
              </w:tc>
              <w:tc>
                <w:tcPr>
                  <w:tcW w:w="1470" w:type="dxa"/>
                  <w:tcBorders>
                    <w:bottom w:val="single" w:color="auto" w:sz="12" w:space="0"/>
                  </w:tcBorders>
                  <w:vAlign w:val="center"/>
                </w:tcPr>
                <w:p w14:paraId="28641DA1">
                  <w:pPr>
                    <w:pStyle w:val="11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b/>
                      <w:bCs/>
                      <w:sz w:val="21"/>
                    </w:rPr>
                  </w:pPr>
                  <w:r>
                    <w:rPr>
                      <w:rFonts w:ascii="Times New Roman" w:hAnsi="Times New Roman" w:eastAsia="宋体"/>
                      <w:b/>
                      <w:bCs/>
                      <w:spacing w:val="-4"/>
                      <w:sz w:val="21"/>
                    </w:rPr>
                    <w:t>空气干燥基挥</w:t>
                  </w:r>
                </w:p>
                <w:p w14:paraId="0A2BA9C4">
                  <w:pPr>
                    <w:pStyle w:val="11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Times New Roman"/>
                      <w:b/>
                      <w:bCs/>
                      <w:sz w:val="21"/>
                    </w:rPr>
                  </w:pPr>
                  <w:r>
                    <w:rPr>
                      <w:rFonts w:ascii="Times New Roman" w:hAnsi="Times New Roman" w:eastAsia="宋体"/>
                      <w:b/>
                      <w:bCs/>
                      <w:spacing w:val="-5"/>
                      <w:sz w:val="21"/>
                    </w:rPr>
                    <w:t>发分</w:t>
                  </w:r>
                  <w:r>
                    <w:rPr>
                      <w:rFonts w:ascii="Times New Roman" w:hAnsi="Times New Roman" w:eastAsia="宋体" w:cs="Times New Roman"/>
                      <w:b/>
                      <w:bCs/>
                      <w:spacing w:val="-5"/>
                      <w:sz w:val="21"/>
                    </w:rPr>
                    <w:t>Vad</w:t>
                  </w:r>
                </w:p>
              </w:tc>
              <w:tc>
                <w:tcPr>
                  <w:tcW w:w="1380" w:type="dxa"/>
                  <w:tcBorders>
                    <w:bottom w:val="single" w:color="auto" w:sz="12" w:space="0"/>
                  </w:tcBorders>
                  <w:vAlign w:val="center"/>
                </w:tcPr>
                <w:p w14:paraId="65A33788">
                  <w:pPr>
                    <w:pStyle w:val="11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b/>
                      <w:bCs/>
                      <w:sz w:val="21"/>
                    </w:rPr>
                  </w:pPr>
                  <w:r>
                    <w:rPr>
                      <w:rFonts w:ascii="Times New Roman" w:hAnsi="Times New Roman" w:eastAsia="宋体"/>
                      <w:b/>
                      <w:bCs/>
                      <w:spacing w:val="-4"/>
                      <w:sz w:val="21"/>
                    </w:rPr>
                    <w:t>空气干燥基灰</w:t>
                  </w:r>
                </w:p>
                <w:p w14:paraId="35897D99">
                  <w:pPr>
                    <w:pStyle w:val="11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Times New Roman"/>
                      <w:b/>
                      <w:bCs/>
                      <w:sz w:val="21"/>
                    </w:rPr>
                  </w:pPr>
                  <w:r>
                    <w:rPr>
                      <w:rFonts w:ascii="Times New Roman" w:hAnsi="Times New Roman" w:eastAsia="宋体"/>
                      <w:b/>
                      <w:bCs/>
                      <w:spacing w:val="-4"/>
                      <w:sz w:val="21"/>
                    </w:rPr>
                    <w:t>分</w:t>
                  </w:r>
                  <w:r>
                    <w:rPr>
                      <w:rFonts w:ascii="Times New Roman" w:hAnsi="Times New Roman" w:eastAsia="宋体" w:cs="Times New Roman"/>
                      <w:b/>
                      <w:bCs/>
                      <w:spacing w:val="-4"/>
                      <w:sz w:val="21"/>
                    </w:rPr>
                    <w:t>Aad</w:t>
                  </w:r>
                </w:p>
              </w:tc>
              <w:tc>
                <w:tcPr>
                  <w:tcW w:w="1499" w:type="dxa"/>
                  <w:tcBorders>
                    <w:bottom w:val="single" w:color="auto" w:sz="12" w:space="0"/>
                  </w:tcBorders>
                  <w:vAlign w:val="center"/>
                </w:tcPr>
                <w:p w14:paraId="182DE679">
                  <w:pPr>
                    <w:pStyle w:val="11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b/>
                      <w:bCs/>
                      <w:sz w:val="21"/>
                    </w:rPr>
                  </w:pPr>
                  <w:r>
                    <w:rPr>
                      <w:rFonts w:ascii="Times New Roman" w:hAnsi="Times New Roman" w:eastAsia="宋体"/>
                      <w:b/>
                      <w:bCs/>
                      <w:spacing w:val="-4"/>
                      <w:sz w:val="21"/>
                    </w:rPr>
                    <w:t>空气干燥基固</w:t>
                  </w:r>
                </w:p>
                <w:p w14:paraId="68E47CB9">
                  <w:pPr>
                    <w:pStyle w:val="11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Times New Roman"/>
                      <w:b/>
                      <w:bCs/>
                      <w:sz w:val="21"/>
                    </w:rPr>
                  </w:pPr>
                  <w:r>
                    <w:rPr>
                      <w:rFonts w:ascii="Times New Roman" w:hAnsi="Times New Roman" w:eastAsia="宋体"/>
                      <w:b/>
                      <w:bCs/>
                      <w:spacing w:val="-3"/>
                      <w:sz w:val="21"/>
                    </w:rPr>
                    <w:t>定碳</w:t>
                  </w:r>
                  <w:r>
                    <w:rPr>
                      <w:rFonts w:ascii="Times New Roman" w:hAnsi="Times New Roman" w:eastAsia="宋体" w:cs="Times New Roman"/>
                      <w:b/>
                      <w:bCs/>
                      <w:spacing w:val="-3"/>
                      <w:sz w:val="21"/>
                    </w:rPr>
                    <w:t>FCad</w:t>
                  </w:r>
                </w:p>
              </w:tc>
              <w:tc>
                <w:tcPr>
                  <w:tcW w:w="1762" w:type="dxa"/>
                  <w:tcBorders>
                    <w:bottom w:val="single" w:color="auto" w:sz="12" w:space="0"/>
                  </w:tcBorders>
                  <w:vAlign w:val="center"/>
                </w:tcPr>
                <w:p w14:paraId="4212E51A">
                  <w:pPr>
                    <w:pStyle w:val="113"/>
                    <w:keepNext w:val="0"/>
                    <w:keepLines w:val="0"/>
                    <w:pageBreakBefore w:val="0"/>
                    <w:widowControl w:val="0"/>
                    <w:kinsoku/>
                    <w:wordWrap/>
                    <w:overflowPunct/>
                    <w:topLinePunct w:val="0"/>
                    <w:autoSpaceDE/>
                    <w:autoSpaceDN/>
                    <w:bidi w:val="0"/>
                    <w:adjustRightInd/>
                    <w:snapToGrid/>
                    <w:spacing w:line="240" w:lineRule="auto"/>
                    <w:ind w:left="0" w:right="0" w:hanging="52"/>
                    <w:jc w:val="center"/>
                    <w:textAlignment w:val="auto"/>
                    <w:rPr>
                      <w:rFonts w:ascii="Times New Roman" w:hAnsi="Times New Roman" w:eastAsia="宋体" w:cs="Times New Roman"/>
                      <w:b/>
                      <w:bCs/>
                      <w:sz w:val="21"/>
                    </w:rPr>
                  </w:pPr>
                  <w:r>
                    <w:rPr>
                      <w:rFonts w:ascii="Times New Roman" w:hAnsi="Times New Roman" w:eastAsia="宋体"/>
                      <w:b/>
                      <w:bCs/>
                      <w:spacing w:val="-4"/>
                      <w:sz w:val="21"/>
                    </w:rPr>
                    <w:t>空气干燥基全</w:t>
                  </w:r>
                  <w:r>
                    <w:rPr>
                      <w:rFonts w:ascii="Times New Roman" w:hAnsi="Times New Roman" w:eastAsia="宋体"/>
                      <w:b/>
                      <w:bCs/>
                      <w:spacing w:val="-3"/>
                      <w:sz w:val="21"/>
                    </w:rPr>
                    <w:t>硫含量</w:t>
                  </w:r>
                  <w:r>
                    <w:rPr>
                      <w:rFonts w:ascii="Times New Roman" w:hAnsi="Times New Roman" w:eastAsia="宋体" w:cs="Times New Roman"/>
                      <w:b/>
                      <w:bCs/>
                      <w:spacing w:val="-3"/>
                      <w:sz w:val="21"/>
                    </w:rPr>
                    <w:t>St,ad</w:t>
                  </w:r>
                </w:p>
              </w:tc>
            </w:tr>
            <w:tr w14:paraId="0BC93BD5">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306" w:type="dxa"/>
                  <w:tcBorders>
                    <w:top w:val="single" w:color="auto" w:sz="12" w:space="0"/>
                    <w:tl2br w:val="nil"/>
                    <w:tr2bl w:val="nil"/>
                  </w:tcBorders>
                  <w:vAlign w:val="center"/>
                </w:tcPr>
                <w:p w14:paraId="7D25E72C">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Times New Roman"/>
                      <w:b w:val="0"/>
                      <w:bCs w:val="0"/>
                      <w:sz w:val="21"/>
                      <w:szCs w:val="21"/>
                    </w:rPr>
                  </w:pPr>
                  <w:r>
                    <w:rPr>
                      <w:rFonts w:hint="eastAsia" w:ascii="Times New Roman" w:hAnsi="Times New Roman" w:eastAsia="宋体" w:cs="Times New Roman"/>
                      <w:b w:val="0"/>
                      <w:bCs w:val="0"/>
                      <w:spacing w:val="-2"/>
                      <w:sz w:val="21"/>
                      <w:szCs w:val="21"/>
                      <w:lang w:val="en-US" w:eastAsia="zh-CN"/>
                    </w:rPr>
                    <w:t>8.08</w:t>
                  </w:r>
                  <w:r>
                    <w:rPr>
                      <w:rFonts w:ascii="Times New Roman" w:hAnsi="Times New Roman" w:eastAsia="宋体" w:cs="Times New Roman"/>
                      <w:b w:val="0"/>
                      <w:bCs w:val="0"/>
                      <w:spacing w:val="-2"/>
                      <w:sz w:val="21"/>
                      <w:szCs w:val="21"/>
                    </w:rPr>
                    <w:t>%</w:t>
                  </w:r>
                </w:p>
              </w:tc>
              <w:tc>
                <w:tcPr>
                  <w:tcW w:w="1545" w:type="dxa"/>
                  <w:tcBorders>
                    <w:top w:val="single" w:color="auto" w:sz="12" w:space="0"/>
                    <w:tl2br w:val="nil"/>
                    <w:tr2bl w:val="nil"/>
                  </w:tcBorders>
                  <w:vAlign w:val="center"/>
                </w:tcPr>
                <w:p w14:paraId="5BA900C8">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Times New Roman"/>
                      <w:b w:val="0"/>
                      <w:bCs w:val="0"/>
                      <w:sz w:val="21"/>
                      <w:szCs w:val="21"/>
                    </w:rPr>
                  </w:pPr>
                  <w:r>
                    <w:rPr>
                      <w:rFonts w:hint="eastAsia" w:ascii="Times New Roman" w:hAnsi="Times New Roman" w:eastAsia="宋体" w:cs="Times New Roman"/>
                      <w:b w:val="0"/>
                      <w:bCs w:val="0"/>
                      <w:spacing w:val="-2"/>
                      <w:sz w:val="21"/>
                      <w:szCs w:val="21"/>
                      <w:lang w:val="en-US" w:eastAsia="zh-CN"/>
                    </w:rPr>
                    <w:t>1.53</w:t>
                  </w:r>
                  <w:r>
                    <w:rPr>
                      <w:rFonts w:ascii="Times New Roman" w:hAnsi="Times New Roman" w:eastAsia="宋体" w:cs="Times New Roman"/>
                      <w:b w:val="0"/>
                      <w:bCs w:val="0"/>
                      <w:spacing w:val="-2"/>
                      <w:sz w:val="21"/>
                      <w:szCs w:val="21"/>
                    </w:rPr>
                    <w:t>%</w:t>
                  </w:r>
                </w:p>
              </w:tc>
              <w:tc>
                <w:tcPr>
                  <w:tcW w:w="1470" w:type="dxa"/>
                  <w:tcBorders>
                    <w:top w:val="single" w:color="auto" w:sz="12" w:space="0"/>
                    <w:tl2br w:val="nil"/>
                    <w:tr2bl w:val="nil"/>
                  </w:tcBorders>
                  <w:vAlign w:val="center"/>
                </w:tcPr>
                <w:p w14:paraId="6889952F">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Times New Roman"/>
                      <w:b w:val="0"/>
                      <w:bCs w:val="0"/>
                      <w:sz w:val="21"/>
                      <w:szCs w:val="21"/>
                    </w:rPr>
                  </w:pPr>
                  <w:r>
                    <w:rPr>
                      <w:rFonts w:hint="eastAsia" w:ascii="Times New Roman" w:hAnsi="Times New Roman" w:eastAsia="宋体" w:cs="Times New Roman"/>
                      <w:b w:val="0"/>
                      <w:bCs w:val="0"/>
                      <w:spacing w:val="-1"/>
                      <w:sz w:val="21"/>
                      <w:szCs w:val="21"/>
                      <w:lang w:val="en-US" w:eastAsia="zh-CN"/>
                    </w:rPr>
                    <w:t>76.65</w:t>
                  </w:r>
                  <w:r>
                    <w:rPr>
                      <w:rFonts w:ascii="Times New Roman" w:hAnsi="Times New Roman" w:eastAsia="宋体" w:cs="Times New Roman"/>
                      <w:b w:val="0"/>
                      <w:bCs w:val="0"/>
                      <w:spacing w:val="-1"/>
                      <w:sz w:val="21"/>
                      <w:szCs w:val="21"/>
                    </w:rPr>
                    <w:t>%</w:t>
                  </w:r>
                </w:p>
              </w:tc>
              <w:tc>
                <w:tcPr>
                  <w:tcW w:w="1380" w:type="dxa"/>
                  <w:tcBorders>
                    <w:top w:val="single" w:color="auto" w:sz="12" w:space="0"/>
                    <w:tl2br w:val="nil"/>
                    <w:tr2bl w:val="nil"/>
                  </w:tcBorders>
                  <w:vAlign w:val="center"/>
                </w:tcPr>
                <w:p w14:paraId="21530396">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Times New Roman"/>
                      <w:b w:val="0"/>
                      <w:bCs w:val="0"/>
                      <w:sz w:val="21"/>
                      <w:szCs w:val="21"/>
                    </w:rPr>
                  </w:pPr>
                  <w:r>
                    <w:rPr>
                      <w:rFonts w:hint="eastAsia" w:ascii="Times New Roman" w:hAnsi="Times New Roman" w:eastAsia="宋体" w:cs="Times New Roman"/>
                      <w:b w:val="0"/>
                      <w:bCs w:val="0"/>
                      <w:spacing w:val="-2"/>
                      <w:sz w:val="21"/>
                      <w:szCs w:val="21"/>
                      <w:lang w:val="en-US" w:eastAsia="zh-CN"/>
                    </w:rPr>
                    <w:t>2.28</w:t>
                  </w:r>
                  <w:r>
                    <w:rPr>
                      <w:rFonts w:ascii="Times New Roman" w:hAnsi="Times New Roman" w:eastAsia="宋体" w:cs="Times New Roman"/>
                      <w:b w:val="0"/>
                      <w:bCs w:val="0"/>
                      <w:spacing w:val="-2"/>
                      <w:sz w:val="21"/>
                      <w:szCs w:val="21"/>
                    </w:rPr>
                    <w:t>%</w:t>
                  </w:r>
                </w:p>
              </w:tc>
              <w:tc>
                <w:tcPr>
                  <w:tcW w:w="1499" w:type="dxa"/>
                  <w:tcBorders>
                    <w:top w:val="single" w:color="auto" w:sz="12" w:space="0"/>
                    <w:tl2br w:val="nil"/>
                    <w:tr2bl w:val="nil"/>
                  </w:tcBorders>
                  <w:vAlign w:val="center"/>
                </w:tcPr>
                <w:p w14:paraId="78F9D283">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Times New Roman"/>
                      <w:b w:val="0"/>
                      <w:bCs w:val="0"/>
                      <w:sz w:val="21"/>
                      <w:szCs w:val="21"/>
                    </w:rPr>
                  </w:pPr>
                  <w:r>
                    <w:rPr>
                      <w:rFonts w:hint="eastAsia" w:ascii="Times New Roman" w:hAnsi="Times New Roman" w:eastAsia="宋体" w:cs="Times New Roman"/>
                      <w:b w:val="0"/>
                      <w:bCs w:val="0"/>
                      <w:spacing w:val="-4"/>
                      <w:sz w:val="21"/>
                      <w:szCs w:val="21"/>
                      <w:lang w:val="en-US" w:eastAsia="zh-CN"/>
                    </w:rPr>
                    <w:t>19.54</w:t>
                  </w:r>
                  <w:r>
                    <w:rPr>
                      <w:rFonts w:ascii="Times New Roman" w:hAnsi="Times New Roman" w:eastAsia="宋体" w:cs="Times New Roman"/>
                      <w:b w:val="0"/>
                      <w:bCs w:val="0"/>
                      <w:spacing w:val="-4"/>
                      <w:sz w:val="21"/>
                      <w:szCs w:val="21"/>
                    </w:rPr>
                    <w:t>%</w:t>
                  </w:r>
                </w:p>
              </w:tc>
              <w:tc>
                <w:tcPr>
                  <w:tcW w:w="1762" w:type="dxa"/>
                  <w:tcBorders>
                    <w:top w:val="single" w:color="auto" w:sz="12" w:space="0"/>
                    <w:tl2br w:val="nil"/>
                    <w:tr2bl w:val="nil"/>
                  </w:tcBorders>
                  <w:vAlign w:val="center"/>
                </w:tcPr>
                <w:p w14:paraId="142967AC">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Times New Roman"/>
                      <w:b w:val="0"/>
                      <w:bCs w:val="0"/>
                      <w:sz w:val="21"/>
                      <w:szCs w:val="21"/>
                    </w:rPr>
                  </w:pPr>
                  <w:r>
                    <w:rPr>
                      <w:rFonts w:ascii="Times New Roman" w:hAnsi="Times New Roman" w:eastAsia="宋体" w:cs="Times New Roman"/>
                      <w:b w:val="0"/>
                      <w:bCs w:val="0"/>
                      <w:spacing w:val="-1"/>
                      <w:sz w:val="21"/>
                      <w:szCs w:val="21"/>
                    </w:rPr>
                    <w:t>0.0</w:t>
                  </w:r>
                  <w:r>
                    <w:rPr>
                      <w:rFonts w:hint="eastAsia" w:ascii="Times New Roman" w:hAnsi="Times New Roman" w:eastAsia="宋体" w:cs="Times New Roman"/>
                      <w:b w:val="0"/>
                      <w:bCs w:val="0"/>
                      <w:spacing w:val="-1"/>
                      <w:sz w:val="21"/>
                      <w:szCs w:val="21"/>
                      <w:lang w:val="en-US" w:eastAsia="zh-CN"/>
                    </w:rPr>
                    <w:t>3</w:t>
                  </w:r>
                  <w:r>
                    <w:rPr>
                      <w:rFonts w:ascii="Times New Roman" w:hAnsi="Times New Roman" w:eastAsia="宋体" w:cs="Times New Roman"/>
                      <w:b w:val="0"/>
                      <w:bCs w:val="0"/>
                      <w:spacing w:val="-1"/>
                      <w:sz w:val="21"/>
                      <w:szCs w:val="21"/>
                    </w:rPr>
                    <w:t>%</w:t>
                  </w:r>
                </w:p>
              </w:tc>
            </w:tr>
            <w:tr w14:paraId="6516E241">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306" w:type="dxa"/>
                  <w:tcBorders>
                    <w:tl2br w:val="nil"/>
                    <w:tr2bl w:val="nil"/>
                  </w:tcBorders>
                  <w:vAlign w:val="center"/>
                </w:tcPr>
                <w:p w14:paraId="6CA2C355">
                  <w:pPr>
                    <w:pStyle w:val="11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b/>
                      <w:bCs/>
                      <w:sz w:val="21"/>
                    </w:rPr>
                  </w:pPr>
                  <w:r>
                    <w:rPr>
                      <w:rFonts w:ascii="Times New Roman" w:hAnsi="Times New Roman" w:eastAsia="宋体"/>
                      <w:b/>
                      <w:bCs/>
                      <w:spacing w:val="-3"/>
                      <w:sz w:val="21"/>
                    </w:rPr>
                    <w:t>焦渣特征</w:t>
                  </w:r>
                </w:p>
                <w:p w14:paraId="3BF04E32">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Times New Roman"/>
                      <w:b/>
                      <w:bCs/>
                      <w:sz w:val="21"/>
                      <w:szCs w:val="21"/>
                    </w:rPr>
                  </w:pPr>
                  <w:r>
                    <w:rPr>
                      <w:rFonts w:ascii="Times New Roman" w:hAnsi="Times New Roman" w:eastAsia="宋体" w:cs="Times New Roman"/>
                      <w:b/>
                      <w:bCs/>
                      <w:spacing w:val="-3"/>
                      <w:sz w:val="21"/>
                      <w:szCs w:val="21"/>
                    </w:rPr>
                    <w:t>CRC</w:t>
                  </w:r>
                </w:p>
              </w:tc>
              <w:tc>
                <w:tcPr>
                  <w:tcW w:w="1545" w:type="dxa"/>
                  <w:tcBorders>
                    <w:tl2br w:val="nil"/>
                    <w:tr2bl w:val="nil"/>
                  </w:tcBorders>
                  <w:vAlign w:val="center"/>
                </w:tcPr>
                <w:p w14:paraId="2FC34A18">
                  <w:pPr>
                    <w:pStyle w:val="11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b/>
                      <w:bCs/>
                      <w:sz w:val="21"/>
                    </w:rPr>
                  </w:pPr>
                  <w:r>
                    <w:rPr>
                      <w:rFonts w:ascii="Times New Roman" w:hAnsi="Times New Roman" w:eastAsia="宋体"/>
                      <w:b/>
                      <w:bCs/>
                      <w:spacing w:val="-3"/>
                      <w:sz w:val="21"/>
                    </w:rPr>
                    <w:t>干燥基挥发分</w:t>
                  </w:r>
                </w:p>
                <w:p w14:paraId="64537A13">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Times New Roman"/>
                      <w:b/>
                      <w:bCs/>
                      <w:sz w:val="21"/>
                      <w:szCs w:val="21"/>
                    </w:rPr>
                  </w:pPr>
                  <w:r>
                    <w:rPr>
                      <w:rFonts w:ascii="Times New Roman" w:hAnsi="Times New Roman" w:eastAsia="宋体" w:cs="Times New Roman"/>
                      <w:b/>
                      <w:bCs/>
                      <w:sz w:val="21"/>
                      <w:szCs w:val="21"/>
                    </w:rPr>
                    <w:t>Vd</w:t>
                  </w:r>
                </w:p>
              </w:tc>
              <w:tc>
                <w:tcPr>
                  <w:tcW w:w="1470" w:type="dxa"/>
                  <w:tcBorders>
                    <w:tl2br w:val="nil"/>
                    <w:tr2bl w:val="nil"/>
                  </w:tcBorders>
                  <w:vAlign w:val="center"/>
                </w:tcPr>
                <w:p w14:paraId="0C1AD63E">
                  <w:pPr>
                    <w:pStyle w:val="11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b/>
                      <w:bCs/>
                      <w:sz w:val="21"/>
                    </w:rPr>
                  </w:pPr>
                  <w:r>
                    <w:rPr>
                      <w:rFonts w:ascii="Times New Roman" w:hAnsi="Times New Roman" w:eastAsia="宋体"/>
                      <w:b/>
                      <w:bCs/>
                      <w:spacing w:val="-3"/>
                      <w:sz w:val="21"/>
                    </w:rPr>
                    <w:t>干燥基灰分</w:t>
                  </w:r>
                </w:p>
                <w:p w14:paraId="65C56EEC">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Times New Roman"/>
                      <w:b/>
                      <w:bCs/>
                      <w:sz w:val="21"/>
                      <w:szCs w:val="21"/>
                    </w:rPr>
                  </w:pPr>
                  <w:r>
                    <w:rPr>
                      <w:rFonts w:ascii="Times New Roman" w:hAnsi="Times New Roman" w:eastAsia="宋体" w:cs="Times New Roman"/>
                      <w:b/>
                      <w:bCs/>
                      <w:sz w:val="21"/>
                      <w:szCs w:val="21"/>
                    </w:rPr>
                    <w:t>Ad</w:t>
                  </w:r>
                </w:p>
              </w:tc>
              <w:tc>
                <w:tcPr>
                  <w:tcW w:w="1380" w:type="dxa"/>
                  <w:tcBorders>
                    <w:tl2br w:val="nil"/>
                    <w:tr2bl w:val="nil"/>
                  </w:tcBorders>
                  <w:vAlign w:val="center"/>
                </w:tcPr>
                <w:p w14:paraId="53FDA171">
                  <w:pPr>
                    <w:pStyle w:val="11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b/>
                      <w:bCs/>
                      <w:sz w:val="21"/>
                    </w:rPr>
                  </w:pPr>
                  <w:r>
                    <w:rPr>
                      <w:rFonts w:ascii="Times New Roman" w:hAnsi="Times New Roman" w:eastAsia="宋体"/>
                      <w:b/>
                      <w:bCs/>
                      <w:spacing w:val="-3"/>
                      <w:sz w:val="21"/>
                    </w:rPr>
                    <w:t>干燥基固定碳</w:t>
                  </w:r>
                </w:p>
                <w:p w14:paraId="6AE8B1D2">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Times New Roman"/>
                      <w:b/>
                      <w:bCs/>
                      <w:sz w:val="21"/>
                      <w:szCs w:val="21"/>
                    </w:rPr>
                  </w:pPr>
                  <w:r>
                    <w:rPr>
                      <w:rFonts w:ascii="Times New Roman" w:hAnsi="Times New Roman" w:eastAsia="宋体" w:cs="Times New Roman"/>
                      <w:b/>
                      <w:bCs/>
                      <w:spacing w:val="-2"/>
                      <w:sz w:val="21"/>
                      <w:szCs w:val="21"/>
                    </w:rPr>
                    <w:t>FCd</w:t>
                  </w:r>
                </w:p>
              </w:tc>
              <w:tc>
                <w:tcPr>
                  <w:tcW w:w="1499" w:type="dxa"/>
                  <w:tcBorders>
                    <w:tl2br w:val="nil"/>
                    <w:tr2bl w:val="nil"/>
                  </w:tcBorders>
                  <w:vAlign w:val="center"/>
                </w:tcPr>
                <w:p w14:paraId="3CF98FBB">
                  <w:pPr>
                    <w:pStyle w:val="113"/>
                    <w:keepNext w:val="0"/>
                    <w:keepLines w:val="0"/>
                    <w:pageBreakBefore w:val="0"/>
                    <w:widowControl w:val="0"/>
                    <w:kinsoku/>
                    <w:wordWrap/>
                    <w:overflowPunct/>
                    <w:topLinePunct w:val="0"/>
                    <w:autoSpaceDE/>
                    <w:autoSpaceDN/>
                    <w:bidi w:val="0"/>
                    <w:adjustRightInd/>
                    <w:snapToGrid/>
                    <w:spacing w:line="240" w:lineRule="auto"/>
                    <w:ind w:left="0" w:right="0" w:hanging="144"/>
                    <w:jc w:val="center"/>
                    <w:textAlignment w:val="auto"/>
                    <w:rPr>
                      <w:rFonts w:ascii="Times New Roman" w:hAnsi="Times New Roman" w:eastAsia="宋体" w:cs="Times New Roman"/>
                      <w:b/>
                      <w:bCs/>
                      <w:sz w:val="21"/>
                    </w:rPr>
                  </w:pPr>
                  <w:r>
                    <w:rPr>
                      <w:rFonts w:ascii="Times New Roman" w:hAnsi="Times New Roman" w:eastAsia="宋体"/>
                      <w:b/>
                      <w:bCs/>
                      <w:spacing w:val="-3"/>
                      <w:sz w:val="21"/>
                    </w:rPr>
                    <w:t>干燥基高位发</w:t>
                  </w:r>
                  <w:r>
                    <w:rPr>
                      <w:rFonts w:ascii="Times New Roman" w:hAnsi="Times New Roman" w:eastAsia="宋体"/>
                      <w:b/>
                      <w:bCs/>
                      <w:spacing w:val="-7"/>
                      <w:sz w:val="21"/>
                    </w:rPr>
                    <w:t>热量</w:t>
                  </w:r>
                  <w:r>
                    <w:rPr>
                      <w:rFonts w:ascii="Times New Roman" w:hAnsi="Times New Roman" w:eastAsia="宋体" w:cs="Times New Roman"/>
                      <w:b/>
                      <w:bCs/>
                      <w:spacing w:val="-7"/>
                      <w:sz w:val="21"/>
                    </w:rPr>
                    <w:t>Qgr,d</w:t>
                  </w:r>
                </w:p>
              </w:tc>
              <w:tc>
                <w:tcPr>
                  <w:tcW w:w="1762" w:type="dxa"/>
                  <w:tcBorders>
                    <w:tl2br w:val="nil"/>
                    <w:tr2bl w:val="nil"/>
                  </w:tcBorders>
                  <w:vAlign w:val="center"/>
                </w:tcPr>
                <w:p w14:paraId="3501B2BB">
                  <w:pPr>
                    <w:pStyle w:val="11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b/>
                      <w:bCs/>
                      <w:sz w:val="21"/>
                    </w:rPr>
                  </w:pPr>
                  <w:r>
                    <w:rPr>
                      <w:rFonts w:ascii="Times New Roman" w:hAnsi="Times New Roman" w:eastAsia="宋体"/>
                      <w:b/>
                      <w:bCs/>
                      <w:spacing w:val="-4"/>
                      <w:sz w:val="21"/>
                    </w:rPr>
                    <w:t>收到基发热量</w:t>
                  </w:r>
                </w:p>
                <w:p w14:paraId="327FEB98">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Times New Roman"/>
                      <w:b/>
                      <w:bCs/>
                      <w:sz w:val="21"/>
                      <w:szCs w:val="21"/>
                    </w:rPr>
                  </w:pPr>
                  <w:r>
                    <w:rPr>
                      <w:rFonts w:ascii="Times New Roman" w:hAnsi="Times New Roman" w:eastAsia="宋体" w:cs="Times New Roman"/>
                      <w:b/>
                      <w:bCs/>
                      <w:spacing w:val="-4"/>
                      <w:sz w:val="21"/>
                      <w:szCs w:val="21"/>
                    </w:rPr>
                    <w:t>Qy</w:t>
                  </w:r>
                </w:p>
              </w:tc>
            </w:tr>
            <w:tr w14:paraId="54610159">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306" w:type="dxa"/>
                  <w:tcBorders>
                    <w:tl2br w:val="nil"/>
                    <w:tr2bl w:val="nil"/>
                  </w:tcBorders>
                  <w:vAlign w:val="center"/>
                </w:tcPr>
                <w:p w14:paraId="373B0CFF">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b w:val="0"/>
                      <w:bCs w:val="0"/>
                      <w:sz w:val="21"/>
                      <w:szCs w:val="21"/>
                      <w:lang w:eastAsia="zh-CN"/>
                    </w:rPr>
                  </w:pPr>
                  <w:r>
                    <w:rPr>
                      <w:rFonts w:hint="eastAsia" w:ascii="Times New Roman" w:hAnsi="Times New Roman" w:eastAsia="宋体" w:cs="Times New Roman"/>
                      <w:b w:val="0"/>
                      <w:bCs w:val="0"/>
                      <w:sz w:val="21"/>
                      <w:szCs w:val="21"/>
                      <w:lang w:val="en-US" w:eastAsia="zh-CN"/>
                    </w:rPr>
                    <w:t>2</w:t>
                  </w:r>
                </w:p>
              </w:tc>
              <w:tc>
                <w:tcPr>
                  <w:tcW w:w="1545" w:type="dxa"/>
                  <w:tcBorders>
                    <w:tl2br w:val="nil"/>
                    <w:tr2bl w:val="nil"/>
                  </w:tcBorders>
                  <w:vAlign w:val="center"/>
                </w:tcPr>
                <w:p w14:paraId="2DD63AA5">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Times New Roman"/>
                      <w:b w:val="0"/>
                      <w:bCs w:val="0"/>
                      <w:sz w:val="21"/>
                      <w:szCs w:val="21"/>
                    </w:rPr>
                  </w:pPr>
                  <w:r>
                    <w:rPr>
                      <w:rFonts w:hint="eastAsia" w:ascii="Times New Roman" w:hAnsi="Times New Roman" w:eastAsia="宋体" w:cs="Times New Roman"/>
                      <w:b w:val="0"/>
                      <w:bCs w:val="0"/>
                      <w:spacing w:val="-1"/>
                      <w:sz w:val="21"/>
                      <w:szCs w:val="21"/>
                      <w:lang w:val="en-US" w:eastAsia="zh-CN"/>
                    </w:rPr>
                    <w:t>77.84</w:t>
                  </w:r>
                  <w:r>
                    <w:rPr>
                      <w:rFonts w:ascii="Times New Roman" w:hAnsi="Times New Roman" w:eastAsia="宋体" w:cs="Times New Roman"/>
                      <w:b w:val="0"/>
                      <w:bCs w:val="0"/>
                      <w:spacing w:val="-1"/>
                      <w:sz w:val="21"/>
                      <w:szCs w:val="21"/>
                    </w:rPr>
                    <w:t>%</w:t>
                  </w:r>
                </w:p>
              </w:tc>
              <w:tc>
                <w:tcPr>
                  <w:tcW w:w="1470" w:type="dxa"/>
                  <w:tcBorders>
                    <w:tl2br w:val="nil"/>
                    <w:tr2bl w:val="nil"/>
                  </w:tcBorders>
                  <w:vAlign w:val="center"/>
                </w:tcPr>
                <w:p w14:paraId="5CA052F5">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Times New Roman"/>
                      <w:b w:val="0"/>
                      <w:bCs w:val="0"/>
                      <w:sz w:val="21"/>
                      <w:szCs w:val="21"/>
                    </w:rPr>
                  </w:pPr>
                  <w:r>
                    <w:rPr>
                      <w:rFonts w:hint="eastAsia" w:ascii="Times New Roman" w:hAnsi="Times New Roman" w:eastAsia="宋体" w:cs="Times New Roman"/>
                      <w:b w:val="0"/>
                      <w:bCs w:val="0"/>
                      <w:spacing w:val="-2"/>
                      <w:sz w:val="21"/>
                      <w:szCs w:val="21"/>
                      <w:lang w:val="en-US" w:eastAsia="zh-CN"/>
                    </w:rPr>
                    <w:t>2.32</w:t>
                  </w:r>
                  <w:r>
                    <w:rPr>
                      <w:rFonts w:ascii="Times New Roman" w:hAnsi="Times New Roman" w:eastAsia="宋体" w:cs="Times New Roman"/>
                      <w:b w:val="0"/>
                      <w:bCs w:val="0"/>
                      <w:spacing w:val="-2"/>
                      <w:sz w:val="21"/>
                      <w:szCs w:val="21"/>
                    </w:rPr>
                    <w:t>%</w:t>
                  </w:r>
                </w:p>
              </w:tc>
              <w:tc>
                <w:tcPr>
                  <w:tcW w:w="1380" w:type="dxa"/>
                  <w:tcBorders>
                    <w:tl2br w:val="nil"/>
                    <w:tr2bl w:val="nil"/>
                  </w:tcBorders>
                  <w:vAlign w:val="center"/>
                </w:tcPr>
                <w:p w14:paraId="080112F2">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Times New Roman"/>
                      <w:b w:val="0"/>
                      <w:bCs w:val="0"/>
                      <w:sz w:val="21"/>
                      <w:szCs w:val="21"/>
                    </w:rPr>
                  </w:pPr>
                  <w:r>
                    <w:rPr>
                      <w:rFonts w:hint="eastAsia" w:ascii="Times New Roman" w:hAnsi="Times New Roman" w:eastAsia="宋体" w:cs="Times New Roman"/>
                      <w:b w:val="0"/>
                      <w:bCs w:val="0"/>
                      <w:spacing w:val="-4"/>
                      <w:sz w:val="21"/>
                      <w:szCs w:val="21"/>
                      <w:lang w:val="en-US" w:eastAsia="zh-CN"/>
                    </w:rPr>
                    <w:t>19.84</w:t>
                  </w:r>
                  <w:r>
                    <w:rPr>
                      <w:rFonts w:ascii="Times New Roman" w:hAnsi="Times New Roman" w:eastAsia="宋体" w:cs="Times New Roman"/>
                      <w:b w:val="0"/>
                      <w:bCs w:val="0"/>
                      <w:spacing w:val="-4"/>
                      <w:sz w:val="21"/>
                      <w:szCs w:val="21"/>
                    </w:rPr>
                    <w:t>%</w:t>
                  </w:r>
                </w:p>
              </w:tc>
              <w:tc>
                <w:tcPr>
                  <w:tcW w:w="1499" w:type="dxa"/>
                  <w:tcBorders>
                    <w:tl2br w:val="nil"/>
                    <w:tr2bl w:val="nil"/>
                  </w:tcBorders>
                  <w:vAlign w:val="center"/>
                </w:tcPr>
                <w:p w14:paraId="4F03752B">
                  <w:pPr>
                    <w:pStyle w:val="113"/>
                    <w:keepNext w:val="0"/>
                    <w:keepLines w:val="0"/>
                    <w:pageBreakBefore w:val="0"/>
                    <w:widowControl w:val="0"/>
                    <w:kinsoku/>
                    <w:wordWrap/>
                    <w:overflowPunct/>
                    <w:topLinePunct w:val="0"/>
                    <w:autoSpaceDE/>
                    <w:autoSpaceDN/>
                    <w:bidi w:val="0"/>
                    <w:adjustRightInd/>
                    <w:snapToGrid/>
                    <w:spacing w:line="240" w:lineRule="auto"/>
                    <w:ind w:left="0" w:right="0" w:hanging="23"/>
                    <w:jc w:val="center"/>
                    <w:textAlignment w:val="auto"/>
                    <w:rPr>
                      <w:rFonts w:ascii="Times New Roman" w:hAnsi="Times New Roman" w:eastAsia="宋体" w:cs="Times New Roman"/>
                      <w:b w:val="0"/>
                      <w:bCs w:val="0"/>
                      <w:sz w:val="21"/>
                    </w:rPr>
                  </w:pPr>
                  <w:r>
                    <w:rPr>
                      <w:rFonts w:hint="eastAsia" w:ascii="Times New Roman" w:hAnsi="Times New Roman" w:eastAsia="宋体" w:cs="Times New Roman"/>
                      <w:b w:val="0"/>
                      <w:bCs w:val="0"/>
                      <w:spacing w:val="-3"/>
                      <w:sz w:val="21"/>
                      <w:lang w:val="en-US" w:eastAsia="zh-CN"/>
                    </w:rPr>
                    <w:t>18.44</w:t>
                  </w:r>
                  <w:r>
                    <w:rPr>
                      <w:rFonts w:ascii="Times New Roman" w:hAnsi="Times New Roman" w:eastAsia="宋体" w:cs="Times New Roman"/>
                      <w:b w:val="0"/>
                      <w:bCs w:val="0"/>
                      <w:spacing w:val="-3"/>
                      <w:sz w:val="21"/>
                    </w:rPr>
                    <w:t>MJ/kg</w:t>
                  </w:r>
                  <w:r>
                    <w:rPr>
                      <w:rFonts w:ascii="Times New Roman" w:hAnsi="Times New Roman" w:eastAsia="宋体"/>
                      <w:b w:val="0"/>
                      <w:bCs w:val="0"/>
                      <w:spacing w:val="-3"/>
                      <w:sz w:val="21"/>
                    </w:rPr>
                    <w:t>（</w:t>
                  </w:r>
                  <w:r>
                    <w:rPr>
                      <w:rFonts w:ascii="Times New Roman" w:hAnsi="Times New Roman" w:eastAsia="宋体" w:cs="Times New Roman"/>
                      <w:b w:val="0"/>
                      <w:bCs w:val="0"/>
                      <w:spacing w:val="-3"/>
                      <w:sz w:val="21"/>
                    </w:rPr>
                    <w:t>4</w:t>
                  </w:r>
                  <w:r>
                    <w:rPr>
                      <w:rFonts w:hint="eastAsia" w:ascii="Times New Roman" w:hAnsi="Times New Roman" w:eastAsia="宋体" w:cs="Times New Roman"/>
                      <w:b w:val="0"/>
                      <w:bCs w:val="0"/>
                      <w:spacing w:val="-3"/>
                      <w:sz w:val="21"/>
                      <w:lang w:val="en-US" w:eastAsia="zh-CN"/>
                    </w:rPr>
                    <w:t>411</w:t>
                  </w:r>
                  <w:r>
                    <w:rPr>
                      <w:rFonts w:ascii="Times New Roman" w:hAnsi="Times New Roman" w:eastAsia="宋体"/>
                      <w:b w:val="0"/>
                      <w:bCs w:val="0"/>
                      <w:spacing w:val="-3"/>
                      <w:sz w:val="21"/>
                    </w:rPr>
                    <w:t>卡</w:t>
                  </w:r>
                  <w:r>
                    <w:rPr>
                      <w:rFonts w:ascii="Times New Roman" w:hAnsi="Times New Roman" w:eastAsia="宋体" w:cs="Times New Roman"/>
                      <w:b w:val="0"/>
                      <w:bCs w:val="0"/>
                      <w:spacing w:val="-3"/>
                      <w:sz w:val="21"/>
                    </w:rPr>
                    <w:t>/</w:t>
                  </w:r>
                </w:p>
                <w:p w14:paraId="2F80C66C">
                  <w:pPr>
                    <w:pStyle w:val="11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b w:val="0"/>
                      <w:bCs w:val="0"/>
                      <w:sz w:val="21"/>
                    </w:rPr>
                  </w:pPr>
                  <w:r>
                    <w:rPr>
                      <w:rFonts w:ascii="Times New Roman" w:hAnsi="Times New Roman" w:eastAsia="宋体"/>
                      <w:b w:val="0"/>
                      <w:bCs w:val="0"/>
                      <w:spacing w:val="-7"/>
                      <w:sz w:val="21"/>
                    </w:rPr>
                    <w:t>克）</w:t>
                  </w:r>
                </w:p>
              </w:tc>
              <w:tc>
                <w:tcPr>
                  <w:tcW w:w="1762" w:type="dxa"/>
                  <w:tcBorders>
                    <w:tl2br w:val="nil"/>
                    <w:tr2bl w:val="nil"/>
                  </w:tcBorders>
                  <w:vAlign w:val="center"/>
                </w:tcPr>
                <w:p w14:paraId="4D248A2C">
                  <w:pPr>
                    <w:pStyle w:val="113"/>
                    <w:keepNext w:val="0"/>
                    <w:keepLines w:val="0"/>
                    <w:pageBreakBefore w:val="0"/>
                    <w:widowControl w:val="0"/>
                    <w:kinsoku/>
                    <w:wordWrap/>
                    <w:overflowPunct/>
                    <w:topLinePunct w:val="0"/>
                    <w:autoSpaceDE/>
                    <w:autoSpaceDN/>
                    <w:bidi w:val="0"/>
                    <w:adjustRightInd/>
                    <w:snapToGrid/>
                    <w:spacing w:line="240" w:lineRule="auto"/>
                    <w:ind w:left="0" w:right="0" w:hanging="25"/>
                    <w:jc w:val="center"/>
                    <w:textAlignment w:val="auto"/>
                    <w:rPr>
                      <w:rFonts w:ascii="Times New Roman" w:hAnsi="Times New Roman" w:eastAsia="宋体" w:cs="Times New Roman"/>
                      <w:b w:val="0"/>
                      <w:bCs w:val="0"/>
                      <w:sz w:val="21"/>
                    </w:rPr>
                  </w:pPr>
                  <w:r>
                    <w:rPr>
                      <w:rFonts w:hint="eastAsia" w:ascii="Times New Roman" w:hAnsi="Times New Roman" w:eastAsia="宋体" w:cs="Times New Roman"/>
                      <w:b w:val="0"/>
                      <w:bCs w:val="0"/>
                      <w:spacing w:val="-3"/>
                      <w:sz w:val="21"/>
                      <w:lang w:val="en-US" w:eastAsia="zh-CN"/>
                    </w:rPr>
                    <w:t>16.79</w:t>
                  </w:r>
                  <w:r>
                    <w:rPr>
                      <w:rFonts w:ascii="Times New Roman" w:hAnsi="Times New Roman" w:eastAsia="宋体" w:cs="Times New Roman"/>
                      <w:b w:val="0"/>
                      <w:bCs w:val="0"/>
                      <w:spacing w:val="-3"/>
                      <w:sz w:val="21"/>
                    </w:rPr>
                    <w:t>MJ/kg</w:t>
                  </w:r>
                  <w:r>
                    <w:rPr>
                      <w:rFonts w:ascii="Times New Roman" w:hAnsi="Times New Roman" w:eastAsia="宋体"/>
                      <w:b w:val="0"/>
                      <w:bCs w:val="0"/>
                      <w:spacing w:val="-3"/>
                      <w:sz w:val="21"/>
                    </w:rPr>
                    <w:t>（</w:t>
                  </w:r>
                  <w:r>
                    <w:rPr>
                      <w:rFonts w:hint="eastAsia" w:ascii="Times New Roman" w:hAnsi="Times New Roman" w:eastAsia="宋体" w:cs="Times New Roman"/>
                      <w:b w:val="0"/>
                      <w:bCs w:val="0"/>
                      <w:spacing w:val="-3"/>
                      <w:sz w:val="21"/>
                      <w:lang w:val="en-US" w:eastAsia="zh-CN"/>
                    </w:rPr>
                    <w:t>4015</w:t>
                  </w:r>
                  <w:r>
                    <w:rPr>
                      <w:rFonts w:ascii="Times New Roman" w:hAnsi="Times New Roman" w:eastAsia="宋体"/>
                      <w:b w:val="0"/>
                      <w:bCs w:val="0"/>
                      <w:spacing w:val="-3"/>
                      <w:sz w:val="21"/>
                    </w:rPr>
                    <w:t>卡</w:t>
                  </w:r>
                  <w:r>
                    <w:rPr>
                      <w:rFonts w:ascii="Times New Roman" w:hAnsi="Times New Roman" w:eastAsia="宋体" w:cs="Times New Roman"/>
                      <w:b w:val="0"/>
                      <w:bCs w:val="0"/>
                      <w:spacing w:val="-3"/>
                      <w:sz w:val="21"/>
                    </w:rPr>
                    <w:t>/</w:t>
                  </w:r>
                </w:p>
                <w:p w14:paraId="0F556D21">
                  <w:pPr>
                    <w:pStyle w:val="11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b w:val="0"/>
                      <w:bCs w:val="0"/>
                      <w:sz w:val="21"/>
                    </w:rPr>
                  </w:pPr>
                  <w:r>
                    <w:rPr>
                      <w:rFonts w:ascii="Times New Roman" w:hAnsi="Times New Roman" w:eastAsia="宋体"/>
                      <w:b w:val="0"/>
                      <w:bCs w:val="0"/>
                      <w:spacing w:val="-7"/>
                      <w:sz w:val="21"/>
                    </w:rPr>
                    <w:t>克）</w:t>
                  </w:r>
                </w:p>
              </w:tc>
            </w:tr>
          </w:tbl>
          <w:p w14:paraId="009F514A">
            <w:pPr>
              <w:rPr>
                <w:rFonts w:hint="eastAsia"/>
              </w:rPr>
            </w:pPr>
          </w:p>
          <w:p w14:paraId="639B9427">
            <w:pPr>
              <w:pStyle w:val="44"/>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）主要能耗</w:t>
            </w:r>
          </w:p>
          <w:p w14:paraId="5744D243">
            <w:pPr>
              <w:pStyle w:val="44"/>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项目主要能源消耗情况见下表。</w:t>
            </w:r>
          </w:p>
          <w:p w14:paraId="6D56EA11">
            <w:pPr>
              <w:pStyle w:val="42"/>
              <w:keepNext/>
              <w:keepLines/>
              <w:pageBreakBefore w:val="0"/>
              <w:widowControl w:val="0"/>
              <w:kinsoku/>
              <w:wordWrap/>
              <w:overflowPunct/>
              <w:topLinePunct w:val="0"/>
              <w:autoSpaceDE/>
              <w:autoSpaceDN/>
              <w:bidi w:val="0"/>
              <w:adjustRightInd/>
              <w:snapToGrid/>
              <w:spacing w:before="0" w:after="0"/>
              <w:ind w:left="630" w:leftChars="0" w:firstLineChars="0"/>
              <w:textAlignment w:val="auto"/>
              <w:rPr>
                <w:rFonts w:hint="eastAsia" w:ascii="Times New Roman" w:hAnsi="Times New Roman" w:eastAsia="宋体"/>
                <w:color w:val="000000" w:themeColor="text1"/>
                <w:highlight w:val="none"/>
                <w:shd w:val="clear"/>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项目主</w:t>
            </w:r>
            <w:r>
              <w:rPr>
                <w:rFonts w:hint="eastAsia" w:ascii="Times New Roman" w:hAnsi="Times New Roman" w:eastAsia="宋体"/>
                <w:color w:val="000000" w:themeColor="text1"/>
                <w:highlight w:val="none"/>
                <w:shd w:val="clear"/>
                <w14:textFill>
                  <w14:solidFill>
                    <w14:schemeClr w14:val="tx1"/>
                  </w14:solidFill>
                </w14:textFill>
              </w:rPr>
              <w:t>要能耗一览表</w:t>
            </w:r>
          </w:p>
          <w:tbl>
            <w:tblPr>
              <w:tblStyle w:val="32"/>
              <w:tblW w:w="869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08"/>
              <w:gridCol w:w="2052"/>
              <w:gridCol w:w="2295"/>
              <w:gridCol w:w="2837"/>
            </w:tblGrid>
            <w:tr w14:paraId="7A2720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1508" w:type="dxa"/>
                  <w:vMerge w:val="restart"/>
                  <w:tcBorders>
                    <w:tl2br w:val="nil"/>
                    <w:tr2bl w:val="nil"/>
                  </w:tcBorders>
                  <w:shd w:val="clear" w:color="auto" w:fill="auto"/>
                  <w:vAlign w:val="center"/>
                </w:tcPr>
                <w:p w14:paraId="6DEC34D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序号</w:t>
                  </w:r>
                </w:p>
              </w:tc>
              <w:tc>
                <w:tcPr>
                  <w:tcW w:w="2052" w:type="dxa"/>
                  <w:vMerge w:val="restart"/>
                  <w:tcBorders>
                    <w:tl2br w:val="nil"/>
                    <w:tr2bl w:val="nil"/>
                  </w:tcBorders>
                  <w:shd w:val="clear" w:color="auto" w:fill="auto"/>
                  <w:vAlign w:val="center"/>
                </w:tcPr>
                <w:p w14:paraId="6C61C6B3">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名称</w:t>
                  </w:r>
                </w:p>
              </w:tc>
              <w:tc>
                <w:tcPr>
                  <w:tcW w:w="2295" w:type="dxa"/>
                  <w:vMerge w:val="restart"/>
                  <w:tcBorders>
                    <w:tl2br w:val="nil"/>
                    <w:tr2bl w:val="nil"/>
                  </w:tcBorders>
                  <w:shd w:val="clear" w:color="auto" w:fill="auto"/>
                  <w:vAlign w:val="center"/>
                </w:tcPr>
                <w:p w14:paraId="2F9E51B3">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单位</w:t>
                  </w:r>
                </w:p>
              </w:tc>
              <w:tc>
                <w:tcPr>
                  <w:tcW w:w="2837" w:type="dxa"/>
                  <w:vMerge w:val="restart"/>
                  <w:tcBorders>
                    <w:tl2br w:val="nil"/>
                    <w:tr2bl w:val="nil"/>
                  </w:tcBorders>
                  <w:shd w:val="clear" w:color="auto" w:fill="auto"/>
                  <w:vAlign w:val="center"/>
                </w:tcPr>
                <w:p w14:paraId="3FA2BE53">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年用量</w:t>
                  </w:r>
                </w:p>
              </w:tc>
            </w:tr>
            <w:tr w14:paraId="58D809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508" w:type="dxa"/>
                  <w:vMerge w:val="continue"/>
                  <w:tcBorders>
                    <w:tl2br w:val="nil"/>
                    <w:tr2bl w:val="nil"/>
                  </w:tcBorders>
                  <w:shd w:val="clear" w:color="auto" w:fill="auto"/>
                  <w:vAlign w:val="center"/>
                </w:tcPr>
                <w:p w14:paraId="17ABE2BF">
                  <w:pPr>
                    <w:pStyle w:val="30"/>
                    <w:widowControl w:val="0"/>
                    <w:spacing w:before="0" w:beforeAutospacing="0" w:after="0" w:afterAutospacing="0" w:line="240" w:lineRule="auto"/>
                    <w:jc w:val="center"/>
                    <w:rPr>
                      <w:rFonts w:ascii="Times New Roman" w:hAnsi="Times New Roman"/>
                      <w:color w:val="000000" w:themeColor="text1"/>
                      <w:sz w:val="21"/>
                      <w:szCs w:val="21"/>
                      <w:highlight w:val="none"/>
                      <w14:textFill>
                        <w14:solidFill>
                          <w14:schemeClr w14:val="tx1"/>
                        </w14:solidFill>
                      </w14:textFill>
                    </w:rPr>
                  </w:pPr>
                </w:p>
              </w:tc>
              <w:tc>
                <w:tcPr>
                  <w:tcW w:w="2052" w:type="dxa"/>
                  <w:vMerge w:val="continue"/>
                  <w:tcBorders>
                    <w:tl2br w:val="nil"/>
                    <w:tr2bl w:val="nil"/>
                  </w:tcBorders>
                  <w:shd w:val="clear" w:color="auto" w:fill="auto"/>
                  <w:vAlign w:val="center"/>
                </w:tcPr>
                <w:p w14:paraId="49A0BD8D">
                  <w:pPr>
                    <w:pStyle w:val="30"/>
                    <w:widowControl w:val="0"/>
                    <w:spacing w:before="0" w:beforeAutospacing="0" w:after="0" w:afterAutospacing="0" w:line="240" w:lineRule="auto"/>
                    <w:jc w:val="center"/>
                    <w:rPr>
                      <w:rFonts w:ascii="Times New Roman" w:hAnsi="Times New Roman"/>
                      <w:color w:val="000000" w:themeColor="text1"/>
                      <w:sz w:val="21"/>
                      <w:szCs w:val="21"/>
                      <w:highlight w:val="none"/>
                      <w14:textFill>
                        <w14:solidFill>
                          <w14:schemeClr w14:val="tx1"/>
                        </w14:solidFill>
                      </w14:textFill>
                    </w:rPr>
                  </w:pPr>
                </w:p>
              </w:tc>
              <w:tc>
                <w:tcPr>
                  <w:tcW w:w="2295" w:type="dxa"/>
                  <w:vMerge w:val="continue"/>
                  <w:tcBorders>
                    <w:tl2br w:val="nil"/>
                    <w:tr2bl w:val="nil"/>
                  </w:tcBorders>
                  <w:shd w:val="clear" w:color="auto" w:fill="auto"/>
                  <w:vAlign w:val="center"/>
                </w:tcPr>
                <w:p w14:paraId="1F65CC30">
                  <w:pPr>
                    <w:pStyle w:val="30"/>
                    <w:widowControl w:val="0"/>
                    <w:spacing w:before="0" w:beforeAutospacing="0" w:after="0" w:afterAutospacing="0" w:line="240" w:lineRule="auto"/>
                    <w:jc w:val="center"/>
                    <w:rPr>
                      <w:rFonts w:ascii="Times New Roman" w:hAnsi="Times New Roman"/>
                      <w:color w:val="000000" w:themeColor="text1"/>
                      <w:sz w:val="21"/>
                      <w:szCs w:val="21"/>
                      <w:highlight w:val="none"/>
                      <w14:textFill>
                        <w14:solidFill>
                          <w14:schemeClr w14:val="tx1"/>
                        </w14:solidFill>
                      </w14:textFill>
                    </w:rPr>
                  </w:pPr>
                </w:p>
              </w:tc>
              <w:tc>
                <w:tcPr>
                  <w:tcW w:w="2837" w:type="dxa"/>
                  <w:vMerge w:val="continue"/>
                  <w:tcBorders>
                    <w:tl2br w:val="nil"/>
                    <w:tr2bl w:val="nil"/>
                  </w:tcBorders>
                  <w:shd w:val="clear" w:color="auto" w:fill="auto"/>
                  <w:vAlign w:val="center"/>
                </w:tcPr>
                <w:p w14:paraId="1A2E293D">
                  <w:pPr>
                    <w:pStyle w:val="30"/>
                    <w:widowControl w:val="0"/>
                    <w:spacing w:before="0" w:beforeAutospacing="0" w:after="0" w:afterAutospacing="0" w:line="240" w:lineRule="auto"/>
                    <w:jc w:val="center"/>
                    <w:rPr>
                      <w:rFonts w:ascii="Times New Roman" w:hAnsi="Times New Roman"/>
                      <w:color w:val="000000" w:themeColor="text1"/>
                      <w:sz w:val="21"/>
                      <w:szCs w:val="21"/>
                      <w:highlight w:val="none"/>
                      <w14:textFill>
                        <w14:solidFill>
                          <w14:schemeClr w14:val="tx1"/>
                        </w14:solidFill>
                      </w14:textFill>
                    </w:rPr>
                  </w:pPr>
                </w:p>
              </w:tc>
            </w:tr>
            <w:tr w14:paraId="08CDFB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1508" w:type="dxa"/>
                  <w:tcBorders>
                    <w:tl2br w:val="nil"/>
                    <w:tr2bl w:val="nil"/>
                  </w:tcBorders>
                  <w:shd w:val="clear" w:color="auto" w:fill="auto"/>
                  <w:vAlign w:val="center"/>
                </w:tcPr>
                <w:p w14:paraId="69504F8F">
                  <w:pPr>
                    <w:pStyle w:val="30"/>
                    <w:widowControl w:val="0"/>
                    <w:spacing w:before="0" w:beforeAutospacing="0" w:after="0" w:afterAutospacing="0" w:line="240" w:lineRule="auto"/>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1</w:t>
                  </w:r>
                </w:p>
              </w:tc>
              <w:tc>
                <w:tcPr>
                  <w:tcW w:w="2052" w:type="dxa"/>
                  <w:tcBorders>
                    <w:tl2br w:val="nil"/>
                    <w:tr2bl w:val="nil"/>
                  </w:tcBorders>
                  <w:shd w:val="clear" w:color="auto" w:fill="auto"/>
                  <w:vAlign w:val="center"/>
                </w:tcPr>
                <w:p w14:paraId="4ECED1BD">
                  <w:pPr>
                    <w:pStyle w:val="30"/>
                    <w:widowControl w:val="0"/>
                    <w:spacing w:before="0" w:beforeAutospacing="0" w:after="0" w:afterAutospacing="0" w:line="240" w:lineRule="auto"/>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shd w:val="clear"/>
                      <w14:textFill>
                        <w14:solidFill>
                          <w14:schemeClr w14:val="tx1"/>
                        </w14:solidFill>
                      </w14:textFill>
                    </w:rPr>
                    <w:t>新鲜水</w:t>
                  </w:r>
                </w:p>
              </w:tc>
              <w:tc>
                <w:tcPr>
                  <w:tcW w:w="2295" w:type="dxa"/>
                  <w:tcBorders>
                    <w:tl2br w:val="nil"/>
                    <w:tr2bl w:val="nil"/>
                  </w:tcBorders>
                  <w:shd w:val="clear" w:color="auto" w:fill="auto"/>
                  <w:vAlign w:val="center"/>
                </w:tcPr>
                <w:p w14:paraId="3DAFDB29">
                  <w:pPr>
                    <w:pStyle w:val="30"/>
                    <w:widowControl w:val="0"/>
                    <w:spacing w:before="0" w:beforeAutospacing="0" w:after="0" w:afterAutospacing="0" w:line="240" w:lineRule="auto"/>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t/a</w:t>
                  </w:r>
                </w:p>
              </w:tc>
              <w:tc>
                <w:tcPr>
                  <w:tcW w:w="2837" w:type="dxa"/>
                  <w:tcBorders>
                    <w:tl2br w:val="nil"/>
                    <w:tr2bl w:val="nil"/>
                  </w:tcBorders>
                  <w:shd w:val="clear" w:color="auto" w:fill="auto"/>
                  <w:vAlign w:val="center"/>
                </w:tcPr>
                <w:p w14:paraId="2F35DCF5">
                  <w:pPr>
                    <w:widowControl/>
                    <w:spacing w:line="240" w:lineRule="auto"/>
                    <w:jc w:val="center"/>
                    <w:textAlignment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13225</w:t>
                  </w:r>
                </w:p>
              </w:tc>
            </w:tr>
            <w:tr w14:paraId="688274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1508" w:type="dxa"/>
                  <w:tcBorders>
                    <w:tl2br w:val="nil"/>
                    <w:tr2bl w:val="nil"/>
                  </w:tcBorders>
                  <w:shd w:val="clear" w:color="auto" w:fill="auto"/>
                  <w:vAlign w:val="center"/>
                </w:tcPr>
                <w:p w14:paraId="15EC1E98">
                  <w:pPr>
                    <w:pStyle w:val="30"/>
                    <w:widowControl w:val="0"/>
                    <w:spacing w:before="0" w:beforeAutospacing="0" w:after="0" w:afterAutospacing="0" w:line="240" w:lineRule="auto"/>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2</w:t>
                  </w:r>
                </w:p>
              </w:tc>
              <w:tc>
                <w:tcPr>
                  <w:tcW w:w="2052" w:type="dxa"/>
                  <w:tcBorders>
                    <w:tl2br w:val="nil"/>
                    <w:tr2bl w:val="nil"/>
                  </w:tcBorders>
                  <w:shd w:val="clear" w:color="auto" w:fill="auto"/>
                  <w:vAlign w:val="center"/>
                </w:tcPr>
                <w:p w14:paraId="0CE5E088">
                  <w:pPr>
                    <w:pStyle w:val="30"/>
                    <w:widowControl w:val="0"/>
                    <w:spacing w:before="0" w:beforeAutospacing="0" w:after="0" w:afterAutospacing="0" w:line="240" w:lineRule="auto"/>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电</w:t>
                  </w:r>
                </w:p>
              </w:tc>
              <w:tc>
                <w:tcPr>
                  <w:tcW w:w="2295" w:type="dxa"/>
                  <w:tcBorders>
                    <w:tl2br w:val="nil"/>
                    <w:tr2bl w:val="nil"/>
                  </w:tcBorders>
                  <w:shd w:val="clear" w:color="auto" w:fill="auto"/>
                  <w:vAlign w:val="center"/>
                </w:tcPr>
                <w:p w14:paraId="0084DC74">
                  <w:pPr>
                    <w:pStyle w:val="30"/>
                    <w:widowControl w:val="0"/>
                    <w:spacing w:before="0" w:beforeAutospacing="0" w:after="0" w:afterAutospacing="0" w:line="240" w:lineRule="auto"/>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万kwh/a</w:t>
                  </w:r>
                </w:p>
              </w:tc>
              <w:tc>
                <w:tcPr>
                  <w:tcW w:w="2837" w:type="dxa"/>
                  <w:tcBorders>
                    <w:tl2br w:val="nil"/>
                    <w:tr2bl w:val="nil"/>
                  </w:tcBorders>
                  <w:shd w:val="clear" w:color="auto" w:fill="auto"/>
                  <w:vAlign w:val="center"/>
                </w:tcPr>
                <w:p w14:paraId="4196CE87">
                  <w:pPr>
                    <w:widowControl/>
                    <w:spacing w:line="240" w:lineRule="auto"/>
                    <w:jc w:val="center"/>
                    <w:textAlignment w:val="center"/>
                    <w:rPr>
                      <w:rFonts w:hint="default" w:eastAsia="宋体"/>
                      <w:color w:val="000000" w:themeColor="text1"/>
                      <w:szCs w:val="21"/>
                      <w:highlight w:val="none"/>
                      <w:lang w:val="en-US" w:eastAsia="zh-CN"/>
                      <w14:textFill>
                        <w14:solidFill>
                          <w14:schemeClr w14:val="tx1"/>
                        </w14:solidFill>
                      </w14:textFill>
                    </w:rPr>
                  </w:pPr>
                  <w:r>
                    <w:rPr>
                      <w:rFonts w:hint="eastAsia" w:cs="Times New Roman"/>
                      <w:color w:val="auto"/>
                      <w:spacing w:val="2"/>
                      <w:sz w:val="21"/>
                      <w:szCs w:val="21"/>
                      <w:lang w:val="en-US" w:eastAsia="zh-CN"/>
                    </w:rPr>
                    <w:t>9.2</w:t>
                  </w:r>
                </w:p>
              </w:tc>
            </w:tr>
          </w:tbl>
          <w:p w14:paraId="21FCED99">
            <w:pPr>
              <w:pStyle w:val="3"/>
              <w:bidi w:val="0"/>
              <w:ind w:left="0" w:leftChars="0" w:firstLine="0" w:firstLineChars="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水平衡及物料平衡</w:t>
            </w:r>
          </w:p>
          <w:p w14:paraId="73FE9C8C">
            <w:pPr>
              <w:pStyle w:val="4"/>
              <w:numPr>
                <w:ilvl w:val="2"/>
                <w:numId w:val="1"/>
              </w:numPr>
              <w:bidi w:val="0"/>
              <w:ind w:left="720" w:leftChars="0" w:hanging="720" w:firstLineChars="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水平衡</w:t>
            </w:r>
          </w:p>
          <w:p w14:paraId="131B4530">
            <w:pPr>
              <w:pStyle w:val="44"/>
              <w:ind w:firstLine="480"/>
              <w:rPr>
                <w:rFonts w:hint="eastAsia" w:ascii="Times New Roman" w:hAnsi="Times New Roman"/>
                <w:color w:val="000000" w:themeColor="text1"/>
                <w:highlight w:val="none"/>
                <w14:textFill>
                  <w14:solidFill>
                    <w14:schemeClr w14:val="tx1"/>
                  </w14:solidFill>
                </w14:textFill>
              </w:rPr>
            </w:pPr>
            <w:r>
              <w:rPr>
                <w:rFonts w:ascii="Times New Roman" w:hAnsi="Times New Roman" w:eastAsia="宋体" w:cs="宋体"/>
                <w:color w:val="000000" w:themeColor="text1"/>
                <w:kern w:val="0"/>
                <w:sz w:val="24"/>
                <w:szCs w:val="20"/>
                <w:lang w:val="zh-CN" w:eastAsia="zh-CN" w:bidi="ar-SA"/>
                <w14:textFill>
                  <w14:solidFill>
                    <w14:schemeClr w14:val="tx1"/>
                  </w14:solidFill>
                </w14:textFill>
              </w:rPr>
              <w:t>（1）</w:t>
            </w:r>
            <w:r>
              <w:rPr>
                <w:rFonts w:hint="eastAsia"/>
                <w:color w:val="000000" w:themeColor="text1"/>
                <w:highlight w:val="none"/>
                <w14:textFill>
                  <w14:solidFill>
                    <w14:schemeClr w14:val="tx1"/>
                  </w14:solidFill>
                </w14:textFill>
              </w:rPr>
              <w:t>生产用水</w:t>
            </w:r>
          </w:p>
          <w:p w14:paraId="6FA8AEA6">
            <w:pPr>
              <w:pStyle w:val="44"/>
              <w:ind w:firstLine="480"/>
              <w:rPr>
                <w:rFonts w:hint="eastAsia"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①</w:t>
            </w:r>
            <w:r>
              <w:rPr>
                <w:rFonts w:hint="eastAsia" w:ascii="Times New Roman" w:hAnsi="Times New Roman"/>
                <w:color w:val="000000" w:themeColor="text1"/>
                <w:highlight w:val="none"/>
                <w:lang w:val="en-US" w:eastAsia="zh-CN"/>
                <w14:textFill>
                  <w14:solidFill>
                    <w14:schemeClr w14:val="tx1"/>
                  </w14:solidFill>
                </w14:textFill>
              </w:rPr>
              <w:t>设备和地面</w:t>
            </w:r>
            <w:r>
              <w:rPr>
                <w:rFonts w:hint="eastAsia" w:ascii="Times New Roman" w:hAnsi="Times New Roman"/>
                <w:color w:val="000000" w:themeColor="text1"/>
                <w:highlight w:val="none"/>
                <w14:textFill>
                  <w14:solidFill>
                    <w14:schemeClr w14:val="tx1"/>
                  </w14:solidFill>
                </w14:textFill>
              </w:rPr>
              <w:t>清洗用水</w:t>
            </w:r>
          </w:p>
          <w:p w14:paraId="7C483223">
            <w:pPr>
              <w:pStyle w:val="44"/>
              <w:ind w:firstLine="480"/>
              <w:rPr>
                <w:rFonts w:hint="default" w:ascii="Times New Roman" w:hAnsi="Times New Roman"/>
                <w:color w:val="000000" w:themeColor="text1"/>
                <w:highlight w:val="none"/>
                <w:lang w:val="en-US" w:eastAsia="zh-CN"/>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项目</w:t>
            </w:r>
            <w:r>
              <w:rPr>
                <w:rFonts w:hint="eastAsia" w:ascii="Times New Roman" w:hAnsi="Times New Roman"/>
                <w:color w:val="000000" w:themeColor="text1"/>
                <w:highlight w:val="none"/>
                <w:lang w:val="en-US" w:eastAsia="zh-CN"/>
                <w14:textFill>
                  <w14:solidFill>
                    <w14:schemeClr w14:val="tx1"/>
                  </w14:solidFill>
                </w14:textFill>
              </w:rPr>
              <w:t>车间</w:t>
            </w:r>
            <w:r>
              <w:rPr>
                <w:rFonts w:hint="eastAsia" w:ascii="Times New Roman" w:hAnsi="Times New Roman"/>
                <w:color w:val="000000" w:themeColor="text1"/>
                <w:highlight w:val="none"/>
                <w14:textFill>
                  <w14:solidFill>
                    <w14:schemeClr w14:val="tx1"/>
                  </w14:solidFill>
                </w14:textFill>
              </w:rPr>
              <w:t>地面</w:t>
            </w:r>
            <w:r>
              <w:rPr>
                <w:rFonts w:hint="eastAsia" w:ascii="Times New Roman" w:hAnsi="Times New Roman"/>
                <w:color w:val="000000" w:themeColor="text1"/>
                <w:highlight w:val="none"/>
                <w:lang w:val="en-US" w:eastAsia="zh-CN"/>
                <w14:textFill>
                  <w14:solidFill>
                    <w14:schemeClr w14:val="tx1"/>
                  </w14:solidFill>
                </w14:textFill>
              </w:rPr>
              <w:t>和设备</w:t>
            </w:r>
            <w:r>
              <w:rPr>
                <w:rFonts w:hint="eastAsia" w:ascii="Times New Roman" w:hAnsi="Times New Roman"/>
                <w:color w:val="000000" w:themeColor="text1"/>
                <w:highlight w:val="none"/>
                <w14:textFill>
                  <w14:solidFill>
                    <w14:schemeClr w14:val="tx1"/>
                  </w14:solidFill>
                </w14:textFill>
              </w:rPr>
              <w:t>每</w:t>
            </w:r>
            <w:r>
              <w:rPr>
                <w:rFonts w:hint="eastAsia" w:ascii="Times New Roman" w:hAnsi="Times New Roman"/>
                <w:color w:val="000000" w:themeColor="text1"/>
                <w:highlight w:val="none"/>
                <w:lang w:val="en-US" w:eastAsia="zh-CN"/>
                <w14:textFill>
                  <w14:solidFill>
                    <w14:schemeClr w14:val="tx1"/>
                  </w14:solidFill>
                </w14:textFill>
              </w:rPr>
              <w:t>天</w:t>
            </w:r>
            <w:r>
              <w:rPr>
                <w:rFonts w:hint="eastAsia" w:ascii="Times New Roman" w:hAnsi="Times New Roman"/>
                <w:color w:val="000000" w:themeColor="text1"/>
                <w:highlight w:val="none"/>
                <w14:textFill>
                  <w14:solidFill>
                    <w14:schemeClr w14:val="tx1"/>
                  </w14:solidFill>
                </w14:textFill>
              </w:rPr>
              <w:t>清洗一次，冲洗用水按</w:t>
            </w:r>
            <w:r>
              <w:rPr>
                <w:rFonts w:hint="eastAsia"/>
                <w:color w:val="000000" w:themeColor="text1"/>
                <w:highlight w:val="none"/>
                <w:lang w:val="en-US" w:eastAsia="zh-CN"/>
                <w14:textFill>
                  <w14:solidFill>
                    <w14:schemeClr w14:val="tx1"/>
                  </w14:solidFill>
                </w14:textFill>
              </w:rPr>
              <w:t>1.5</w:t>
            </w:r>
            <w:r>
              <w:rPr>
                <w:rFonts w:hint="eastAsia" w:ascii="Times New Roman" w:hAnsi="Times New Roman"/>
                <w:color w:val="000000" w:themeColor="text1"/>
                <w:highlight w:val="none"/>
                <w14:textFill>
                  <w14:solidFill>
                    <w14:schemeClr w14:val="tx1"/>
                  </w14:solidFill>
                </w14:textFill>
              </w:rPr>
              <w:t>m</w:t>
            </w:r>
            <w:r>
              <w:rPr>
                <w:rFonts w:hint="eastAsia" w:ascii="Times New Roman" w:hAnsi="Times New Roman"/>
                <w:color w:val="000000" w:themeColor="text1"/>
                <w:highlight w:val="none"/>
                <w:vertAlign w:val="superscript"/>
                <w14:textFill>
                  <w14:solidFill>
                    <w14:schemeClr w14:val="tx1"/>
                  </w14:solidFill>
                </w14:textFill>
              </w:rPr>
              <w:t>3</w:t>
            </w:r>
            <w:r>
              <w:rPr>
                <w:rFonts w:hint="eastAsia" w:ascii="Times New Roman" w:hAnsi="Times New Roman"/>
                <w:color w:val="000000" w:themeColor="text1"/>
                <w:highlight w:val="none"/>
                <w14:textFill>
                  <w14:solidFill>
                    <w14:schemeClr w14:val="tx1"/>
                  </w14:solidFill>
                </w14:textFill>
              </w:rPr>
              <w:t>/次计，则</w:t>
            </w:r>
            <w:r>
              <w:rPr>
                <w:rFonts w:hint="eastAsia" w:ascii="Times New Roman" w:hAnsi="Times New Roman"/>
                <w:color w:val="000000" w:themeColor="text1"/>
                <w:highlight w:val="none"/>
                <w:lang w:val="en-US" w:eastAsia="zh-CN"/>
                <w14:textFill>
                  <w14:solidFill>
                    <w14:schemeClr w14:val="tx1"/>
                  </w14:solidFill>
                </w14:textFill>
              </w:rPr>
              <w:t>日均清洗用水量</w:t>
            </w:r>
            <w:r>
              <w:rPr>
                <w:rFonts w:hint="eastAsia"/>
                <w:color w:val="000000" w:themeColor="text1"/>
                <w:highlight w:val="none"/>
                <w:lang w:val="en-US" w:eastAsia="zh-CN"/>
                <w14:textFill>
                  <w14:solidFill>
                    <w14:schemeClr w14:val="tx1"/>
                  </w14:solidFill>
                </w14:textFill>
              </w:rPr>
              <w:t>1.5</w:t>
            </w:r>
            <w:r>
              <w:rPr>
                <w:rFonts w:hint="eastAsia" w:ascii="Times New Roman" w:hAnsi="Times New Roman"/>
                <w:color w:val="000000" w:themeColor="text1"/>
                <w:highlight w:val="none"/>
                <w14:textFill>
                  <w14:solidFill>
                    <w14:schemeClr w14:val="tx1"/>
                  </w14:solidFill>
                </w14:textFill>
              </w:rPr>
              <w:t>m</w:t>
            </w:r>
            <w:r>
              <w:rPr>
                <w:rFonts w:hint="eastAsia" w:ascii="Times New Roman" w:hAnsi="Times New Roman"/>
                <w:color w:val="000000" w:themeColor="text1"/>
                <w:highlight w:val="none"/>
                <w:vertAlign w:val="superscript"/>
                <w14:textFill>
                  <w14:solidFill>
                    <w14:schemeClr w14:val="tx1"/>
                  </w14:solidFill>
                </w14:textFill>
              </w:rPr>
              <w:t>3</w:t>
            </w:r>
            <w:r>
              <w:rPr>
                <w:rFonts w:hint="eastAsia" w:ascii="Times New Roman" w:hAnsi="Times New Roman"/>
                <w:color w:val="000000" w:themeColor="text1"/>
                <w:highlight w:val="none"/>
                <w14:textFill>
                  <w14:solidFill>
                    <w14:schemeClr w14:val="tx1"/>
                  </w14:solidFill>
                </w14:textFill>
              </w:rPr>
              <w:t>，污水产生系数按90%计，则污水产生量约</w:t>
            </w:r>
            <w:r>
              <w:rPr>
                <w:rFonts w:hint="eastAsia"/>
                <w:color w:val="000000" w:themeColor="text1"/>
                <w:highlight w:val="none"/>
                <w:lang w:val="en-US" w:eastAsia="zh-CN"/>
                <w14:textFill>
                  <w14:solidFill>
                    <w14:schemeClr w14:val="tx1"/>
                  </w14:solidFill>
                </w14:textFill>
              </w:rPr>
              <w:t>1.35</w:t>
            </w:r>
            <w:r>
              <w:rPr>
                <w:rFonts w:hint="eastAsia" w:ascii="Times New Roman" w:hAnsi="Times New Roman"/>
                <w:color w:val="000000" w:themeColor="text1"/>
                <w:highlight w:val="none"/>
                <w14:textFill>
                  <w14:solidFill>
                    <w14:schemeClr w14:val="tx1"/>
                  </w14:solidFill>
                </w14:textFill>
              </w:rPr>
              <w:t>m</w:t>
            </w:r>
            <w:r>
              <w:rPr>
                <w:rFonts w:hint="eastAsia" w:ascii="Times New Roman" w:hAnsi="Times New Roman"/>
                <w:color w:val="000000" w:themeColor="text1"/>
                <w:highlight w:val="none"/>
                <w:vertAlign w:val="superscript"/>
                <w14:textFill>
                  <w14:solidFill>
                    <w14:schemeClr w14:val="tx1"/>
                  </w14:solidFill>
                </w14:textFill>
              </w:rPr>
              <w:t>3</w:t>
            </w:r>
            <w:r>
              <w:rPr>
                <w:rFonts w:hint="eastAsia" w:ascii="Times New Roman" w:hAnsi="Times New Roman"/>
                <w:color w:val="000000" w:themeColor="text1"/>
                <w:highlight w:val="none"/>
                <w14:textFill>
                  <w14:solidFill>
                    <w14:schemeClr w14:val="tx1"/>
                  </w14:solidFill>
                </w14:textFill>
              </w:rPr>
              <w:t>/</w:t>
            </w:r>
            <w:r>
              <w:rPr>
                <w:rFonts w:hint="eastAsia" w:ascii="Times New Roman" w:hAnsi="Times New Roman"/>
                <w:color w:val="000000" w:themeColor="text1"/>
                <w:highlight w:val="none"/>
                <w:lang w:val="en-US" w:eastAsia="zh-CN"/>
                <w14:textFill>
                  <w14:solidFill>
                    <w14:schemeClr w14:val="tx1"/>
                  </w14:solidFill>
                </w14:textFill>
              </w:rPr>
              <w:t>d</w:t>
            </w:r>
            <w:r>
              <w:rPr>
                <w:rFonts w:hint="eastAsia" w:ascii="Times New Roman" w:hAnsi="Times New Roman"/>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405</w:t>
            </w:r>
            <w:r>
              <w:rPr>
                <w:rFonts w:hint="eastAsia" w:ascii="Times New Roman" w:hAnsi="Times New Roman"/>
                <w:color w:val="000000" w:themeColor="text1"/>
                <w:highlight w:val="none"/>
                <w14:textFill>
                  <w14:solidFill>
                    <w14:schemeClr w14:val="tx1"/>
                  </w14:solidFill>
                </w14:textFill>
              </w:rPr>
              <w:t>m</w:t>
            </w:r>
            <w:r>
              <w:rPr>
                <w:rFonts w:hint="eastAsia" w:ascii="Times New Roman" w:hAnsi="Times New Roman"/>
                <w:color w:val="000000" w:themeColor="text1"/>
                <w:highlight w:val="none"/>
                <w:vertAlign w:val="superscript"/>
                <w14:textFill>
                  <w14:solidFill>
                    <w14:schemeClr w14:val="tx1"/>
                  </w14:solidFill>
                </w14:textFill>
              </w:rPr>
              <w:t>3</w:t>
            </w:r>
            <w:r>
              <w:rPr>
                <w:rFonts w:hint="eastAsia" w:ascii="Times New Roman" w:hAnsi="Times New Roman"/>
                <w:color w:val="000000" w:themeColor="text1"/>
                <w:highlight w:val="none"/>
                <w14:textFill>
                  <w14:solidFill>
                    <w14:schemeClr w14:val="tx1"/>
                  </w14:solidFill>
                </w14:textFill>
              </w:rPr>
              <w:t>/a）。</w:t>
            </w:r>
            <w:r>
              <w:rPr>
                <w:rFonts w:hint="eastAsia" w:ascii="Times New Roman" w:hAnsi="Times New Roman"/>
                <w:color w:val="000000" w:themeColor="text1"/>
                <w:highlight w:val="none"/>
                <w:lang w:val="en-US" w:eastAsia="zh-CN"/>
                <w14:textFill>
                  <w14:solidFill>
                    <w14:schemeClr w14:val="tx1"/>
                  </w14:solidFill>
                </w14:textFill>
              </w:rPr>
              <w:t>清洗水经沉淀池处理后回用搅拌，不外排。</w:t>
            </w:r>
          </w:p>
          <w:p w14:paraId="5B63C5F2">
            <w:pPr>
              <w:pStyle w:val="44"/>
              <w:ind w:firstLine="480"/>
              <w:rPr>
                <w:rFonts w:hint="eastAsia"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②</w:t>
            </w:r>
            <w:r>
              <w:rPr>
                <w:rFonts w:hint="eastAsia" w:ascii="Times New Roman" w:hAnsi="Times New Roman"/>
                <w:color w:val="000000" w:themeColor="text1"/>
                <w:highlight w:val="none"/>
                <w:lang w:val="en-US" w:eastAsia="zh-CN"/>
                <w14:textFill>
                  <w14:solidFill>
                    <w14:schemeClr w14:val="tx1"/>
                  </w14:solidFill>
                </w14:textFill>
              </w:rPr>
              <w:t>制浆、</w:t>
            </w:r>
            <w:r>
              <w:rPr>
                <w:rFonts w:hint="eastAsia" w:ascii="Times New Roman" w:hAnsi="Times New Roman"/>
                <w:color w:val="000000" w:themeColor="text1"/>
                <w:highlight w:val="none"/>
                <w14:textFill>
                  <w14:solidFill>
                    <w14:schemeClr w14:val="tx1"/>
                  </w14:solidFill>
                </w14:textFill>
              </w:rPr>
              <w:t>搅拌用水</w:t>
            </w:r>
          </w:p>
          <w:p w14:paraId="122F91E0">
            <w:pPr>
              <w:pStyle w:val="44"/>
              <w:ind w:firstLine="480"/>
              <w:rPr>
                <w:rFonts w:hint="eastAsia"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根据建设单位提供的资料，本项目</w:t>
            </w:r>
            <w:r>
              <w:rPr>
                <w:rFonts w:hint="eastAsia" w:ascii="Times New Roman" w:hAnsi="Times New Roman"/>
                <w:color w:val="000000" w:themeColor="text1"/>
                <w:highlight w:val="none"/>
                <w:lang w:val="en-US" w:eastAsia="zh-CN"/>
                <w14:textFill>
                  <w14:solidFill>
                    <w14:schemeClr w14:val="tx1"/>
                  </w14:solidFill>
                </w14:textFill>
              </w:rPr>
              <w:t>年产</w:t>
            </w:r>
            <w:r>
              <w:rPr>
                <w:rFonts w:hint="eastAsia"/>
                <w:color w:val="000000" w:themeColor="text1"/>
                <w:highlight w:val="none"/>
                <w:lang w:val="en-US" w:eastAsia="zh-CN"/>
                <w14:textFill>
                  <w14:solidFill>
                    <w14:schemeClr w14:val="tx1"/>
                  </w14:solidFill>
                </w14:textFill>
              </w:rPr>
              <w:t>5</w:t>
            </w:r>
            <w:r>
              <w:rPr>
                <w:rFonts w:hint="eastAsia" w:ascii="Times New Roman" w:hAnsi="Times New Roman"/>
                <w:color w:val="000000" w:themeColor="text1"/>
                <w:highlight w:val="none"/>
                <w:lang w:val="en-US" w:eastAsia="zh-CN"/>
                <w14:textFill>
                  <w14:solidFill>
                    <w14:schemeClr w14:val="tx1"/>
                  </w14:solidFill>
                </w14:textFill>
              </w:rPr>
              <w:t>万立方</w:t>
            </w:r>
            <w:r>
              <w:rPr>
                <w:rFonts w:hint="eastAsia"/>
                <w:color w:val="000000" w:themeColor="text1"/>
                <w:highlight w:val="none"/>
                <w:lang w:val="en-US" w:eastAsia="zh-CN"/>
                <w14:textFill>
                  <w14:solidFill>
                    <w14:schemeClr w14:val="tx1"/>
                  </w14:solidFill>
                </w14:textFill>
              </w:rPr>
              <w:t>米</w:t>
            </w:r>
            <w:r>
              <w:rPr>
                <w:rFonts w:hint="eastAsia" w:ascii="Times New Roman" w:hAnsi="Times New Roman"/>
                <w:color w:val="000000" w:themeColor="text1"/>
                <w:highlight w:val="none"/>
                <w:lang w:val="en-US" w:eastAsia="zh-CN"/>
                <w14:textFill>
                  <w14:solidFill>
                    <w14:schemeClr w14:val="tx1"/>
                  </w14:solidFill>
                </w14:textFill>
              </w:rPr>
              <w:t>新型建筑材料</w:t>
            </w:r>
            <w:r>
              <w:rPr>
                <w:rFonts w:hint="eastAsia" w:ascii="Times New Roman" w:hAnsi="Times New Roman"/>
                <w:color w:val="000000" w:themeColor="text1"/>
                <w:highlight w:val="none"/>
                <w14:textFill>
                  <w14:solidFill>
                    <w14:schemeClr w14:val="tx1"/>
                  </w14:solidFill>
                </w14:textFill>
              </w:rPr>
              <w:t>，</w:t>
            </w:r>
            <w:r>
              <w:rPr>
                <w:rFonts w:hint="eastAsia" w:ascii="Times New Roman" w:hAnsi="Times New Roman"/>
                <w:color w:val="000000" w:themeColor="text1"/>
                <w:highlight w:val="none"/>
                <w:lang w:val="en-US" w:eastAsia="zh-CN"/>
                <w14:textFill>
                  <w14:solidFill>
                    <w14:schemeClr w14:val="tx1"/>
                  </w14:solidFill>
                </w14:textFill>
              </w:rPr>
              <w:t>制浆、</w:t>
            </w:r>
            <w:r>
              <w:rPr>
                <w:rFonts w:hint="eastAsia" w:ascii="Times New Roman" w:hAnsi="Times New Roman"/>
                <w:color w:val="000000" w:themeColor="text1"/>
                <w:highlight w:val="none"/>
                <w14:textFill>
                  <w14:solidFill>
                    <w14:schemeClr w14:val="tx1"/>
                  </w14:solidFill>
                </w14:textFill>
              </w:rPr>
              <w:t>搅拌</w:t>
            </w:r>
            <w:r>
              <w:rPr>
                <w:rFonts w:hint="eastAsia" w:ascii="Times New Roman" w:hAnsi="Times New Roman"/>
                <w:color w:val="000000" w:themeColor="text1"/>
                <w:highlight w:val="none"/>
                <w:lang w:val="en-US" w:eastAsia="zh-CN"/>
                <w14:textFill>
                  <w14:solidFill>
                    <w14:schemeClr w14:val="tx1"/>
                  </w14:solidFill>
                </w14:textFill>
              </w:rPr>
              <w:t>过程</w:t>
            </w:r>
            <w:r>
              <w:rPr>
                <w:rFonts w:hint="eastAsia" w:ascii="Times New Roman" w:hAnsi="Times New Roman"/>
                <w:color w:val="000000" w:themeColor="text1"/>
                <w:highlight w:val="none"/>
                <w14:textFill>
                  <w14:solidFill>
                    <w14:schemeClr w14:val="tx1"/>
                  </w14:solidFill>
                </w14:textFill>
              </w:rPr>
              <w:t>用水量约为</w:t>
            </w:r>
            <w:r>
              <w:rPr>
                <w:rFonts w:hint="eastAsia"/>
                <w:color w:val="000000" w:themeColor="text1"/>
                <w:highlight w:val="none"/>
                <w:lang w:val="en-US" w:eastAsia="zh-CN"/>
                <w14:textFill>
                  <w14:solidFill>
                    <w14:schemeClr w14:val="tx1"/>
                  </w14:solidFill>
                </w14:textFill>
              </w:rPr>
              <w:t>1</w:t>
            </w:r>
            <w:r>
              <w:rPr>
                <w:rFonts w:hint="eastAsia" w:ascii="Times New Roman" w:hAnsi="Times New Roman"/>
                <w:color w:val="000000" w:themeColor="text1"/>
                <w:highlight w:val="none"/>
                <w14:textFill>
                  <w14:solidFill>
                    <w14:schemeClr w14:val="tx1"/>
                  </w14:solidFill>
                </w14:textFill>
              </w:rPr>
              <w:t>万m</w:t>
            </w:r>
            <w:r>
              <w:rPr>
                <w:rFonts w:hint="eastAsia" w:ascii="Times New Roman" w:hAnsi="Times New Roman"/>
                <w:color w:val="000000" w:themeColor="text1"/>
                <w:highlight w:val="none"/>
                <w:vertAlign w:val="superscript"/>
                <w14:textFill>
                  <w14:solidFill>
                    <w14:schemeClr w14:val="tx1"/>
                  </w14:solidFill>
                </w14:textFill>
              </w:rPr>
              <w:t>3</w:t>
            </w:r>
            <w:r>
              <w:rPr>
                <w:rFonts w:hint="eastAsia" w:ascii="Times New Roman" w:hAnsi="Times New Roman"/>
                <w:color w:val="000000" w:themeColor="text1"/>
                <w:highlight w:val="none"/>
                <w14:textFill>
                  <w14:solidFill>
                    <w14:schemeClr w14:val="tx1"/>
                  </w14:solidFill>
                </w14:textFill>
              </w:rPr>
              <w:t>/a</w:t>
            </w:r>
            <w:r>
              <w:rPr>
                <w:rFonts w:hint="eastAsia" w:ascii="Times New Roman" w:hAnsi="Times New Roman"/>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33.33</w:t>
            </w:r>
            <w:r>
              <w:rPr>
                <w:rFonts w:hint="eastAsia" w:ascii="Times New Roman" w:hAnsi="Times New Roman"/>
                <w:color w:val="000000" w:themeColor="text1"/>
                <w:highlight w:val="none"/>
                <w14:textFill>
                  <w14:solidFill>
                    <w14:schemeClr w14:val="tx1"/>
                  </w14:solidFill>
                </w14:textFill>
              </w:rPr>
              <w:t>m</w:t>
            </w:r>
            <w:r>
              <w:rPr>
                <w:rFonts w:hint="eastAsia" w:ascii="Times New Roman" w:hAnsi="Times New Roman"/>
                <w:color w:val="000000" w:themeColor="text1"/>
                <w:highlight w:val="none"/>
                <w:vertAlign w:val="superscript"/>
                <w14:textFill>
                  <w14:solidFill>
                    <w14:schemeClr w14:val="tx1"/>
                  </w14:solidFill>
                </w14:textFill>
              </w:rPr>
              <w:t>3</w:t>
            </w:r>
            <w:r>
              <w:rPr>
                <w:rFonts w:hint="eastAsia" w:ascii="Times New Roman" w:hAnsi="Times New Roman"/>
                <w:color w:val="000000" w:themeColor="text1"/>
                <w:highlight w:val="none"/>
                <w14:textFill>
                  <w14:solidFill>
                    <w14:schemeClr w14:val="tx1"/>
                  </w14:solidFill>
                </w14:textFill>
              </w:rPr>
              <w:t>/</w:t>
            </w:r>
            <w:r>
              <w:rPr>
                <w:rFonts w:hint="eastAsia" w:ascii="Times New Roman" w:hAnsi="Times New Roman"/>
                <w:color w:val="000000" w:themeColor="text1"/>
                <w:highlight w:val="none"/>
                <w:lang w:val="en-US" w:eastAsia="zh-CN"/>
                <w14:textFill>
                  <w14:solidFill>
                    <w14:schemeClr w14:val="tx1"/>
                  </w14:solidFill>
                </w14:textFill>
              </w:rPr>
              <w:t>d</w:t>
            </w:r>
            <w:r>
              <w:rPr>
                <w:rFonts w:hint="eastAsia" w:ascii="Times New Roman" w:hAnsi="Times New Roman"/>
                <w:color w:val="000000" w:themeColor="text1"/>
                <w:highlight w:val="none"/>
                <w:lang w:eastAsia="zh-CN"/>
                <w14:textFill>
                  <w14:solidFill>
                    <w14:schemeClr w14:val="tx1"/>
                  </w14:solidFill>
                </w14:textFill>
              </w:rPr>
              <w:t>）</w:t>
            </w:r>
            <w:r>
              <w:rPr>
                <w:rFonts w:hint="eastAsia" w:ascii="Times New Roman" w:hAnsi="Times New Roman"/>
                <w:color w:val="000000" w:themeColor="text1"/>
                <w:highlight w:val="none"/>
                <w14:textFill>
                  <w14:solidFill>
                    <w14:schemeClr w14:val="tx1"/>
                  </w14:solidFill>
                </w14:textFill>
              </w:rPr>
              <w:t>，来自清洗水、</w:t>
            </w:r>
            <w:r>
              <w:rPr>
                <w:rFonts w:hint="eastAsia" w:ascii="Times New Roman" w:hAnsi="Times New Roman"/>
                <w:color w:val="000000" w:themeColor="text1"/>
                <w:highlight w:val="none"/>
                <w:lang w:val="en-US" w:eastAsia="zh-CN"/>
                <w14:textFill>
                  <w14:solidFill>
                    <w14:schemeClr w14:val="tx1"/>
                  </w14:solidFill>
                </w14:textFill>
              </w:rPr>
              <w:t>新鲜水</w:t>
            </w:r>
            <w:r>
              <w:rPr>
                <w:rFonts w:hint="eastAsia" w:ascii="Times New Roman" w:hAnsi="Times New Roman"/>
                <w:color w:val="000000" w:themeColor="text1"/>
                <w:highlight w:val="none"/>
                <w14:textFill>
                  <w14:solidFill>
                    <w14:schemeClr w14:val="tx1"/>
                  </w14:solidFill>
                </w14:textFill>
              </w:rPr>
              <w:t>等，</w:t>
            </w:r>
            <w:r>
              <w:rPr>
                <w:rFonts w:hint="eastAsia" w:ascii="Times New Roman" w:hAnsi="Times New Roman"/>
                <w:color w:val="000000" w:themeColor="text1"/>
                <w:highlight w:val="none"/>
                <w:lang w:val="en-US" w:eastAsia="zh-CN"/>
                <w14:textFill>
                  <w14:solidFill>
                    <w14:schemeClr w14:val="tx1"/>
                  </w14:solidFill>
                </w14:textFill>
              </w:rPr>
              <w:t>制浆、</w:t>
            </w:r>
            <w:r>
              <w:rPr>
                <w:rFonts w:hint="eastAsia" w:ascii="Times New Roman" w:hAnsi="Times New Roman"/>
                <w:color w:val="000000" w:themeColor="text1"/>
                <w:highlight w:val="none"/>
                <w14:textFill>
                  <w14:solidFill>
                    <w14:schemeClr w14:val="tx1"/>
                  </w14:solidFill>
                </w14:textFill>
              </w:rPr>
              <w:t>搅拌用水全部</w:t>
            </w:r>
            <w:r>
              <w:rPr>
                <w:rFonts w:hint="eastAsia" w:ascii="Times New Roman" w:hAnsi="Times New Roman"/>
                <w:color w:val="000000" w:themeColor="text1"/>
                <w:highlight w:val="none"/>
                <w:lang w:val="en-US" w:eastAsia="zh-CN"/>
                <w14:textFill>
                  <w14:solidFill>
                    <w14:schemeClr w14:val="tx1"/>
                  </w14:solidFill>
                </w14:textFill>
              </w:rPr>
              <w:t>随产品带走</w:t>
            </w:r>
            <w:r>
              <w:rPr>
                <w:rFonts w:hint="eastAsia" w:ascii="Times New Roman" w:hAnsi="Times New Roman"/>
                <w:color w:val="000000" w:themeColor="text1"/>
                <w:highlight w:val="none"/>
                <w14:textFill>
                  <w14:solidFill>
                    <w14:schemeClr w14:val="tx1"/>
                  </w14:solidFill>
                </w14:textFill>
              </w:rPr>
              <w:t>，不外排。</w:t>
            </w:r>
          </w:p>
          <w:p w14:paraId="79C62DAA">
            <w:pPr>
              <w:pStyle w:val="44"/>
              <w:ind w:firstLine="480"/>
              <w:rPr>
                <w:rFonts w:hint="eastAsia"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③蒸养水</w:t>
            </w:r>
          </w:p>
          <w:p w14:paraId="70C34656">
            <w:pPr>
              <w:pStyle w:val="44"/>
              <w:ind w:firstLine="480"/>
              <w:rPr>
                <w:rFonts w:hint="default" w:ascii="Times New Roman" w:hAnsi="Times New Roman"/>
                <w:color w:val="000000" w:themeColor="text1"/>
                <w:highlight w:val="none"/>
                <w:lang w:val="en-US" w:eastAsia="zh-CN"/>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项目</w:t>
            </w:r>
            <w:r>
              <w:rPr>
                <w:rFonts w:hint="eastAsia" w:ascii="Times New Roman" w:hAnsi="Times New Roman"/>
                <w:color w:val="000000" w:themeColor="text1"/>
                <w:highlight w:val="none"/>
                <w:lang w:val="en-US" w:eastAsia="zh-CN"/>
                <w14:textFill>
                  <w14:solidFill>
                    <w14:schemeClr w14:val="tx1"/>
                  </w14:solidFill>
                </w14:textFill>
              </w:rPr>
              <w:t>蒸养釜</w:t>
            </w:r>
            <w:r>
              <w:rPr>
                <w:rFonts w:hint="eastAsia" w:ascii="Times New Roman" w:hAnsi="Times New Roman"/>
                <w:color w:val="000000" w:themeColor="text1"/>
                <w:highlight w:val="none"/>
                <w14:textFill>
                  <w14:solidFill>
                    <w14:schemeClr w14:val="tx1"/>
                  </w14:solidFill>
                </w14:textFill>
              </w:rPr>
              <w:t>新鲜用水量为</w:t>
            </w:r>
            <w:r>
              <w:rPr>
                <w:rFonts w:hint="eastAsia"/>
                <w:color w:val="000000" w:themeColor="text1"/>
                <w:highlight w:val="none"/>
                <w:lang w:val="en-US" w:eastAsia="zh-CN"/>
                <w14:textFill>
                  <w14:solidFill>
                    <w14:schemeClr w14:val="tx1"/>
                  </w14:solidFill>
                </w14:textFill>
              </w:rPr>
              <w:t>1</w:t>
            </w:r>
            <w:r>
              <w:rPr>
                <w:rFonts w:hint="eastAsia" w:ascii="Times New Roman" w:hAnsi="Times New Roman"/>
                <w:color w:val="000000" w:themeColor="text1"/>
                <w:highlight w:val="none"/>
                <w14:textFill>
                  <w14:solidFill>
                    <w14:schemeClr w14:val="tx1"/>
                  </w14:solidFill>
                </w14:textFill>
              </w:rPr>
              <w:t>m</w:t>
            </w:r>
            <w:r>
              <w:rPr>
                <w:rFonts w:hint="eastAsia" w:ascii="Times New Roman" w:hAnsi="Times New Roman"/>
                <w:color w:val="000000" w:themeColor="text1"/>
                <w:highlight w:val="none"/>
                <w:vertAlign w:val="superscript"/>
                <w14:textFill>
                  <w14:solidFill>
                    <w14:schemeClr w14:val="tx1"/>
                  </w14:solidFill>
                </w14:textFill>
              </w:rPr>
              <w:t>3</w:t>
            </w:r>
            <w:r>
              <w:rPr>
                <w:rFonts w:hint="eastAsia" w:ascii="Times New Roman" w:hAnsi="Times New Roman"/>
                <w:color w:val="000000" w:themeColor="text1"/>
                <w:highlight w:val="none"/>
                <w14:textFill>
                  <w14:solidFill>
                    <w14:schemeClr w14:val="tx1"/>
                  </w14:solidFill>
                </w14:textFill>
              </w:rPr>
              <w:t>/d（</w:t>
            </w:r>
            <w:r>
              <w:rPr>
                <w:rFonts w:hint="eastAsia"/>
                <w:color w:val="000000" w:themeColor="text1"/>
                <w:highlight w:val="none"/>
                <w:lang w:val="en-US" w:eastAsia="zh-CN"/>
                <w14:textFill>
                  <w14:solidFill>
                    <w14:schemeClr w14:val="tx1"/>
                  </w14:solidFill>
                </w14:textFill>
              </w:rPr>
              <w:t>300</w:t>
            </w:r>
            <w:r>
              <w:rPr>
                <w:rFonts w:hint="eastAsia" w:ascii="Times New Roman" w:hAnsi="Times New Roman"/>
                <w:color w:val="000000" w:themeColor="text1"/>
                <w:highlight w:val="none"/>
                <w14:textFill>
                  <w14:solidFill>
                    <w14:schemeClr w14:val="tx1"/>
                  </w14:solidFill>
                </w14:textFill>
              </w:rPr>
              <w:t>m</w:t>
            </w:r>
            <w:r>
              <w:rPr>
                <w:rFonts w:hint="eastAsia" w:ascii="Times New Roman" w:hAnsi="Times New Roman"/>
                <w:color w:val="000000" w:themeColor="text1"/>
                <w:highlight w:val="none"/>
                <w:vertAlign w:val="superscript"/>
                <w14:textFill>
                  <w14:solidFill>
                    <w14:schemeClr w14:val="tx1"/>
                  </w14:solidFill>
                </w14:textFill>
              </w:rPr>
              <w:t>3</w:t>
            </w:r>
            <w:r>
              <w:rPr>
                <w:rFonts w:hint="eastAsia" w:ascii="Times New Roman" w:hAnsi="Times New Roman"/>
                <w:color w:val="000000" w:themeColor="text1"/>
                <w:highlight w:val="none"/>
                <w14:textFill>
                  <w14:solidFill>
                    <w14:schemeClr w14:val="tx1"/>
                  </w14:solidFill>
                </w14:textFill>
              </w:rPr>
              <w:t>/a）。该部分用水以蒸汽的形式经过</w:t>
            </w:r>
            <w:r>
              <w:rPr>
                <w:rFonts w:hint="eastAsia" w:ascii="Times New Roman" w:hAnsi="Times New Roman"/>
                <w:color w:val="000000" w:themeColor="text1"/>
                <w:highlight w:val="none"/>
                <w:lang w:val="en-US" w:eastAsia="zh-CN"/>
                <w14:textFill>
                  <w14:solidFill>
                    <w14:schemeClr w14:val="tx1"/>
                  </w14:solidFill>
                </w14:textFill>
              </w:rPr>
              <w:t>高温、</w:t>
            </w:r>
            <w:r>
              <w:rPr>
                <w:rFonts w:hint="eastAsia" w:ascii="Times New Roman" w:hAnsi="Times New Roman"/>
                <w:color w:val="000000" w:themeColor="text1"/>
                <w:highlight w:val="none"/>
                <w14:textFill>
                  <w14:solidFill>
                    <w14:schemeClr w14:val="tx1"/>
                  </w14:solidFill>
                </w14:textFill>
              </w:rPr>
              <w:t>高压蒸养后产生的</w:t>
            </w:r>
            <w:r>
              <w:rPr>
                <w:rFonts w:hint="eastAsia" w:ascii="Times New Roman" w:hAnsi="Times New Roman"/>
                <w:color w:val="000000" w:themeColor="text1"/>
                <w:highlight w:val="none"/>
                <w:lang w:val="en-US" w:eastAsia="zh-CN"/>
                <w14:textFill>
                  <w14:solidFill>
                    <w14:schemeClr w14:val="tx1"/>
                  </w14:solidFill>
                </w14:textFill>
              </w:rPr>
              <w:t>尾气</w:t>
            </w:r>
            <w:r>
              <w:rPr>
                <w:rFonts w:hint="eastAsia" w:ascii="Times New Roman" w:hAnsi="Times New Roman"/>
                <w:color w:val="000000" w:themeColor="text1"/>
                <w:highlight w:val="none"/>
                <w14:textFill>
                  <w14:solidFill>
                    <w14:schemeClr w14:val="tx1"/>
                  </w14:solidFill>
                </w14:textFill>
              </w:rPr>
              <w:t>冷凝水</w:t>
            </w:r>
            <w:r>
              <w:rPr>
                <w:rFonts w:hint="eastAsia" w:ascii="Times New Roman" w:hAnsi="Times New Roman"/>
                <w:color w:val="000000" w:themeColor="text1"/>
                <w:highlight w:val="none"/>
                <w:lang w:val="zh-TW" w:eastAsia="zh-TW"/>
                <w14:textFill>
                  <w14:solidFill>
                    <w14:schemeClr w14:val="tx1"/>
                  </w14:solidFill>
                </w14:textFill>
              </w:rPr>
              <w:t>经管道送至静养</w:t>
            </w:r>
            <w:r>
              <w:rPr>
                <w:rFonts w:hint="eastAsia" w:ascii="Times New Roman" w:hAnsi="Times New Roman"/>
                <w:color w:val="000000" w:themeColor="text1"/>
                <w:highlight w:val="none"/>
                <w:lang w:val="zh-TW"/>
                <w14:textFill>
                  <w14:solidFill>
                    <w14:schemeClr w14:val="tx1"/>
                  </w14:solidFill>
                </w14:textFill>
              </w:rPr>
              <w:t>室或者回收到锅炉房预热水</w:t>
            </w:r>
            <w:r>
              <w:rPr>
                <w:rFonts w:hint="eastAsia" w:ascii="Times New Roman" w:hAnsi="Times New Roman"/>
                <w:color w:val="000000" w:themeColor="text1"/>
                <w:highlight w:val="none"/>
                <w:lang w:val="zh-TW" w:eastAsia="zh-CN"/>
                <w14:textFill>
                  <w14:solidFill>
                    <w14:schemeClr w14:val="tx1"/>
                  </w14:solidFill>
                </w14:textFill>
              </w:rPr>
              <w:t>，</w:t>
            </w:r>
            <w:r>
              <w:rPr>
                <w:rFonts w:hint="eastAsia" w:ascii="Times New Roman" w:hAnsi="Times New Roman"/>
                <w:color w:val="000000" w:themeColor="text1"/>
                <w:highlight w:val="none"/>
                <w14:textFill>
                  <w14:solidFill>
                    <w14:schemeClr w14:val="tx1"/>
                  </w14:solidFill>
                </w14:textFill>
              </w:rPr>
              <w:t>产生系数按</w:t>
            </w:r>
            <w:r>
              <w:rPr>
                <w:rFonts w:hint="eastAsia" w:ascii="Times New Roman" w:hAnsi="Times New Roman"/>
                <w:color w:val="000000" w:themeColor="text1"/>
                <w:highlight w:val="none"/>
                <w:lang w:val="en-US" w:eastAsia="zh-CN"/>
                <w14:textFill>
                  <w14:solidFill>
                    <w14:schemeClr w14:val="tx1"/>
                  </w14:solidFill>
                </w14:textFill>
              </w:rPr>
              <w:t>7</w:t>
            </w:r>
            <w:r>
              <w:rPr>
                <w:rFonts w:hint="eastAsia" w:ascii="Times New Roman" w:hAnsi="Times New Roman"/>
                <w:color w:val="000000" w:themeColor="text1"/>
                <w:highlight w:val="none"/>
                <w14:textFill>
                  <w14:solidFill>
                    <w14:schemeClr w14:val="tx1"/>
                  </w14:solidFill>
                </w14:textFill>
              </w:rPr>
              <w:t>0%计，</w:t>
            </w:r>
            <w:r>
              <w:rPr>
                <w:rFonts w:hint="eastAsia" w:ascii="Times New Roman" w:hAnsi="Times New Roman"/>
                <w:color w:val="000000" w:themeColor="text1"/>
                <w:highlight w:val="none"/>
                <w:lang w:val="en-US" w:eastAsia="zh-CN"/>
                <w14:textFill>
                  <w14:solidFill>
                    <w14:schemeClr w14:val="tx1"/>
                  </w14:solidFill>
                </w14:textFill>
              </w:rPr>
              <w:t>其余随产品带走损耗，</w:t>
            </w:r>
            <w:r>
              <w:rPr>
                <w:rFonts w:hint="eastAsia" w:ascii="Times New Roman" w:hAnsi="Times New Roman"/>
                <w:color w:val="000000" w:themeColor="text1"/>
                <w:highlight w:val="none"/>
                <w14:textFill>
                  <w14:solidFill>
                    <w14:schemeClr w14:val="tx1"/>
                  </w14:solidFill>
                </w14:textFill>
              </w:rPr>
              <w:t>则锅炉蒸养冷凝废水产生量为</w:t>
            </w:r>
            <w:r>
              <w:rPr>
                <w:rFonts w:hint="eastAsia"/>
                <w:color w:val="000000" w:themeColor="text1"/>
                <w:highlight w:val="none"/>
                <w:lang w:val="en-US" w:eastAsia="zh-CN"/>
                <w14:textFill>
                  <w14:solidFill>
                    <w14:schemeClr w14:val="tx1"/>
                  </w14:solidFill>
                </w14:textFill>
              </w:rPr>
              <w:t>0.7</w:t>
            </w:r>
            <w:r>
              <w:rPr>
                <w:rFonts w:hint="eastAsia" w:ascii="Times New Roman" w:hAnsi="Times New Roman"/>
                <w:color w:val="000000" w:themeColor="text1"/>
                <w:highlight w:val="none"/>
                <w14:textFill>
                  <w14:solidFill>
                    <w14:schemeClr w14:val="tx1"/>
                  </w14:solidFill>
                </w14:textFill>
              </w:rPr>
              <w:t>m</w:t>
            </w:r>
            <w:r>
              <w:rPr>
                <w:rFonts w:hint="eastAsia" w:ascii="Times New Roman" w:hAnsi="Times New Roman"/>
                <w:color w:val="000000" w:themeColor="text1"/>
                <w:highlight w:val="none"/>
                <w:vertAlign w:val="superscript"/>
                <w14:textFill>
                  <w14:solidFill>
                    <w14:schemeClr w14:val="tx1"/>
                  </w14:solidFill>
                </w14:textFill>
              </w:rPr>
              <w:t>3</w:t>
            </w:r>
            <w:r>
              <w:rPr>
                <w:rFonts w:hint="eastAsia" w:ascii="Times New Roman" w:hAnsi="Times New Roman"/>
                <w:color w:val="000000" w:themeColor="text1"/>
                <w:highlight w:val="none"/>
                <w14:textFill>
                  <w14:solidFill>
                    <w14:schemeClr w14:val="tx1"/>
                  </w14:solidFill>
                </w14:textFill>
              </w:rPr>
              <w:t>/d（</w:t>
            </w:r>
            <w:r>
              <w:rPr>
                <w:rFonts w:hint="eastAsia"/>
                <w:color w:val="000000" w:themeColor="text1"/>
                <w:highlight w:val="none"/>
                <w:lang w:val="en-US" w:eastAsia="zh-CN"/>
                <w14:textFill>
                  <w14:solidFill>
                    <w14:schemeClr w14:val="tx1"/>
                  </w14:solidFill>
                </w14:textFill>
              </w:rPr>
              <w:t>210</w:t>
            </w:r>
            <w:r>
              <w:rPr>
                <w:rFonts w:hint="eastAsia" w:ascii="Times New Roman" w:hAnsi="Times New Roman"/>
                <w:color w:val="000000" w:themeColor="text1"/>
                <w:highlight w:val="none"/>
                <w14:textFill>
                  <w14:solidFill>
                    <w14:schemeClr w14:val="tx1"/>
                  </w14:solidFill>
                </w14:textFill>
              </w:rPr>
              <w:t>m</w:t>
            </w:r>
            <w:r>
              <w:rPr>
                <w:rFonts w:hint="eastAsia" w:ascii="Times New Roman" w:hAnsi="Times New Roman"/>
                <w:color w:val="000000" w:themeColor="text1"/>
                <w:highlight w:val="none"/>
                <w:vertAlign w:val="superscript"/>
                <w14:textFill>
                  <w14:solidFill>
                    <w14:schemeClr w14:val="tx1"/>
                  </w14:solidFill>
                </w14:textFill>
              </w:rPr>
              <w:t>3</w:t>
            </w:r>
            <w:r>
              <w:rPr>
                <w:rFonts w:hint="eastAsia" w:ascii="Times New Roman" w:hAnsi="Times New Roman"/>
                <w:color w:val="000000" w:themeColor="text1"/>
                <w:highlight w:val="none"/>
                <w14:textFill>
                  <w14:solidFill>
                    <w14:schemeClr w14:val="tx1"/>
                  </w14:solidFill>
                </w14:textFill>
              </w:rPr>
              <w:t>/a）。</w:t>
            </w:r>
          </w:p>
          <w:p w14:paraId="089C52E6">
            <w:pPr>
              <w:pStyle w:val="44"/>
              <w:ind w:firstLine="480"/>
              <w:rPr>
                <w:rFonts w:hint="default" w:ascii="Times New Roman" w:hAnsi="Times New Roman"/>
                <w:color w:val="000000" w:themeColor="text1"/>
                <w:highlight w:val="yellow"/>
                <w:lang w:val="en-US" w:eastAsia="zh-CN"/>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④</w:t>
            </w:r>
            <w:r>
              <w:rPr>
                <w:rFonts w:hint="eastAsia" w:ascii="Times New Roman" w:hAnsi="Times New Roman"/>
                <w:color w:val="000000" w:themeColor="text1"/>
                <w:highlight w:val="none"/>
                <w:lang w:val="en-US" w:eastAsia="zh-CN"/>
                <w14:textFill>
                  <w14:solidFill>
                    <w14:schemeClr w14:val="tx1"/>
                  </w14:solidFill>
                </w14:textFill>
              </w:rPr>
              <w:t>锅炉纯水系统</w:t>
            </w:r>
          </w:p>
          <w:p w14:paraId="01F43432">
            <w:pPr>
              <w:pStyle w:val="44"/>
              <w:ind w:firstLine="480"/>
              <w:rPr>
                <w:rFonts w:hint="default" w:ascii="Times New Roman" w:hAnsi="Times New Roman"/>
                <w:color w:val="000000" w:themeColor="text1"/>
                <w:highlight w:val="none"/>
                <w14:textFill>
                  <w14:solidFill>
                    <w14:schemeClr w14:val="tx1"/>
                  </w14:solidFill>
                </w14:textFill>
              </w:rPr>
            </w:pPr>
            <w:r>
              <w:rPr>
                <w:rFonts w:hint="default" w:ascii="Times New Roman" w:hAnsi="Times New Roman"/>
                <w:color w:val="000000" w:themeColor="text1"/>
                <w:highlight w:val="none"/>
                <w:lang w:val="en-US" w:eastAsia="zh-CN"/>
                <w14:textFill>
                  <w14:solidFill>
                    <w14:schemeClr w14:val="tx1"/>
                  </w14:solidFill>
                </w14:textFill>
              </w:rPr>
              <w:t>项目</w:t>
            </w:r>
            <w:r>
              <w:rPr>
                <w:rFonts w:hint="default" w:ascii="Times New Roman" w:hAnsi="Times New Roman"/>
                <w:color w:val="000000" w:themeColor="text1"/>
                <w:highlight w:val="none"/>
                <w14:textFill>
                  <w14:solidFill>
                    <w14:schemeClr w14:val="tx1"/>
                  </w14:solidFill>
                </w14:textFill>
              </w:rPr>
              <w:t>设置1套纯水制备系统，该纯水系统制备能力为</w:t>
            </w:r>
            <w:r>
              <w:rPr>
                <w:rFonts w:hint="eastAsia"/>
                <w:color w:val="000000" w:themeColor="text1"/>
                <w:highlight w:val="none"/>
                <w:lang w:val="en-US" w:eastAsia="zh-CN"/>
                <w14:textFill>
                  <w14:solidFill>
                    <w14:schemeClr w14:val="tx1"/>
                  </w14:solidFill>
                </w14:textFill>
              </w:rPr>
              <w:t>12</w:t>
            </w:r>
            <w:r>
              <w:rPr>
                <w:rFonts w:hint="default" w:ascii="Times New Roman" w:hAnsi="Times New Roman"/>
                <w:color w:val="000000" w:themeColor="text1"/>
                <w:highlight w:val="none"/>
                <w14:textFill>
                  <w14:solidFill>
                    <w14:schemeClr w14:val="tx1"/>
                  </w14:solidFill>
                </w14:textFill>
              </w:rPr>
              <w:t>m</w:t>
            </w:r>
            <w:r>
              <w:rPr>
                <w:rFonts w:hint="default" w:ascii="Times New Roman" w:hAnsi="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color w:val="000000" w:themeColor="text1"/>
                <w:highlight w:val="none"/>
                <w14:textFill>
                  <w14:solidFill>
                    <w14:schemeClr w14:val="tx1"/>
                  </w14:solidFill>
                </w14:textFill>
              </w:rPr>
              <w:t>/h，由于项目所在区域自来水水质情况等因素，项目纯水系统用水制水率在80%左右，排污水为20%左右。由此可知，项目排污水为</w:t>
            </w:r>
            <w:r>
              <w:rPr>
                <w:rFonts w:hint="eastAsia"/>
                <w:color w:val="000000" w:themeColor="text1"/>
                <w:highlight w:val="none"/>
                <w:lang w:val="en-US" w:eastAsia="zh-CN"/>
                <w14:textFill>
                  <w14:solidFill>
                    <w14:schemeClr w14:val="tx1"/>
                  </w14:solidFill>
                </w14:textFill>
              </w:rPr>
              <w:t>9.6</w:t>
            </w:r>
            <w:r>
              <w:rPr>
                <w:rFonts w:hint="eastAsia" w:ascii="Times New Roman" w:hAnsi="Times New Roman"/>
                <w:color w:val="000000" w:themeColor="text1"/>
                <w:highlight w:val="none"/>
                <w14:textFill>
                  <w14:solidFill>
                    <w14:schemeClr w14:val="tx1"/>
                  </w14:solidFill>
                </w14:textFill>
              </w:rPr>
              <w:t>m</w:t>
            </w:r>
            <w:r>
              <w:rPr>
                <w:rFonts w:hint="eastAsia" w:ascii="Times New Roman" w:hAnsi="Times New Roman"/>
                <w:color w:val="000000" w:themeColor="text1"/>
                <w:highlight w:val="none"/>
                <w:vertAlign w:val="superscript"/>
                <w14:textFill>
                  <w14:solidFill>
                    <w14:schemeClr w14:val="tx1"/>
                  </w14:solidFill>
                </w14:textFill>
              </w:rPr>
              <w:t>3</w:t>
            </w:r>
            <w:r>
              <w:rPr>
                <w:rFonts w:hint="default" w:ascii="Times New Roman" w:hAnsi="Times New Roman"/>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d</w:t>
            </w:r>
            <w:r>
              <w:rPr>
                <w:rFonts w:hint="eastAsia" w:ascii="Times New Roman" w:hAnsi="Times New Roman"/>
                <w:color w:val="000000" w:themeColor="text1"/>
                <w:highlight w:val="none"/>
                <w:lang w:eastAsia="zh-CN"/>
                <w14:textFill>
                  <w14:solidFill>
                    <w14:schemeClr w14:val="tx1"/>
                  </w14:solidFill>
                </w14:textFill>
              </w:rPr>
              <w:t>（2880</w:t>
            </w:r>
            <w:r>
              <w:rPr>
                <w:rFonts w:hint="eastAsia" w:ascii="Times New Roman" w:hAnsi="Times New Roman"/>
                <w:color w:val="000000" w:themeColor="text1"/>
                <w:highlight w:val="none"/>
                <w14:textFill>
                  <w14:solidFill>
                    <w14:schemeClr w14:val="tx1"/>
                  </w14:solidFill>
                </w14:textFill>
              </w:rPr>
              <w:t>m</w:t>
            </w:r>
            <w:r>
              <w:rPr>
                <w:rFonts w:hint="eastAsia" w:ascii="Times New Roman" w:hAnsi="Times New Roman"/>
                <w:color w:val="000000" w:themeColor="text1"/>
                <w:highlight w:val="none"/>
                <w:vertAlign w:val="superscript"/>
                <w14:textFill>
                  <w14:solidFill>
                    <w14:schemeClr w14:val="tx1"/>
                  </w14:solidFill>
                </w14:textFill>
              </w:rPr>
              <w:t>3</w:t>
            </w:r>
            <w:r>
              <w:rPr>
                <w:rFonts w:hint="eastAsia" w:ascii="Times New Roman" w:hAnsi="Times New Roman"/>
                <w:color w:val="000000" w:themeColor="text1"/>
                <w:highlight w:val="none"/>
                <w:lang w:val="en-US" w:eastAsia="zh-CN"/>
                <w14:textFill>
                  <w14:solidFill>
                    <w14:schemeClr w14:val="tx1"/>
                  </w14:solidFill>
                </w14:textFill>
              </w:rPr>
              <w:t>/a</w:t>
            </w:r>
            <w:r>
              <w:rPr>
                <w:rFonts w:hint="eastAsia" w:ascii="Times New Roman" w:hAnsi="Times New Roman"/>
                <w:color w:val="000000" w:themeColor="text1"/>
                <w:highlight w:val="none"/>
                <w:lang w:eastAsia="zh-CN"/>
                <w14:textFill>
                  <w14:solidFill>
                    <w14:schemeClr w14:val="tx1"/>
                  </w14:solidFill>
                </w14:textFill>
              </w:rPr>
              <w:t>）。</w:t>
            </w:r>
            <w:r>
              <w:rPr>
                <w:rFonts w:hint="eastAsia" w:ascii="Times New Roman" w:hAnsi="Times New Roman"/>
                <w:color w:val="000000" w:themeColor="text1"/>
                <w:highlight w:val="none"/>
                <w:lang w:val="en-US" w:eastAsia="zh-CN"/>
                <w14:textFill>
                  <w14:solidFill>
                    <w14:schemeClr w14:val="tx1"/>
                  </w14:solidFill>
                </w14:textFill>
              </w:rPr>
              <w:t>经沉淀池收集澄清后回用制浆搅拌工序，不外排。</w:t>
            </w:r>
          </w:p>
          <w:p w14:paraId="5F925589">
            <w:pPr>
              <w:pStyle w:val="44"/>
              <w:ind w:firstLine="480"/>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生活用水</w:t>
            </w:r>
          </w:p>
          <w:p w14:paraId="4CF6525D">
            <w:pPr>
              <w:pStyle w:val="44"/>
              <w:ind w:firstLine="48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本次扩建项目不新增</w:t>
            </w:r>
            <w:r>
              <w:rPr>
                <w:rFonts w:hint="eastAsia"/>
                <w:color w:val="000000" w:themeColor="text1"/>
                <w:highlight w:val="none"/>
                <w14:textFill>
                  <w14:solidFill>
                    <w14:schemeClr w14:val="tx1"/>
                  </w14:solidFill>
                </w14:textFill>
              </w:rPr>
              <w:t>职工</w:t>
            </w:r>
            <w:r>
              <w:rPr>
                <w:rFonts w:hint="eastAsia"/>
                <w:color w:val="000000" w:themeColor="text1"/>
                <w:highlight w:val="none"/>
                <w:lang w:val="en-US" w:eastAsia="zh-CN"/>
                <w14:textFill>
                  <w14:solidFill>
                    <w14:schemeClr w14:val="tx1"/>
                  </w14:solidFill>
                </w14:textFill>
              </w:rPr>
              <w:t>人数，故不新增</w:t>
            </w:r>
            <w:r>
              <w:rPr>
                <w:rFonts w:hint="eastAsia"/>
                <w:color w:val="000000" w:themeColor="text1"/>
                <w:highlight w:val="none"/>
                <w14:textFill>
                  <w14:solidFill>
                    <w14:schemeClr w14:val="tx1"/>
                  </w14:solidFill>
                </w14:textFill>
              </w:rPr>
              <w:t>生活用水</w:t>
            </w:r>
            <w:r>
              <w:rPr>
                <w:rFonts w:hint="eastAsia"/>
                <w:color w:val="000000" w:themeColor="text1"/>
                <w:highlight w:val="none"/>
                <w:lang w:eastAsia="zh-CN"/>
                <w14:textFill>
                  <w14:solidFill>
                    <w14:schemeClr w14:val="tx1"/>
                  </w14:solidFill>
                </w14:textFill>
              </w:rPr>
              <w:t>。项目</w:t>
            </w:r>
            <w:r>
              <w:rPr>
                <w:rFonts w:hint="eastAsia"/>
                <w:color w:val="000000" w:themeColor="text1"/>
                <w:highlight w:val="none"/>
                <w:lang w:val="en-US" w:eastAsia="zh-CN"/>
                <w14:textFill>
                  <w14:solidFill>
                    <w14:schemeClr w14:val="tx1"/>
                  </w14:solidFill>
                </w14:textFill>
              </w:rPr>
              <w:t>现有职工25</w:t>
            </w:r>
            <w:r>
              <w:rPr>
                <w:rFonts w:hint="eastAsia"/>
                <w:color w:val="000000" w:themeColor="text1"/>
                <w:highlight w:val="none"/>
                <w:lang w:eastAsia="zh-CN"/>
                <w14:textFill>
                  <w14:solidFill>
                    <w14:schemeClr w14:val="tx1"/>
                  </w14:solidFill>
                </w14:textFill>
              </w:rPr>
              <w:t>人，参照《福建省行业用水定额标准》（DB35/T 772-2018），</w:t>
            </w:r>
            <w:r>
              <w:rPr>
                <w:rFonts w:hint="eastAsia"/>
                <w:color w:val="000000" w:themeColor="text1"/>
                <w:highlight w:val="none"/>
                <w:lang w:val="en-US" w:eastAsia="zh-CN"/>
                <w14:textFill>
                  <w14:solidFill>
                    <w14:schemeClr w14:val="tx1"/>
                  </w14:solidFill>
                </w14:textFill>
              </w:rPr>
              <w:t>不</w:t>
            </w:r>
            <w:r>
              <w:rPr>
                <w:rFonts w:hint="eastAsia"/>
                <w:color w:val="000000" w:themeColor="text1"/>
                <w:highlight w:val="none"/>
                <w:lang w:eastAsia="zh-CN"/>
                <w14:textFill>
                  <w14:solidFill>
                    <w14:schemeClr w14:val="tx1"/>
                  </w14:solidFill>
                </w14:textFill>
              </w:rPr>
              <w:t>住厂职工每人每天生活用水量按50L/人·d计，则生活用水量约为</w:t>
            </w:r>
            <w:r>
              <w:rPr>
                <w:rFonts w:hint="eastAsia"/>
                <w:color w:val="000000" w:themeColor="text1"/>
                <w:highlight w:val="none"/>
                <w:lang w:val="en-US" w:eastAsia="zh-CN"/>
                <w14:textFill>
                  <w14:solidFill>
                    <w14:schemeClr w14:val="tx1"/>
                  </w14:solidFill>
                </w14:textFill>
              </w:rPr>
              <w:t>1.25</w:t>
            </w:r>
            <w:r>
              <w:rPr>
                <w:rFonts w:hint="eastAsia"/>
                <w:color w:val="000000" w:themeColor="text1"/>
                <w:highlight w:val="none"/>
                <w:lang w:eastAsia="zh-CN"/>
                <w14:textFill>
                  <w14:solidFill>
                    <w14:schemeClr w14:val="tx1"/>
                  </w14:solidFill>
                </w14:textFill>
              </w:rPr>
              <w:t>t/d；生活污水排水系数按80%计，则污水排放量为</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eastAsia="zh-CN"/>
                <w14:textFill>
                  <w14:solidFill>
                    <w14:schemeClr w14:val="tx1"/>
                  </w14:solidFill>
                </w14:textFill>
              </w:rPr>
              <w:t>t/d（</w:t>
            </w:r>
            <w:r>
              <w:rPr>
                <w:rFonts w:hint="eastAsia"/>
                <w:color w:val="000000" w:themeColor="text1"/>
                <w:highlight w:val="none"/>
                <w:lang w:val="en-US" w:eastAsia="zh-CN"/>
                <w14:textFill>
                  <w14:solidFill>
                    <w14:schemeClr w14:val="tx1"/>
                  </w14:solidFill>
                </w14:textFill>
              </w:rPr>
              <w:t>300</w:t>
            </w:r>
            <w:r>
              <w:rPr>
                <w:rFonts w:hint="eastAsia"/>
                <w:color w:val="000000" w:themeColor="text1"/>
                <w:highlight w:val="none"/>
                <w:lang w:eastAsia="zh-CN"/>
                <w14:textFill>
                  <w14:solidFill>
                    <w14:schemeClr w14:val="tx1"/>
                  </w14:solidFill>
                </w14:textFill>
              </w:rPr>
              <w:t>t/a）。</w:t>
            </w:r>
            <w:r>
              <w:rPr>
                <w:rFonts w:hint="eastAsia"/>
                <w:color w:val="000000" w:themeColor="text1"/>
                <w:highlight w:val="none"/>
                <w:lang w:val="en-US" w:eastAsia="zh-CN"/>
                <w14:textFill>
                  <w14:solidFill>
                    <w14:schemeClr w14:val="tx1"/>
                  </w14:solidFill>
                </w14:textFill>
              </w:rPr>
              <w:t>根据原环评</w:t>
            </w:r>
            <w:r>
              <w:rPr>
                <w:rFonts w:hint="eastAsia"/>
                <w:color w:val="000000" w:themeColor="text1"/>
                <w:highlight w:val="none"/>
                <w:lang w:eastAsia="zh-CN"/>
                <w14:textFill>
                  <w14:solidFill>
                    <w14:schemeClr w14:val="tx1"/>
                  </w14:solidFill>
                </w14:textFill>
              </w:rPr>
              <w:t>生活污水</w:t>
            </w:r>
            <w:r>
              <w:rPr>
                <w:rFonts w:hint="eastAsia"/>
                <w:color w:val="000000" w:themeColor="text1"/>
                <w:highlight w:val="none"/>
                <w:lang w:val="en-US" w:eastAsia="zh-CN"/>
                <w14:textFill>
                  <w14:solidFill>
                    <w14:schemeClr w14:val="tx1"/>
                  </w14:solidFill>
                </w14:textFill>
              </w:rPr>
              <w:t>利用出租方现有化粪池预处理后回用周边农田灌溉，现状实际为生活污水经过厂区现有化粪池处理后接入市政污水管网后，纳入</w:t>
            </w:r>
            <w:r>
              <w:rPr>
                <w:rFonts w:hint="eastAsia"/>
                <w:color w:val="000000" w:themeColor="text1"/>
                <w:highlight w:val="none"/>
                <w:lang w:eastAsia="zh-CN"/>
                <w14:textFill>
                  <w14:solidFill>
                    <w14:schemeClr w14:val="tx1"/>
                  </w14:solidFill>
                </w14:textFill>
              </w:rPr>
              <w:t>闽清县白金工业园区污水处理厂</w:t>
            </w:r>
            <w:r>
              <w:rPr>
                <w:rFonts w:hint="eastAsia"/>
                <w:color w:val="000000" w:themeColor="text1"/>
                <w:highlight w:val="none"/>
                <w14:textFill>
                  <w14:solidFill>
                    <w14:schemeClr w14:val="tx1"/>
                  </w14:solidFill>
                </w14:textFill>
              </w:rPr>
              <w:t>进一步处理</w:t>
            </w:r>
            <w:r>
              <w:rPr>
                <w:color w:val="000000" w:themeColor="text1"/>
                <w:highlight w:val="none"/>
                <w14:textFill>
                  <w14:solidFill>
                    <w14:schemeClr w14:val="tx1"/>
                  </w14:solidFill>
                </w14:textFill>
              </w:rPr>
              <w:t>。</w:t>
            </w:r>
          </w:p>
          <w:p w14:paraId="0D7F79E1">
            <w:pPr>
              <w:pStyle w:val="44"/>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（3）项目排水</w:t>
            </w:r>
          </w:p>
          <w:p w14:paraId="55DA8B9D">
            <w:pPr>
              <w:pStyle w:val="44"/>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项目采用</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雨污分流</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污污分流</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的排水制度，雨水由雨水管</w:t>
            </w:r>
            <w:r>
              <w:rPr>
                <w:rFonts w:hint="eastAsia"/>
                <w:color w:val="000000" w:themeColor="text1"/>
                <w:highlight w:val="none"/>
                <w14:textFill>
                  <w14:solidFill>
                    <w14:schemeClr w14:val="tx1"/>
                  </w14:solidFill>
                </w14:textFill>
              </w:rPr>
              <w:t>沟</w:t>
            </w:r>
            <w:r>
              <w:rPr>
                <w:color w:val="000000" w:themeColor="text1"/>
                <w:highlight w:val="none"/>
                <w14:textFill>
                  <w14:solidFill>
                    <w14:schemeClr w14:val="tx1"/>
                  </w14:solidFill>
                </w14:textFill>
              </w:rPr>
              <w:t>收集后通过</w:t>
            </w:r>
            <w:r>
              <w:rPr>
                <w:rFonts w:hint="eastAsia"/>
                <w:color w:val="000000" w:themeColor="text1"/>
                <w:highlight w:val="none"/>
                <w:lang w:val="en-US" w:eastAsia="zh-CN"/>
                <w14:textFill>
                  <w14:solidFill>
                    <w14:schemeClr w14:val="tx1"/>
                  </w14:solidFill>
                </w14:textFill>
              </w:rPr>
              <w:t>厂区</w:t>
            </w:r>
            <w:r>
              <w:rPr>
                <w:color w:val="000000" w:themeColor="text1"/>
                <w:highlight w:val="none"/>
                <w14:textFill>
                  <w14:solidFill>
                    <w14:schemeClr w14:val="tx1"/>
                  </w14:solidFill>
                </w14:textFill>
              </w:rPr>
              <w:t>雨水管道直接排放；</w:t>
            </w:r>
            <w:r>
              <w:rPr>
                <w:rFonts w:hint="eastAsia"/>
                <w:color w:val="000000" w:themeColor="text1"/>
                <w:highlight w:val="none"/>
                <w:lang w:val="en-US" w:eastAsia="zh-CN"/>
                <w14:textFill>
                  <w14:solidFill>
                    <w14:schemeClr w14:val="tx1"/>
                  </w14:solidFill>
                </w14:textFill>
              </w:rPr>
              <w:t>生产废水经厂区污水处理设施处理后循环使用不外排；</w:t>
            </w:r>
            <w:r>
              <w:rPr>
                <w:color w:val="000000" w:themeColor="text1"/>
                <w:highlight w:val="none"/>
                <w14:textFill>
                  <w14:solidFill>
                    <w14:schemeClr w14:val="tx1"/>
                  </w14:solidFill>
                </w14:textFill>
              </w:rPr>
              <w:t>生活污水经化粪池处理后接入</w:t>
            </w:r>
            <w:r>
              <w:rPr>
                <w:rFonts w:hint="eastAsia"/>
                <w:color w:val="000000" w:themeColor="text1"/>
                <w:highlight w:val="none"/>
                <w:lang w:val="en-US" w:eastAsia="zh-CN"/>
                <w14:textFill>
                  <w14:solidFill>
                    <w14:schemeClr w14:val="tx1"/>
                  </w14:solidFill>
                </w14:textFill>
              </w:rPr>
              <w:t>市政</w:t>
            </w:r>
            <w:r>
              <w:rPr>
                <w:color w:val="000000" w:themeColor="text1"/>
                <w:highlight w:val="none"/>
                <w14:textFill>
                  <w14:solidFill>
                    <w14:schemeClr w14:val="tx1"/>
                  </w14:solidFill>
                </w14:textFill>
              </w:rPr>
              <w:t>管网</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纳入</w:t>
            </w:r>
            <w:r>
              <w:rPr>
                <w:rFonts w:hint="eastAsia"/>
                <w:color w:val="000000" w:themeColor="text1"/>
                <w:highlight w:val="none"/>
                <w:lang w:eastAsia="zh-CN"/>
                <w14:textFill>
                  <w14:solidFill>
                    <w14:schemeClr w14:val="tx1"/>
                  </w14:solidFill>
                </w14:textFill>
              </w:rPr>
              <w:t>闽清县白金工业园区污水处理厂</w:t>
            </w:r>
            <w:r>
              <w:rPr>
                <w:rFonts w:hint="eastAsia"/>
                <w:color w:val="000000" w:themeColor="text1"/>
                <w:highlight w:val="none"/>
                <w14:textFill>
                  <w14:solidFill>
                    <w14:schemeClr w14:val="tx1"/>
                  </w14:solidFill>
                </w14:textFill>
              </w:rPr>
              <w:t>进一步处理</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具体情况见</w:t>
            </w:r>
            <w:r>
              <w:rPr>
                <w:color w:val="auto"/>
                <w:highlight w:val="none"/>
              </w:rPr>
              <w:t>平衡图见</w:t>
            </w:r>
            <w:r>
              <w:rPr>
                <w:rFonts w:hint="eastAsia"/>
                <w:color w:val="auto"/>
                <w:highlight w:val="none"/>
              </w:rPr>
              <w:fldChar w:fldCharType="begin"/>
            </w:r>
            <w:r>
              <w:rPr>
                <w:rFonts w:hint="eastAsia"/>
                <w:color w:val="auto"/>
                <w:highlight w:val="none"/>
              </w:rPr>
              <w:instrText xml:space="preserve"> REF _Ref27012 \n \h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REF _Ref22741 \n \h </w:instrText>
            </w:r>
            <w:r>
              <w:rPr>
                <w:rFonts w:hint="eastAsia"/>
                <w:color w:val="auto"/>
                <w:highlight w:val="none"/>
              </w:rPr>
              <w:fldChar w:fldCharType="separate"/>
            </w:r>
            <w:r>
              <w:rPr>
                <w:rFonts w:hint="eastAsia"/>
                <w:color w:val="auto"/>
                <w:highlight w:val="none"/>
              </w:rPr>
              <w:t>图</w:t>
            </w:r>
            <w:r>
              <w:rPr>
                <w:rFonts w:hint="eastAsia"/>
                <w:color w:val="auto"/>
                <w:highlight w:val="none"/>
                <w:lang w:val="en-US" w:eastAsia="zh-CN"/>
              </w:rPr>
              <w:t>2.6-</w:t>
            </w:r>
            <w:r>
              <w:rPr>
                <w:rFonts w:hint="eastAsia"/>
                <w:color w:val="auto"/>
                <w:highlight w:val="none"/>
              </w:rPr>
              <w:t>1</w:t>
            </w:r>
            <w:r>
              <w:rPr>
                <w:rFonts w:hint="eastAsia"/>
                <w:color w:val="auto"/>
                <w:highlight w:val="none"/>
              </w:rPr>
              <w:fldChar w:fldCharType="end"/>
            </w:r>
            <w:r>
              <w:rPr>
                <w:rFonts w:hint="eastAsia"/>
                <w:color w:val="auto"/>
                <w:highlight w:val="none"/>
                <w:lang w:eastAsia="zh-CN"/>
              </w:rPr>
              <w:t>、</w:t>
            </w:r>
            <w:r>
              <w:rPr>
                <w:rFonts w:hint="eastAsia"/>
                <w:color w:val="auto"/>
                <w:highlight w:val="none"/>
                <w:lang w:val="en-US" w:eastAsia="zh-CN"/>
              </w:rPr>
              <w:t>图2.6-2</w:t>
            </w:r>
            <w:r>
              <w:rPr>
                <w:color w:val="auto"/>
                <w:highlight w:val="none"/>
              </w:rPr>
              <w:t>。</w:t>
            </w:r>
            <w:r>
              <w:rPr>
                <w:rFonts w:hint="eastAsia"/>
                <w:color w:val="auto"/>
                <w:highlight w:val="none"/>
              </w:rPr>
              <w:fldChar w:fldCharType="end"/>
            </w:r>
          </w:p>
          <w:p w14:paraId="7195CC75">
            <w:pPr>
              <w:jc w:val="center"/>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drawing>
                <wp:inline distT="0" distB="0" distL="114300" distR="114300">
                  <wp:extent cx="5518785" cy="4926330"/>
                  <wp:effectExtent l="0" t="0" r="5715" b="7620"/>
                  <wp:docPr id="7" name="ECB019B1-382A-4266-B25C-5B523AA43C14-1" descr="C:/Users/Administrator/AppData/Local/Temp/wps.XuwIAZ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B019B1-382A-4266-B25C-5B523AA43C14-1" descr="C:/Users/Administrator/AppData/Local/Temp/wps.XuwIAZwps"/>
                          <pic:cNvPicPr>
                            <a:picLocks noChangeAspect="1"/>
                          </pic:cNvPicPr>
                        </pic:nvPicPr>
                        <pic:blipFill>
                          <a:blip r:embed="rId10"/>
                          <a:stretch>
                            <a:fillRect/>
                          </a:stretch>
                        </pic:blipFill>
                        <pic:spPr>
                          <a:xfrm>
                            <a:off x="0" y="0"/>
                            <a:ext cx="5518785" cy="4926330"/>
                          </a:xfrm>
                          <a:prstGeom prst="rect">
                            <a:avLst/>
                          </a:prstGeom>
                        </pic:spPr>
                      </pic:pic>
                    </a:graphicData>
                  </a:graphic>
                </wp:inline>
              </w:drawing>
            </w:r>
          </w:p>
          <w:p w14:paraId="2ECA4DF5">
            <w:pPr>
              <w:pStyle w:val="47"/>
              <w:keepNext w:val="0"/>
              <w:keepLines w:val="0"/>
              <w:pageBreakBefore w:val="0"/>
              <w:widowControl w:val="0"/>
              <w:kinsoku/>
              <w:wordWrap/>
              <w:overflowPunct/>
              <w:topLinePunct w:val="0"/>
              <w:autoSpaceDE/>
              <w:autoSpaceDN/>
              <w:bidi w:val="0"/>
              <w:adjustRightInd/>
              <w:snapToGrid/>
              <w:spacing w:line="240" w:lineRule="auto"/>
              <w:ind w:left="1582" w:hanging="1582"/>
              <w:textAlignment w:val="auto"/>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扩建项目水平衡图  单位：t/a</w:t>
            </w:r>
          </w:p>
          <w:p w14:paraId="4BA2E9AA">
            <w:r>
              <w:drawing>
                <wp:inline distT="0" distB="0" distL="114300" distR="114300">
                  <wp:extent cx="5516245" cy="6174740"/>
                  <wp:effectExtent l="0" t="0" r="8255" b="16510"/>
                  <wp:docPr id="104"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ECB019B1-382A-4266-B25C-5B523AA43C14-2" descr="wps"/>
                          <pic:cNvPicPr>
                            <a:picLocks noChangeAspect="1"/>
                          </pic:cNvPicPr>
                        </pic:nvPicPr>
                        <pic:blipFill>
                          <a:blip r:embed="rId11"/>
                          <a:stretch>
                            <a:fillRect/>
                          </a:stretch>
                        </pic:blipFill>
                        <pic:spPr>
                          <a:xfrm>
                            <a:off x="0" y="0"/>
                            <a:ext cx="5516245" cy="6174740"/>
                          </a:xfrm>
                          <a:prstGeom prst="rect">
                            <a:avLst/>
                          </a:prstGeom>
                        </pic:spPr>
                      </pic:pic>
                    </a:graphicData>
                  </a:graphic>
                </wp:inline>
              </w:drawing>
            </w:r>
          </w:p>
          <w:p w14:paraId="2095234C">
            <w:pPr>
              <w:pStyle w:val="47"/>
              <w:keepNext w:val="0"/>
              <w:keepLines w:val="0"/>
              <w:pageBreakBefore w:val="0"/>
              <w:widowControl w:val="0"/>
              <w:kinsoku/>
              <w:wordWrap/>
              <w:overflowPunct/>
              <w:topLinePunct w:val="0"/>
              <w:autoSpaceDE/>
              <w:autoSpaceDN/>
              <w:bidi w:val="0"/>
              <w:adjustRightInd/>
              <w:snapToGrid/>
              <w:spacing w:line="240" w:lineRule="auto"/>
              <w:ind w:left="1582" w:hanging="1582"/>
              <w:textAlignment w:val="auto"/>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项目全厂水平衡图  单位：t/a</w:t>
            </w:r>
          </w:p>
          <w:p w14:paraId="1A1C08BE"/>
        </w:tc>
      </w:tr>
    </w:tbl>
    <w:p w14:paraId="2E68B3D7">
      <w:pPr>
        <w:pStyle w:val="30"/>
        <w:adjustRightInd w:val="0"/>
        <w:snapToGrid w:val="0"/>
        <w:spacing w:before="0" w:beforeAutospacing="0" w:after="0" w:afterAutospacing="0"/>
        <w:jc w:val="center"/>
        <w:rPr>
          <w:rFonts w:cs="宋体"/>
          <w:color w:val="000000" w:themeColor="text1"/>
          <w:sz w:val="21"/>
          <w:szCs w:val="21"/>
          <w:highlight w:val="none"/>
          <w14:textFill>
            <w14:solidFill>
              <w14:schemeClr w14:val="tx1"/>
            </w14:solidFill>
          </w14:textFill>
        </w:rPr>
        <w:sectPr>
          <w:pgSz w:w="11905" w:h="16838"/>
          <w:pgMar w:top="1417" w:right="1417" w:bottom="1417" w:left="1417" w:header="851" w:footer="1077" w:gutter="0"/>
          <w:pgBorders>
            <w:top w:val="none" w:sz="0" w:space="0"/>
            <w:left w:val="none" w:sz="0" w:space="0"/>
            <w:bottom w:val="none" w:sz="0" w:space="0"/>
            <w:right w:val="none" w:sz="0" w:space="0"/>
          </w:pgBorders>
          <w:pgNumType w:fmt="decimal"/>
          <w:cols w:space="0" w:num="1"/>
          <w:docGrid w:linePitch="312" w:charSpace="0"/>
        </w:sectPr>
      </w:pPr>
    </w:p>
    <w:tbl>
      <w:tblPr>
        <w:tblStyle w:val="33"/>
        <w:tblW w:w="9378" w:type="dxa"/>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
        <w:gridCol w:w="8949"/>
      </w:tblGrid>
      <w:tr w14:paraId="0349A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2" w:hRule="atLeast"/>
        </w:trPr>
        <w:tc>
          <w:tcPr>
            <w:tcW w:w="429" w:type="dxa"/>
            <w:vAlign w:val="center"/>
          </w:tcPr>
          <w:p w14:paraId="1BE93369">
            <w:pPr>
              <w:pStyle w:val="30"/>
              <w:adjustRightInd w:val="0"/>
              <w:snapToGrid w:val="0"/>
              <w:spacing w:before="0" w:beforeAutospacing="0" w:after="0" w:afterAutospacing="0"/>
              <w:jc w:val="center"/>
              <w:rPr>
                <w:rFonts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工艺流程和产排污环节</w:t>
            </w:r>
          </w:p>
        </w:tc>
        <w:tc>
          <w:tcPr>
            <w:tcW w:w="8949" w:type="dxa"/>
          </w:tcPr>
          <w:p w14:paraId="72251121">
            <w:pPr>
              <w:pStyle w:val="3"/>
              <w:keepNext/>
              <w:keepLines/>
              <w:pageBreakBefore w:val="0"/>
              <w:widowControl w:val="0"/>
              <w:kinsoku/>
              <w:wordWrap/>
              <w:overflowPunct/>
              <w:topLinePunct w:val="0"/>
              <w:autoSpaceDE/>
              <w:autoSpaceDN/>
              <w:bidi w:val="0"/>
              <w:adjustRightInd/>
              <w:snapToGrid/>
              <w:spacing w:after="0"/>
              <w:ind w:left="0" w:leftChars="0" w:firstLine="0" w:firstLineChars="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主要工艺流程及产污环节</w:t>
            </w:r>
          </w:p>
          <w:p w14:paraId="565D86CF">
            <w:pPr>
              <w:pStyle w:val="4"/>
              <w:keepNext/>
              <w:keepLines/>
              <w:pageBreakBefore w:val="0"/>
              <w:widowControl w:val="0"/>
              <w:kinsoku/>
              <w:wordWrap/>
              <w:overflowPunct/>
              <w:topLinePunct w:val="0"/>
              <w:autoSpaceDE/>
              <w:autoSpaceDN/>
              <w:bidi w:val="0"/>
              <w:adjustRightInd/>
              <w:snapToGrid/>
              <w:spacing w:after="157" w:afterLines="50"/>
              <w:ind w:left="720" w:leftChars="0" w:hanging="720" w:firstLineChars="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生产工艺</w:t>
            </w:r>
          </w:p>
          <w:p w14:paraId="519942F9">
            <w:pPr>
              <w:pStyle w:val="44"/>
              <w:ind w:firstLine="480" w:firstLineChars="0"/>
              <w:jc w:val="left"/>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本项目具体</w:t>
            </w:r>
            <w:r>
              <w:rPr>
                <w:rFonts w:hint="eastAsia"/>
                <w:color w:val="000000" w:themeColor="text1"/>
                <w:highlight w:val="none"/>
                <w:lang w:val="en-US" w:eastAsia="zh-CN"/>
                <w14:textFill>
                  <w14:solidFill>
                    <w14:schemeClr w14:val="tx1"/>
                  </w14:solidFill>
                </w14:textFill>
              </w:rPr>
              <w:t>生产</w:t>
            </w:r>
            <w:r>
              <w:rPr>
                <w:rFonts w:hint="eastAsia"/>
                <w:color w:val="000000" w:themeColor="text1"/>
                <w:highlight w:val="none"/>
                <w14:textFill>
                  <w14:solidFill>
                    <w14:schemeClr w14:val="tx1"/>
                  </w14:solidFill>
                </w14:textFill>
              </w:rPr>
              <w:t>工艺流程见图</w:t>
            </w:r>
            <w:r>
              <w:rPr>
                <w:rFonts w:hint="eastAsia"/>
                <w:color w:val="000000" w:themeColor="text1"/>
                <w:highlight w:val="none"/>
                <w:lang w:val="en-US" w:eastAsia="zh-CN"/>
                <w14:textFill>
                  <w14:solidFill>
                    <w14:schemeClr w14:val="tx1"/>
                  </w14:solidFill>
                </w14:textFill>
              </w:rPr>
              <w:t>2.7-1.</w:t>
            </w:r>
          </w:p>
          <w:p w14:paraId="04D4839E">
            <w:pPr>
              <w:pStyle w:val="44"/>
              <w:ind w:left="0" w:leftChars="0" w:firstLine="0" w:firstLineChars="0"/>
              <w:jc w:val="left"/>
              <w:rPr>
                <w:rFonts w:hint="eastAsia"/>
                <w:color w:val="000000" w:themeColor="text1"/>
                <w:highlight w:val="none"/>
                <w:lang w:val="en-US" w:eastAsia="zh-CN"/>
                <w14:textFill>
                  <w14:solidFill>
                    <w14:schemeClr w14:val="tx1"/>
                  </w14:solidFill>
                </w14:textFill>
              </w:rPr>
            </w:pPr>
          </w:p>
          <w:p w14:paraId="5F2343C3">
            <w:pPr>
              <w:pStyle w:val="44"/>
              <w:ind w:left="0" w:leftChars="0" w:firstLine="0" w:firstLineChars="0"/>
              <w:jc w:val="center"/>
              <w:rPr>
                <w:rFonts w:hint="default" w:eastAsia="宋体"/>
                <w:i/>
                <w:iCs/>
                <w:color w:val="000000" w:themeColor="text1"/>
                <w:sz w:val="84"/>
                <w:szCs w:val="84"/>
                <w:highlight w:val="none"/>
                <w:lang w:val="en-US" w:eastAsia="zh-CN"/>
                <w14:textFill>
                  <w14:solidFill>
                    <w14:schemeClr w14:val="tx1"/>
                  </w14:solidFill>
                </w14:textFill>
              </w:rPr>
            </w:pPr>
            <w:r>
              <w:rPr>
                <w:rFonts w:hint="eastAsia"/>
                <w:i/>
                <w:iCs/>
                <w:color w:val="000000" w:themeColor="text1"/>
                <w:sz w:val="84"/>
                <w:szCs w:val="84"/>
                <w:highlight w:val="none"/>
                <w:lang w:val="en-US" w:eastAsia="zh-CN"/>
                <w14:textFill>
                  <w14:solidFill>
                    <w14:schemeClr w14:val="tx1"/>
                  </w14:solidFill>
                </w14:textFill>
              </w:rPr>
              <w:t>涉密删除</w:t>
            </w:r>
          </w:p>
          <w:p w14:paraId="1CCF0FC7">
            <w:pPr>
              <w:pStyle w:val="47"/>
              <w:keepNext w:val="0"/>
              <w:keepLines w:val="0"/>
              <w:pageBreakBefore w:val="0"/>
              <w:widowControl w:val="0"/>
              <w:kinsoku/>
              <w:wordWrap/>
              <w:overflowPunct/>
              <w:topLinePunct w:val="0"/>
              <w:autoSpaceDE/>
              <w:autoSpaceDN/>
              <w:bidi w:val="0"/>
              <w:adjustRightInd/>
              <w:snapToGrid/>
              <w:spacing w:line="240" w:lineRule="auto"/>
              <w:ind w:left="1582" w:hanging="1582"/>
              <w:textAlignment w:val="auto"/>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主要生产工艺流程图</w:t>
            </w:r>
          </w:p>
        </w:tc>
      </w:tr>
    </w:tbl>
    <w:p w14:paraId="5897C020">
      <w:pPr>
        <w:pStyle w:val="30"/>
        <w:adjustRightInd w:val="0"/>
        <w:snapToGrid w:val="0"/>
        <w:spacing w:before="0" w:beforeAutospacing="0" w:after="0" w:afterAutospacing="0"/>
        <w:jc w:val="center"/>
        <w:rPr>
          <w:rFonts w:cs="宋体"/>
          <w:color w:val="000000" w:themeColor="text1"/>
          <w:sz w:val="21"/>
          <w:szCs w:val="21"/>
          <w:highlight w:val="none"/>
          <w14:textFill>
            <w14:solidFill>
              <w14:schemeClr w14:val="tx1"/>
            </w14:solidFill>
          </w14:textFill>
        </w:rPr>
        <w:sectPr>
          <w:pgSz w:w="11906" w:h="16838"/>
          <w:pgMar w:top="1531" w:right="1304" w:bottom="1531" w:left="1304" w:header="851" w:footer="1077" w:gutter="0"/>
          <w:pgBorders>
            <w:top w:val="none" w:sz="0" w:space="0"/>
            <w:left w:val="none" w:sz="0" w:space="0"/>
            <w:bottom w:val="none" w:sz="0" w:space="0"/>
            <w:right w:val="none" w:sz="0" w:space="0"/>
          </w:pgBorders>
          <w:pgNumType w:fmt="decimal"/>
          <w:cols w:space="0" w:num="1"/>
          <w:docGrid w:linePitch="312" w:charSpace="0"/>
        </w:sectPr>
      </w:pPr>
    </w:p>
    <w:tbl>
      <w:tblPr>
        <w:tblStyle w:val="32"/>
        <w:tblW w:w="933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032"/>
      </w:tblGrid>
      <w:tr w14:paraId="7A9679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84" w:hRule="atLeast"/>
          <w:jc w:val="center"/>
        </w:trPr>
        <w:tc>
          <w:tcPr>
            <w:tcW w:w="528" w:type="dxa"/>
            <w:vAlign w:val="top"/>
          </w:tcPr>
          <w:p w14:paraId="41A24F92">
            <w:pPr>
              <w:pStyle w:val="30"/>
              <w:adjustRightInd w:val="0"/>
              <w:snapToGrid w:val="0"/>
              <w:spacing w:before="0" w:beforeAutospacing="0" w:after="0" w:afterAutospacing="0"/>
              <w:jc w:val="center"/>
              <w:rPr>
                <w:rFonts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工艺流程和产排污环节</w:t>
            </w:r>
          </w:p>
        </w:tc>
        <w:tc>
          <w:tcPr>
            <w:tcW w:w="8802" w:type="dxa"/>
            <w:vAlign w:val="top"/>
          </w:tcPr>
          <w:p w14:paraId="4D5C6ECF">
            <w:pPr>
              <w:pStyle w:val="5"/>
              <w:keepNext/>
              <w:keepLines/>
              <w:pageBreakBefore w:val="0"/>
              <w:widowControl w:val="0"/>
              <w:numPr>
                <w:ilvl w:val="3"/>
                <w:numId w:val="8"/>
              </w:numPr>
              <w:tabs>
                <w:tab w:val="left" w:pos="0"/>
              </w:tabs>
              <w:kinsoku/>
              <w:wordWrap/>
              <w:overflowPunct/>
              <w:topLinePunct w:val="0"/>
              <w:autoSpaceDE/>
              <w:autoSpaceDN/>
              <w:bidi w:val="0"/>
              <w:adjustRightInd/>
              <w:snapToGrid/>
              <w:spacing w:before="157" w:beforeLines="50"/>
              <w:ind w:left="862" w:leftChars="0" w:hanging="862" w:firstLineChars="0"/>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生产</w:t>
            </w:r>
            <w:r>
              <w:rPr>
                <w:rFonts w:hint="default"/>
                <w:color w:val="000000" w:themeColor="text1"/>
                <w:highlight w:val="none"/>
                <w:lang w:val="en-US" w:eastAsia="zh-CN"/>
                <w14:textFill>
                  <w14:solidFill>
                    <w14:schemeClr w14:val="tx1"/>
                  </w14:solidFill>
                </w14:textFill>
              </w:rPr>
              <w:t>工艺</w:t>
            </w:r>
            <w:r>
              <w:rPr>
                <w:rFonts w:hint="eastAsia"/>
                <w:color w:val="000000" w:themeColor="text1"/>
                <w:highlight w:val="none"/>
                <w:lang w:val="en-US" w:eastAsia="zh-CN"/>
                <w14:textFill>
                  <w14:solidFill>
                    <w14:schemeClr w14:val="tx1"/>
                  </w14:solidFill>
                </w14:textFill>
              </w:rPr>
              <w:t>流程</w:t>
            </w:r>
          </w:p>
          <w:p w14:paraId="7204AA73">
            <w:pPr>
              <w:pStyle w:val="43"/>
              <w:ind w:firstLine="480"/>
              <w:rPr>
                <w:rFonts w:hint="eastAsia"/>
              </w:rPr>
            </w:pPr>
            <w:r>
              <w:rPr>
                <w:rFonts w:hint="eastAsia"/>
              </w:rPr>
              <w:t>主要工艺流程简述：</w:t>
            </w:r>
          </w:p>
          <w:p w14:paraId="3260A22A">
            <w:pPr>
              <w:pStyle w:val="44"/>
              <w:ind w:left="0" w:leftChars="0" w:firstLine="0" w:firstLineChars="0"/>
              <w:jc w:val="center"/>
              <w:rPr>
                <w:rFonts w:hint="default" w:eastAsia="宋体"/>
                <w:i/>
                <w:iCs/>
                <w:color w:val="000000" w:themeColor="text1"/>
                <w:sz w:val="84"/>
                <w:szCs w:val="84"/>
                <w:highlight w:val="none"/>
                <w:lang w:val="en-US" w:eastAsia="zh-CN"/>
                <w14:textFill>
                  <w14:solidFill>
                    <w14:schemeClr w14:val="tx1"/>
                  </w14:solidFill>
                </w14:textFill>
              </w:rPr>
            </w:pPr>
            <w:r>
              <w:rPr>
                <w:rFonts w:hint="eastAsia"/>
                <w:i/>
                <w:iCs/>
                <w:color w:val="000000" w:themeColor="text1"/>
                <w:sz w:val="84"/>
                <w:szCs w:val="84"/>
                <w:highlight w:val="none"/>
                <w:lang w:val="en-US" w:eastAsia="zh-CN"/>
                <w14:textFill>
                  <w14:solidFill>
                    <w14:schemeClr w14:val="tx1"/>
                  </w14:solidFill>
                </w14:textFill>
              </w:rPr>
              <w:t>涉密删除</w:t>
            </w:r>
          </w:p>
          <w:p w14:paraId="5134F25F">
            <w:pPr>
              <w:pStyle w:val="5"/>
              <w:numPr>
                <w:ilvl w:val="3"/>
                <w:numId w:val="8"/>
              </w:numPr>
              <w:tabs>
                <w:tab w:val="left" w:pos="0"/>
              </w:tabs>
              <w:bidi w:val="0"/>
              <w:ind w:left="864" w:leftChars="0" w:hanging="864" w:firstLineChars="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生产工艺主要产污环节</w:t>
            </w:r>
          </w:p>
          <w:p w14:paraId="4246FE87">
            <w:pPr>
              <w:pStyle w:val="44"/>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主要</w:t>
            </w:r>
            <w:r>
              <w:rPr>
                <w:rFonts w:hint="eastAsia"/>
                <w:color w:val="000000" w:themeColor="text1"/>
                <w:highlight w:val="none"/>
                <w:vertAlign w:val="baseline"/>
                <w:lang w:val="en-US" w:eastAsia="zh-CN"/>
                <w14:textFill>
                  <w14:solidFill>
                    <w14:schemeClr w14:val="tx1"/>
                  </w14:solidFill>
                </w14:textFill>
              </w:rPr>
              <w:t>产污环节</w:t>
            </w:r>
            <w:r>
              <w:rPr>
                <w:rFonts w:hint="eastAsia"/>
                <w:color w:val="000000" w:themeColor="text1"/>
                <w14:textFill>
                  <w14:solidFill>
                    <w14:schemeClr w14:val="tx1"/>
                  </w14:solidFill>
                </w14:textFill>
              </w:rPr>
              <w:t>见下表。</w:t>
            </w:r>
          </w:p>
          <w:p w14:paraId="441ACCCE">
            <w:pPr>
              <w:pStyle w:val="42"/>
              <w:keepNext/>
              <w:keepLines/>
              <w:pageBreakBefore w:val="0"/>
              <w:widowControl w:val="0"/>
              <w:numPr>
                <w:ilvl w:val="7"/>
                <w:numId w:val="9"/>
              </w:numPr>
              <w:tabs>
                <w:tab w:val="left" w:pos="0"/>
              </w:tabs>
              <w:kinsoku/>
              <w:wordWrap/>
              <w:overflowPunct/>
              <w:topLinePunct w:val="0"/>
              <w:autoSpaceDE/>
              <w:autoSpaceDN/>
              <w:bidi w:val="0"/>
              <w:adjustRightInd/>
              <w:snapToGrid/>
              <w:spacing w:before="157" w:beforeLines="50" w:after="0"/>
              <w:ind w:left="630" w:leftChars="0" w:firstLineChars="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主要污染工序一览表</w:t>
            </w:r>
          </w:p>
          <w:tbl>
            <w:tblPr>
              <w:tblStyle w:val="32"/>
              <w:tblW w:w="491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2"/>
              <w:gridCol w:w="1317"/>
              <w:gridCol w:w="2275"/>
              <w:gridCol w:w="4405"/>
            </w:tblGrid>
            <w:tr w14:paraId="393BA8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2" w:hRule="atLeast"/>
                <w:tblHeader/>
                <w:jc w:val="center"/>
              </w:trPr>
              <w:tc>
                <w:tcPr>
                  <w:tcW w:w="674" w:type="dxa"/>
                  <w:tcBorders>
                    <w:bottom w:val="single" w:color="auto" w:sz="12" w:space="0"/>
                  </w:tcBorders>
                  <w:noWrap w:val="0"/>
                  <w:vAlign w:val="center"/>
                </w:tcPr>
                <w:p w14:paraId="7160D7B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时期</w:t>
                  </w:r>
                </w:p>
              </w:tc>
              <w:tc>
                <w:tcPr>
                  <w:tcW w:w="3704" w:type="dxa"/>
                  <w:gridSpan w:val="2"/>
                  <w:tcBorders>
                    <w:bottom w:val="single" w:color="auto" w:sz="12" w:space="0"/>
                  </w:tcBorders>
                  <w:noWrap w:val="0"/>
                  <w:vAlign w:val="center"/>
                </w:tcPr>
                <w:p w14:paraId="45F7550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影响环境的行为</w:t>
                  </w:r>
                </w:p>
              </w:tc>
              <w:tc>
                <w:tcPr>
                  <w:tcW w:w="4580" w:type="dxa"/>
                  <w:tcBorders>
                    <w:bottom w:val="single" w:color="auto" w:sz="12" w:space="0"/>
                  </w:tcBorders>
                  <w:noWrap w:val="0"/>
                  <w:vAlign w:val="center"/>
                </w:tcPr>
                <w:p w14:paraId="534D1C0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主要环境影响因子</w:t>
                  </w:r>
                </w:p>
              </w:tc>
            </w:tr>
            <w:tr w14:paraId="360B66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74" w:type="dxa"/>
                  <w:vMerge w:val="restart"/>
                  <w:tcBorders>
                    <w:top w:val="single" w:color="auto" w:sz="12" w:space="0"/>
                    <w:tl2br w:val="nil"/>
                    <w:tr2bl w:val="nil"/>
                  </w:tcBorders>
                  <w:noWrap w:val="0"/>
                  <w:vAlign w:val="center"/>
                </w:tcPr>
                <w:p w14:paraId="6C1551A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运</w:t>
                  </w:r>
                </w:p>
                <w:p w14:paraId="43366E4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营</w:t>
                  </w:r>
                </w:p>
                <w:p w14:paraId="00B8DFD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期</w:t>
                  </w:r>
                </w:p>
                <w:p w14:paraId="16DE0646">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p>
              </w:tc>
              <w:tc>
                <w:tcPr>
                  <w:tcW w:w="1360" w:type="dxa"/>
                  <w:vMerge w:val="restart"/>
                  <w:tcBorders>
                    <w:top w:val="single" w:color="auto" w:sz="12" w:space="0"/>
                    <w:tl2br w:val="nil"/>
                    <w:tr2bl w:val="nil"/>
                  </w:tcBorders>
                  <w:noWrap w:val="0"/>
                  <w:vAlign w:val="center"/>
                </w:tcPr>
                <w:p w14:paraId="3E35467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废气</w:t>
                  </w:r>
                </w:p>
              </w:tc>
              <w:tc>
                <w:tcPr>
                  <w:tcW w:w="2344" w:type="dxa"/>
                  <w:tcBorders>
                    <w:top w:val="single" w:color="auto" w:sz="12" w:space="0"/>
                    <w:tl2br w:val="nil"/>
                    <w:tr2bl w:val="nil"/>
                  </w:tcBorders>
                  <w:noWrap w:val="0"/>
                  <w:vAlign w:val="center"/>
                </w:tcPr>
                <w:p w14:paraId="4DF9E5A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料仓呼吸</w:t>
                  </w:r>
                </w:p>
              </w:tc>
              <w:tc>
                <w:tcPr>
                  <w:tcW w:w="4580" w:type="dxa"/>
                  <w:tcBorders>
                    <w:top w:val="single" w:color="auto" w:sz="12" w:space="0"/>
                    <w:tl2br w:val="nil"/>
                    <w:tr2bl w:val="nil"/>
                  </w:tcBorders>
                  <w:noWrap w:val="0"/>
                  <w:vAlign w:val="center"/>
                </w:tcPr>
                <w:p w14:paraId="2B44FD9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颗粒物</w:t>
                  </w:r>
                </w:p>
              </w:tc>
            </w:tr>
            <w:tr w14:paraId="2757D4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674" w:type="dxa"/>
                  <w:vMerge w:val="continue"/>
                  <w:tcBorders>
                    <w:tl2br w:val="nil"/>
                    <w:tr2bl w:val="nil"/>
                  </w:tcBorders>
                  <w:noWrap w:val="0"/>
                  <w:vAlign w:val="center"/>
                </w:tcPr>
                <w:p w14:paraId="6CA2BED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p>
              </w:tc>
              <w:tc>
                <w:tcPr>
                  <w:tcW w:w="1360" w:type="dxa"/>
                  <w:vMerge w:val="continue"/>
                  <w:tcBorders>
                    <w:tl2br w:val="nil"/>
                    <w:tr2bl w:val="nil"/>
                  </w:tcBorders>
                  <w:noWrap w:val="0"/>
                  <w:vAlign w:val="center"/>
                </w:tcPr>
                <w:p w14:paraId="6736DD9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p>
              </w:tc>
              <w:tc>
                <w:tcPr>
                  <w:tcW w:w="2344" w:type="dxa"/>
                  <w:tcBorders>
                    <w:tl2br w:val="nil"/>
                    <w:tr2bl w:val="nil"/>
                  </w:tcBorders>
                  <w:noWrap w:val="0"/>
                  <w:vAlign w:val="center"/>
                </w:tcPr>
                <w:p w14:paraId="190F41E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燃</w:t>
                  </w:r>
                  <w:r>
                    <w:rPr>
                      <w:rFonts w:hint="eastAsia" w:cs="Times New Roman"/>
                      <w:color w:val="000000"/>
                      <w:sz w:val="21"/>
                      <w:szCs w:val="21"/>
                      <w:lang w:val="en-US" w:eastAsia="zh-CN"/>
                    </w:rPr>
                    <w:t>生物质锅炉</w:t>
                  </w:r>
                  <w:r>
                    <w:rPr>
                      <w:rFonts w:hint="eastAsia" w:ascii="Times New Roman" w:hAnsi="Times New Roman" w:eastAsia="宋体" w:cs="Times New Roman"/>
                      <w:color w:val="000000"/>
                      <w:sz w:val="21"/>
                      <w:szCs w:val="21"/>
                      <w:lang w:val="en-US" w:eastAsia="zh-CN"/>
                    </w:rPr>
                    <w:t>废气</w:t>
                  </w:r>
                </w:p>
              </w:tc>
              <w:tc>
                <w:tcPr>
                  <w:tcW w:w="4580" w:type="dxa"/>
                  <w:tcBorders>
                    <w:tl2br w:val="nil"/>
                    <w:tr2bl w:val="nil"/>
                  </w:tcBorders>
                  <w:noWrap w:val="0"/>
                  <w:vAlign w:val="center"/>
                </w:tcPr>
                <w:p w14:paraId="3CB45C2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u w:val="none"/>
                      <w:lang w:val="zh-CN"/>
                    </w:rPr>
                    <w:t>烟尘、SO</w:t>
                  </w:r>
                  <w:r>
                    <w:rPr>
                      <w:rFonts w:hint="default" w:ascii="Times New Roman" w:hAnsi="Times New Roman" w:cs="Times New Roman"/>
                      <w:color w:val="000000"/>
                      <w:sz w:val="21"/>
                      <w:szCs w:val="21"/>
                      <w:u w:val="none"/>
                      <w:vertAlign w:val="subscript"/>
                      <w:lang w:val="zh-CN"/>
                    </w:rPr>
                    <w:t>2</w:t>
                  </w:r>
                  <w:r>
                    <w:rPr>
                      <w:rFonts w:hint="default" w:ascii="Times New Roman" w:hAnsi="Times New Roman" w:cs="Times New Roman"/>
                      <w:color w:val="000000"/>
                      <w:sz w:val="21"/>
                      <w:szCs w:val="21"/>
                      <w:u w:val="none"/>
                      <w:lang w:val="zh-CN"/>
                    </w:rPr>
                    <w:t>、NO</w:t>
                  </w:r>
                  <w:r>
                    <w:rPr>
                      <w:rFonts w:hint="default" w:ascii="Times New Roman" w:hAnsi="Times New Roman" w:cs="Times New Roman"/>
                      <w:color w:val="000000"/>
                      <w:sz w:val="21"/>
                      <w:szCs w:val="21"/>
                      <w:u w:val="none"/>
                      <w:vertAlign w:val="subscript"/>
                      <w:lang w:val="zh-CN"/>
                    </w:rPr>
                    <w:t>x</w:t>
                  </w:r>
                </w:p>
              </w:tc>
            </w:tr>
            <w:tr w14:paraId="336E72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74" w:type="dxa"/>
                  <w:vMerge w:val="continue"/>
                  <w:tcBorders>
                    <w:tl2br w:val="nil"/>
                    <w:tr2bl w:val="nil"/>
                  </w:tcBorders>
                  <w:noWrap w:val="0"/>
                  <w:vAlign w:val="center"/>
                </w:tcPr>
                <w:p w14:paraId="73CA021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p>
              </w:tc>
              <w:tc>
                <w:tcPr>
                  <w:tcW w:w="1360" w:type="dxa"/>
                  <w:vMerge w:val="continue"/>
                  <w:tcBorders>
                    <w:tl2br w:val="nil"/>
                    <w:tr2bl w:val="nil"/>
                  </w:tcBorders>
                  <w:noWrap w:val="0"/>
                  <w:vAlign w:val="center"/>
                </w:tcPr>
                <w:p w14:paraId="479035B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p>
              </w:tc>
              <w:tc>
                <w:tcPr>
                  <w:tcW w:w="2344" w:type="dxa"/>
                  <w:tcBorders>
                    <w:tl2br w:val="nil"/>
                    <w:tr2bl w:val="nil"/>
                  </w:tcBorders>
                  <w:noWrap w:val="0"/>
                  <w:vAlign w:val="center"/>
                </w:tcPr>
                <w:p w14:paraId="77A6859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钢筋焊接烟尘</w:t>
                  </w:r>
                </w:p>
              </w:tc>
              <w:tc>
                <w:tcPr>
                  <w:tcW w:w="4580" w:type="dxa"/>
                  <w:tcBorders>
                    <w:tl2br w:val="nil"/>
                    <w:tr2bl w:val="nil"/>
                  </w:tcBorders>
                  <w:noWrap w:val="0"/>
                  <w:vAlign w:val="center"/>
                </w:tcPr>
                <w:p w14:paraId="3C12200A">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颗粒物</w:t>
                  </w:r>
                </w:p>
              </w:tc>
            </w:tr>
            <w:tr w14:paraId="2BDC6E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74" w:type="dxa"/>
                  <w:vMerge w:val="continue"/>
                  <w:tcBorders>
                    <w:tl2br w:val="nil"/>
                    <w:tr2bl w:val="nil"/>
                  </w:tcBorders>
                  <w:noWrap w:val="0"/>
                  <w:vAlign w:val="center"/>
                </w:tcPr>
                <w:p w14:paraId="26853CE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p>
              </w:tc>
              <w:tc>
                <w:tcPr>
                  <w:tcW w:w="1360" w:type="dxa"/>
                  <w:vMerge w:val="restart"/>
                  <w:tcBorders>
                    <w:tl2br w:val="nil"/>
                    <w:tr2bl w:val="nil"/>
                  </w:tcBorders>
                  <w:noWrap w:val="0"/>
                  <w:vAlign w:val="center"/>
                </w:tcPr>
                <w:p w14:paraId="6145DD9E">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废水</w:t>
                  </w:r>
                </w:p>
              </w:tc>
              <w:tc>
                <w:tcPr>
                  <w:tcW w:w="2344" w:type="dxa"/>
                  <w:tcBorders>
                    <w:tl2br w:val="nil"/>
                    <w:tr2bl w:val="nil"/>
                  </w:tcBorders>
                  <w:noWrap w:val="0"/>
                  <w:vAlign w:val="center"/>
                </w:tcPr>
                <w:p w14:paraId="1E06E294">
                  <w:pPr>
                    <w:keepNext w:val="0"/>
                    <w:keepLines w:val="0"/>
                    <w:pageBreakBefore w:val="0"/>
                    <w:widowControl w:val="0"/>
                    <w:tabs>
                      <w:tab w:val="left" w:pos="983"/>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000000"/>
                      <w:kern w:val="2"/>
                      <w:sz w:val="21"/>
                      <w:szCs w:val="21"/>
                      <w:u w:val="none"/>
                      <w:lang w:val="zh-CN" w:eastAsia="zh-CN" w:bidi="ar-SA"/>
                    </w:rPr>
                  </w:pPr>
                  <w:r>
                    <w:rPr>
                      <w:rFonts w:hint="default" w:ascii="Times New Roman" w:hAnsi="Times New Roman" w:cs="Times New Roman"/>
                      <w:color w:val="000000"/>
                      <w:sz w:val="21"/>
                      <w:szCs w:val="21"/>
                      <w:u w:val="none"/>
                    </w:rPr>
                    <w:t>地面和设备</w:t>
                  </w:r>
                  <w:r>
                    <w:rPr>
                      <w:rFonts w:hint="default" w:ascii="Times New Roman" w:hAnsi="Times New Roman" w:cs="Times New Roman"/>
                      <w:color w:val="000000"/>
                      <w:sz w:val="21"/>
                      <w:szCs w:val="21"/>
                      <w:u w:val="none"/>
                      <w:lang w:val="zh-CN"/>
                    </w:rPr>
                    <w:t>清洗</w:t>
                  </w:r>
                </w:p>
              </w:tc>
              <w:tc>
                <w:tcPr>
                  <w:tcW w:w="4580" w:type="dxa"/>
                  <w:tcBorders>
                    <w:tl2br w:val="nil"/>
                    <w:tr2bl w:val="nil"/>
                  </w:tcBorders>
                  <w:noWrap w:val="0"/>
                  <w:vAlign w:val="center"/>
                </w:tcPr>
                <w:p w14:paraId="7F8BC82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000000"/>
                      <w:kern w:val="2"/>
                      <w:sz w:val="21"/>
                      <w:szCs w:val="21"/>
                      <w:u w:val="none"/>
                      <w:lang w:val="en-US" w:eastAsia="zh-CN" w:bidi="ar-SA"/>
                    </w:rPr>
                  </w:pPr>
                  <w:r>
                    <w:rPr>
                      <w:rFonts w:hint="default" w:ascii="Times New Roman" w:hAnsi="Times New Roman" w:cs="Times New Roman"/>
                      <w:color w:val="000000"/>
                      <w:sz w:val="21"/>
                      <w:szCs w:val="21"/>
                      <w:u w:val="none"/>
                    </w:rPr>
                    <w:t>SS、石油类</w:t>
                  </w:r>
                </w:p>
              </w:tc>
            </w:tr>
            <w:tr w14:paraId="2339AE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74" w:type="dxa"/>
                  <w:vMerge w:val="continue"/>
                  <w:tcBorders>
                    <w:tl2br w:val="nil"/>
                    <w:tr2bl w:val="nil"/>
                  </w:tcBorders>
                  <w:noWrap w:val="0"/>
                  <w:vAlign w:val="center"/>
                </w:tcPr>
                <w:p w14:paraId="7E8BFF0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p>
              </w:tc>
              <w:tc>
                <w:tcPr>
                  <w:tcW w:w="1360" w:type="dxa"/>
                  <w:vMerge w:val="continue"/>
                  <w:tcBorders>
                    <w:tl2br w:val="nil"/>
                    <w:tr2bl w:val="nil"/>
                  </w:tcBorders>
                  <w:noWrap w:val="0"/>
                  <w:vAlign w:val="center"/>
                </w:tcPr>
                <w:p w14:paraId="49080656">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p>
              </w:tc>
              <w:tc>
                <w:tcPr>
                  <w:tcW w:w="2344" w:type="dxa"/>
                  <w:tcBorders>
                    <w:tl2br w:val="nil"/>
                    <w:tr2bl w:val="nil"/>
                  </w:tcBorders>
                  <w:noWrap w:val="0"/>
                  <w:vAlign w:val="center"/>
                </w:tcPr>
                <w:p w14:paraId="1386C662">
                  <w:pPr>
                    <w:pStyle w:val="113"/>
                    <w:spacing w:before="30" w:line="221" w:lineRule="auto"/>
                    <w:ind w:left="380"/>
                    <w:rPr>
                      <w:rFonts w:hint="default" w:ascii="Times New Roman" w:hAnsi="Times New Roman" w:eastAsia="宋体" w:cs="Times New Roman"/>
                      <w:color w:val="000000"/>
                      <w:sz w:val="21"/>
                      <w:szCs w:val="21"/>
                    </w:rPr>
                  </w:pPr>
                  <w:r>
                    <w:rPr>
                      <w:rFonts w:hint="eastAsia"/>
                      <w:spacing w:val="-2"/>
                      <w:lang w:val="en-US" w:eastAsia="zh-CN"/>
                    </w:rPr>
                    <w:t>锅炉纯</w:t>
                  </w:r>
                  <w:r>
                    <w:rPr>
                      <w:spacing w:val="-2"/>
                    </w:rPr>
                    <w:t>水制备</w:t>
                  </w:r>
                </w:p>
              </w:tc>
              <w:tc>
                <w:tcPr>
                  <w:tcW w:w="4580" w:type="dxa"/>
                  <w:tcBorders>
                    <w:tl2br w:val="nil"/>
                    <w:tr2bl w:val="nil"/>
                  </w:tcBorders>
                  <w:noWrap w:val="0"/>
                  <w:vAlign w:val="center"/>
                </w:tcPr>
                <w:p w14:paraId="2BAC0C0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COD</w:t>
                  </w:r>
                </w:p>
              </w:tc>
            </w:tr>
            <w:tr w14:paraId="0873C9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74" w:type="dxa"/>
                  <w:vMerge w:val="continue"/>
                  <w:tcBorders>
                    <w:tl2br w:val="nil"/>
                    <w:tr2bl w:val="nil"/>
                  </w:tcBorders>
                  <w:noWrap w:val="0"/>
                  <w:vAlign w:val="center"/>
                </w:tcPr>
                <w:p w14:paraId="11DE65F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p>
              </w:tc>
              <w:tc>
                <w:tcPr>
                  <w:tcW w:w="1360" w:type="dxa"/>
                  <w:vMerge w:val="continue"/>
                  <w:tcBorders>
                    <w:tl2br w:val="nil"/>
                    <w:tr2bl w:val="nil"/>
                  </w:tcBorders>
                  <w:noWrap w:val="0"/>
                  <w:vAlign w:val="center"/>
                </w:tcPr>
                <w:p w14:paraId="0892A4E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p>
              </w:tc>
              <w:tc>
                <w:tcPr>
                  <w:tcW w:w="2344" w:type="dxa"/>
                  <w:tcBorders>
                    <w:tl2br w:val="nil"/>
                    <w:tr2bl w:val="nil"/>
                  </w:tcBorders>
                  <w:noWrap w:val="0"/>
                  <w:vAlign w:val="center"/>
                </w:tcPr>
                <w:p w14:paraId="61827094">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蒸养水</w:t>
                  </w:r>
                </w:p>
              </w:tc>
              <w:tc>
                <w:tcPr>
                  <w:tcW w:w="4580" w:type="dxa"/>
                  <w:tcBorders>
                    <w:tl2br w:val="nil"/>
                    <w:tr2bl w:val="nil"/>
                  </w:tcBorders>
                  <w:noWrap w:val="0"/>
                  <w:vAlign w:val="center"/>
                </w:tcPr>
                <w:p w14:paraId="6AB01CE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000000"/>
                      <w:sz w:val="21"/>
                      <w:szCs w:val="21"/>
                      <w:lang w:val="en-US" w:eastAsia="zh-CN"/>
                    </w:rPr>
                  </w:pPr>
                  <w:r>
                    <w:rPr>
                      <w:rFonts w:hint="eastAsia" w:cs="Times New Roman"/>
                      <w:color w:val="000000"/>
                      <w:sz w:val="21"/>
                      <w:szCs w:val="21"/>
                      <w:lang w:val="en-US" w:eastAsia="zh-CN"/>
                    </w:rPr>
                    <w:t>PH、COD</w:t>
                  </w:r>
                </w:p>
              </w:tc>
            </w:tr>
            <w:tr w14:paraId="7EA9DD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74" w:type="dxa"/>
                  <w:vMerge w:val="continue"/>
                  <w:tcBorders>
                    <w:tl2br w:val="nil"/>
                    <w:tr2bl w:val="nil"/>
                  </w:tcBorders>
                  <w:noWrap w:val="0"/>
                  <w:vAlign w:val="center"/>
                </w:tcPr>
                <w:p w14:paraId="77824B1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p>
              </w:tc>
              <w:tc>
                <w:tcPr>
                  <w:tcW w:w="1360" w:type="dxa"/>
                  <w:vMerge w:val="restart"/>
                  <w:tcBorders>
                    <w:tl2br w:val="nil"/>
                    <w:tr2bl w:val="nil"/>
                  </w:tcBorders>
                  <w:noWrap w:val="0"/>
                  <w:vAlign w:val="center"/>
                </w:tcPr>
                <w:p w14:paraId="4BB3285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固废</w:t>
                  </w:r>
                </w:p>
              </w:tc>
              <w:tc>
                <w:tcPr>
                  <w:tcW w:w="2344" w:type="dxa"/>
                  <w:tcBorders>
                    <w:tl2br w:val="nil"/>
                    <w:tr2bl w:val="nil"/>
                  </w:tcBorders>
                  <w:noWrap w:val="0"/>
                  <w:vAlign w:val="center"/>
                </w:tcPr>
                <w:p w14:paraId="4BDA7BCE">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切割、清理</w:t>
                  </w:r>
                </w:p>
              </w:tc>
              <w:tc>
                <w:tcPr>
                  <w:tcW w:w="4580" w:type="dxa"/>
                  <w:tcBorders>
                    <w:tl2br w:val="nil"/>
                    <w:tr2bl w:val="nil"/>
                  </w:tcBorders>
                  <w:noWrap w:val="0"/>
                  <w:vAlign w:val="center"/>
                </w:tcPr>
                <w:p w14:paraId="790BE486">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边角料</w:t>
                  </w:r>
                </w:p>
              </w:tc>
            </w:tr>
            <w:tr w14:paraId="0A3509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74" w:type="dxa"/>
                  <w:vMerge w:val="continue"/>
                  <w:tcBorders>
                    <w:tl2br w:val="nil"/>
                    <w:tr2bl w:val="nil"/>
                  </w:tcBorders>
                  <w:noWrap w:val="0"/>
                  <w:vAlign w:val="center"/>
                </w:tcPr>
                <w:p w14:paraId="0C3F44D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p>
              </w:tc>
              <w:tc>
                <w:tcPr>
                  <w:tcW w:w="1360" w:type="dxa"/>
                  <w:vMerge w:val="continue"/>
                  <w:tcBorders>
                    <w:tl2br w:val="nil"/>
                    <w:tr2bl w:val="nil"/>
                  </w:tcBorders>
                  <w:noWrap w:val="0"/>
                  <w:vAlign w:val="center"/>
                </w:tcPr>
                <w:p w14:paraId="4FD1B40E">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p>
              </w:tc>
              <w:tc>
                <w:tcPr>
                  <w:tcW w:w="2344" w:type="dxa"/>
                  <w:tcBorders>
                    <w:tl2br w:val="nil"/>
                    <w:tr2bl w:val="nil"/>
                  </w:tcBorders>
                  <w:noWrap w:val="0"/>
                  <w:vAlign w:val="center"/>
                </w:tcPr>
                <w:p w14:paraId="097E9F0D">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钢筋加工</w:t>
                  </w:r>
                </w:p>
              </w:tc>
              <w:tc>
                <w:tcPr>
                  <w:tcW w:w="4580" w:type="dxa"/>
                  <w:tcBorders>
                    <w:tl2br w:val="nil"/>
                    <w:tr2bl w:val="nil"/>
                  </w:tcBorders>
                  <w:noWrap w:val="0"/>
                  <w:vAlign w:val="center"/>
                </w:tcPr>
                <w:p w14:paraId="5833F388">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钢筋边角料</w:t>
                  </w:r>
                </w:p>
              </w:tc>
            </w:tr>
            <w:tr w14:paraId="68F8BF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74" w:type="dxa"/>
                  <w:vMerge w:val="continue"/>
                  <w:tcBorders>
                    <w:tl2br w:val="nil"/>
                    <w:tr2bl w:val="nil"/>
                  </w:tcBorders>
                  <w:noWrap w:val="0"/>
                  <w:vAlign w:val="center"/>
                </w:tcPr>
                <w:p w14:paraId="368802C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p>
              </w:tc>
              <w:tc>
                <w:tcPr>
                  <w:tcW w:w="1360" w:type="dxa"/>
                  <w:vMerge w:val="continue"/>
                  <w:tcBorders>
                    <w:tl2br w:val="nil"/>
                    <w:tr2bl w:val="nil"/>
                  </w:tcBorders>
                  <w:noWrap w:val="0"/>
                  <w:vAlign w:val="center"/>
                </w:tcPr>
                <w:p w14:paraId="26E9745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p>
              </w:tc>
              <w:tc>
                <w:tcPr>
                  <w:tcW w:w="2344" w:type="dxa"/>
                  <w:tcBorders>
                    <w:tl2br w:val="nil"/>
                    <w:tr2bl w:val="nil"/>
                  </w:tcBorders>
                  <w:noWrap w:val="0"/>
                  <w:vAlign w:val="center"/>
                </w:tcPr>
                <w:p w14:paraId="2335F3A1">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废气处理</w:t>
                  </w:r>
                </w:p>
              </w:tc>
              <w:tc>
                <w:tcPr>
                  <w:tcW w:w="4580" w:type="dxa"/>
                  <w:tcBorders>
                    <w:tl2br w:val="nil"/>
                    <w:tr2bl w:val="nil"/>
                  </w:tcBorders>
                  <w:noWrap w:val="0"/>
                  <w:vAlign w:val="center"/>
                </w:tcPr>
                <w:p w14:paraId="79764D3A">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废布袋、</w:t>
                  </w:r>
                  <w:r>
                    <w:rPr>
                      <w:rFonts w:hint="eastAsia" w:ascii="Times New Roman" w:hAnsi="Times New Roman" w:eastAsia="宋体" w:cs="Times New Roman"/>
                      <w:color w:val="000000"/>
                      <w:kern w:val="2"/>
                      <w:sz w:val="21"/>
                      <w:szCs w:val="21"/>
                      <w:lang w:val="en-US" w:eastAsia="zh-CN" w:bidi="ar-SA"/>
                    </w:rPr>
                    <w:t>回收颗粒物</w:t>
                  </w:r>
                  <w:r>
                    <w:rPr>
                      <w:rFonts w:hint="eastAsia" w:cs="Times New Roman"/>
                      <w:color w:val="000000"/>
                      <w:kern w:val="2"/>
                      <w:sz w:val="21"/>
                      <w:szCs w:val="21"/>
                      <w:lang w:val="en-US" w:eastAsia="zh-CN" w:bidi="ar-SA"/>
                    </w:rPr>
                    <w:t>、炉渣</w:t>
                  </w:r>
                </w:p>
              </w:tc>
            </w:tr>
            <w:tr w14:paraId="49BD05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vMerge w:val="continue"/>
                  <w:tcBorders>
                    <w:tl2br w:val="nil"/>
                    <w:tr2bl w:val="nil"/>
                  </w:tcBorders>
                  <w:noWrap w:val="0"/>
                  <w:vAlign w:val="center"/>
                </w:tcPr>
                <w:p w14:paraId="7DD7D74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p>
              </w:tc>
              <w:tc>
                <w:tcPr>
                  <w:tcW w:w="1360" w:type="dxa"/>
                  <w:tcBorders>
                    <w:tl2br w:val="nil"/>
                    <w:tr2bl w:val="nil"/>
                  </w:tcBorders>
                  <w:noWrap w:val="0"/>
                  <w:vAlign w:val="center"/>
                </w:tcPr>
                <w:p w14:paraId="2E82DA3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噪声</w:t>
                  </w:r>
                </w:p>
              </w:tc>
              <w:tc>
                <w:tcPr>
                  <w:tcW w:w="6924" w:type="dxa"/>
                  <w:gridSpan w:val="2"/>
                  <w:tcBorders>
                    <w:tl2br w:val="nil"/>
                    <w:tr2bl w:val="nil"/>
                  </w:tcBorders>
                  <w:noWrap w:val="0"/>
                  <w:vAlign w:val="center"/>
                </w:tcPr>
                <w:p w14:paraId="1C4AC876">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主要来自各类生产及配套设备噪声。</w:t>
                  </w:r>
                </w:p>
              </w:tc>
            </w:tr>
          </w:tbl>
          <w:p w14:paraId="1C1D147E">
            <w:pPr>
              <w:pStyle w:val="26"/>
              <w:rPr>
                <w:color w:val="000000" w:themeColor="text1"/>
                <w14:textFill>
                  <w14:solidFill>
                    <w14:schemeClr w14:val="tx1"/>
                  </w14:solidFill>
                </w14:textFill>
              </w:rPr>
            </w:pPr>
          </w:p>
        </w:tc>
      </w:tr>
      <w:tr w14:paraId="529A78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071" w:hRule="atLeast"/>
          <w:jc w:val="center"/>
        </w:trPr>
        <w:tc>
          <w:tcPr>
            <w:tcW w:w="528" w:type="dxa"/>
            <w:vAlign w:val="center"/>
          </w:tcPr>
          <w:p w14:paraId="6BF17A31">
            <w:pPr>
              <w:pStyle w:val="30"/>
              <w:adjustRightInd w:val="0"/>
              <w:snapToGrid w:val="0"/>
              <w:spacing w:before="0" w:beforeAutospacing="0" w:after="0" w:afterAutospacing="0"/>
              <w:jc w:val="center"/>
              <w:rPr>
                <w:rFonts w:hint="eastAsia" w:cs="宋体"/>
                <w:bCs/>
                <w:color w:val="000000" w:themeColor="text1"/>
                <w:kern w:val="2"/>
                <w:sz w:val="21"/>
                <w:szCs w:val="21"/>
                <w:highlight w:val="none"/>
                <w14:textFill>
                  <w14:solidFill>
                    <w14:schemeClr w14:val="tx1"/>
                  </w14:solidFill>
                </w14:textFill>
              </w:rPr>
            </w:pPr>
            <w:r>
              <w:rPr>
                <w:rFonts w:hint="eastAsia" w:cs="宋体"/>
                <w:bCs/>
                <w:color w:val="000000" w:themeColor="text1"/>
                <w:kern w:val="2"/>
                <w:sz w:val="21"/>
                <w:szCs w:val="21"/>
                <w:highlight w:val="none"/>
                <w14:textFill>
                  <w14:solidFill>
                    <w14:schemeClr w14:val="tx1"/>
                  </w14:solidFill>
                </w14:textFill>
              </w:rPr>
              <w:t>与项目有关的原有环境污染问题</w:t>
            </w:r>
          </w:p>
        </w:tc>
        <w:tc>
          <w:tcPr>
            <w:tcW w:w="8802" w:type="dxa"/>
            <w:vAlign w:val="center"/>
          </w:tcPr>
          <w:p w14:paraId="30E701C5">
            <w:pPr>
              <w:pStyle w:val="3"/>
              <w:keepNext/>
              <w:keepLines/>
              <w:pageBreakBefore w:val="0"/>
              <w:widowControl w:val="0"/>
              <w:kinsoku/>
              <w:wordWrap/>
              <w:overflowPunct/>
              <w:topLinePunct w:val="0"/>
              <w:autoSpaceDE/>
              <w:autoSpaceDN/>
              <w:bidi w:val="0"/>
              <w:adjustRightInd/>
              <w:snapToGrid/>
              <w:spacing w:before="0" w:after="0" w:line="360" w:lineRule="auto"/>
              <w:ind w:left="0" w:firstLine="0"/>
              <w:textAlignment w:val="auto"/>
              <w:rPr>
                <w:color w:val="auto"/>
                <w:highlight w:val="none"/>
                <w:lang w:val="en-US" w:eastAsia="zh-CN"/>
              </w:rPr>
            </w:pPr>
            <w:bookmarkStart w:id="22" w:name="_Toc2381_WPSOffice_Level2"/>
            <w:r>
              <w:rPr>
                <w:rFonts w:hint="eastAsia"/>
                <w:color w:val="auto"/>
                <w:highlight w:val="none"/>
                <w:lang w:val="en-US" w:eastAsia="zh-CN"/>
              </w:rPr>
              <w:t>现有工程</w:t>
            </w:r>
            <w:r>
              <w:rPr>
                <w:color w:val="auto"/>
                <w:highlight w:val="none"/>
                <w:lang w:val="en-US" w:eastAsia="zh-CN"/>
              </w:rPr>
              <w:t>概况</w:t>
            </w:r>
            <w:bookmarkEnd w:id="22"/>
          </w:p>
          <w:p w14:paraId="0F834B44">
            <w:pPr>
              <w:pStyle w:val="4"/>
              <w:keepNext/>
              <w:keepLines/>
              <w:pageBreakBefore w:val="0"/>
              <w:widowControl w:val="0"/>
              <w:kinsoku/>
              <w:wordWrap/>
              <w:overflowPunct/>
              <w:topLinePunct w:val="0"/>
              <w:autoSpaceDE/>
              <w:autoSpaceDN/>
              <w:bidi w:val="0"/>
              <w:adjustRightInd/>
              <w:snapToGrid/>
              <w:spacing w:after="0"/>
              <w:ind w:left="0" w:leftChars="0" w:firstLine="0" w:firstLineChars="0"/>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现有项目环保手续情况</w:t>
            </w:r>
          </w:p>
          <w:p w14:paraId="722A0B55">
            <w:pPr>
              <w:rPr>
                <w:rFonts w:hint="eastAsia" w:ascii="Times New Roman" w:hAnsi="Times New Roman" w:eastAsia="宋体" w:cs="Times New Roman"/>
                <w:color w:val="000000" w:themeColor="text1"/>
                <w:highlight w:val="none"/>
                <w:lang w:val="en-US" w:eastAsia="zh-CN"/>
                <w14:textFill>
                  <w14:solidFill>
                    <w14:schemeClr w14:val="tx1"/>
                  </w14:solidFill>
                </w14:textFill>
              </w:rPr>
            </w:pPr>
          </w:p>
          <w:p w14:paraId="1D225A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宋体"/>
                <w:color w:val="auto"/>
                <w:kern w:val="0"/>
                <w:sz w:val="24"/>
                <w:szCs w:val="20"/>
                <w:highlight w:val="none"/>
                <w:lang w:val="en-US" w:eastAsia="zh-CN" w:bidi="ar-SA"/>
              </w:rPr>
            </w:pPr>
            <w:r>
              <w:rPr>
                <w:rFonts w:hint="default" w:ascii="Times New Roman" w:hAnsi="Times New Roman" w:eastAsia="宋体" w:cs="宋体"/>
                <w:color w:val="auto"/>
                <w:kern w:val="0"/>
                <w:sz w:val="24"/>
                <w:szCs w:val="20"/>
                <w:highlight w:val="none"/>
                <w:lang w:val="en-US" w:eastAsia="zh-CN" w:bidi="ar-SA"/>
              </w:rPr>
              <w:t>建设单位于2022年</w:t>
            </w:r>
            <w:r>
              <w:rPr>
                <w:rFonts w:hint="eastAsia" w:cs="宋体"/>
                <w:color w:val="auto"/>
                <w:kern w:val="0"/>
                <w:sz w:val="24"/>
                <w:szCs w:val="20"/>
                <w:highlight w:val="none"/>
                <w:lang w:val="en-US" w:eastAsia="zh-CN" w:bidi="ar-SA"/>
              </w:rPr>
              <w:t>7</w:t>
            </w:r>
            <w:r>
              <w:rPr>
                <w:rFonts w:hint="default" w:ascii="Times New Roman" w:hAnsi="Times New Roman" w:eastAsia="宋体" w:cs="宋体"/>
                <w:color w:val="auto"/>
                <w:kern w:val="0"/>
                <w:sz w:val="24"/>
                <w:szCs w:val="20"/>
                <w:highlight w:val="none"/>
                <w:lang w:val="en-US" w:eastAsia="zh-CN" w:bidi="ar-SA"/>
              </w:rPr>
              <w:t>月委托福建环诺科技有限公司编制完成了《瑞恒新型环保节能墙体材料建设项目环境影响报告表》，202</w:t>
            </w:r>
            <w:r>
              <w:rPr>
                <w:rFonts w:hint="eastAsia" w:cs="宋体"/>
                <w:color w:val="auto"/>
                <w:kern w:val="0"/>
                <w:sz w:val="24"/>
                <w:szCs w:val="20"/>
                <w:highlight w:val="none"/>
                <w:lang w:val="en-US" w:eastAsia="zh-CN" w:bidi="ar-SA"/>
              </w:rPr>
              <w:t>2</w:t>
            </w:r>
            <w:r>
              <w:rPr>
                <w:rFonts w:hint="default" w:ascii="Times New Roman" w:hAnsi="Times New Roman" w:eastAsia="宋体" w:cs="宋体"/>
                <w:color w:val="auto"/>
                <w:kern w:val="0"/>
                <w:sz w:val="24"/>
                <w:szCs w:val="20"/>
                <w:highlight w:val="none"/>
                <w:lang w:val="en-US" w:eastAsia="zh-CN" w:bidi="ar-SA"/>
              </w:rPr>
              <w:t>年</w:t>
            </w:r>
            <w:r>
              <w:rPr>
                <w:rFonts w:hint="eastAsia" w:cs="宋体"/>
                <w:color w:val="auto"/>
                <w:kern w:val="0"/>
                <w:sz w:val="24"/>
                <w:szCs w:val="20"/>
                <w:highlight w:val="none"/>
                <w:lang w:val="en-US" w:eastAsia="zh-CN" w:bidi="ar-SA"/>
              </w:rPr>
              <w:t>8</w:t>
            </w:r>
            <w:r>
              <w:rPr>
                <w:rFonts w:hint="default" w:ascii="Times New Roman" w:hAnsi="Times New Roman" w:eastAsia="宋体" w:cs="宋体"/>
                <w:color w:val="auto"/>
                <w:kern w:val="0"/>
                <w:sz w:val="24"/>
                <w:szCs w:val="20"/>
                <w:highlight w:val="none"/>
                <w:lang w:val="en-US" w:eastAsia="zh-CN" w:bidi="ar-SA"/>
              </w:rPr>
              <w:t>月</w:t>
            </w:r>
            <w:r>
              <w:rPr>
                <w:rFonts w:hint="eastAsia" w:cs="宋体"/>
                <w:color w:val="auto"/>
                <w:kern w:val="0"/>
                <w:sz w:val="24"/>
                <w:szCs w:val="20"/>
                <w:highlight w:val="none"/>
                <w:lang w:val="en-US" w:eastAsia="zh-CN" w:bidi="ar-SA"/>
              </w:rPr>
              <w:t>15</w:t>
            </w:r>
            <w:r>
              <w:rPr>
                <w:rFonts w:hint="default" w:ascii="Times New Roman" w:hAnsi="Times New Roman" w:eastAsia="宋体" w:cs="宋体"/>
                <w:color w:val="auto"/>
                <w:kern w:val="0"/>
                <w:sz w:val="24"/>
                <w:szCs w:val="20"/>
                <w:highlight w:val="none"/>
                <w:lang w:val="en-US" w:eastAsia="zh-CN" w:bidi="ar-SA"/>
              </w:rPr>
              <w:t>日通过福州市生态环境局审批（榕梅环评〔2022〕</w:t>
            </w:r>
            <w:r>
              <w:rPr>
                <w:rFonts w:hint="eastAsia" w:cs="宋体"/>
                <w:color w:val="auto"/>
                <w:kern w:val="0"/>
                <w:sz w:val="24"/>
                <w:szCs w:val="20"/>
                <w:highlight w:val="none"/>
                <w:lang w:val="en-US" w:eastAsia="zh-CN" w:bidi="ar-SA"/>
              </w:rPr>
              <w:t>15</w:t>
            </w:r>
            <w:r>
              <w:rPr>
                <w:rFonts w:hint="default" w:ascii="Times New Roman" w:hAnsi="Times New Roman" w:eastAsia="宋体" w:cs="宋体"/>
                <w:color w:val="auto"/>
                <w:kern w:val="0"/>
                <w:sz w:val="24"/>
                <w:szCs w:val="20"/>
                <w:highlight w:val="none"/>
                <w:lang w:val="en-US" w:eastAsia="zh-CN" w:bidi="ar-SA"/>
              </w:rPr>
              <w:t>号）</w:t>
            </w:r>
            <w:r>
              <w:rPr>
                <w:rFonts w:hint="eastAsia" w:cs="宋体"/>
                <w:color w:val="auto"/>
                <w:kern w:val="0"/>
                <w:sz w:val="24"/>
                <w:szCs w:val="20"/>
                <w:highlight w:val="none"/>
                <w:lang w:val="en-US" w:eastAsia="zh-CN" w:bidi="ar-SA"/>
              </w:rPr>
              <w:t>；</w:t>
            </w:r>
            <w:r>
              <w:rPr>
                <w:rFonts w:hint="default" w:ascii="Times New Roman" w:hAnsi="Times New Roman" w:eastAsia="宋体" w:cs="宋体"/>
                <w:color w:val="auto"/>
                <w:kern w:val="0"/>
                <w:sz w:val="24"/>
                <w:szCs w:val="20"/>
                <w:highlight w:val="none"/>
                <w:lang w:val="en-US" w:eastAsia="zh-CN" w:bidi="ar-SA"/>
              </w:rPr>
              <w:t>2022年9月，建设单位于全国排污许可证管理信息平台完成排污登记（登记编号：91350124MA8UJR0KX2001X）</w:t>
            </w:r>
            <w:r>
              <w:rPr>
                <w:rFonts w:hint="eastAsia" w:cs="宋体"/>
                <w:color w:val="auto"/>
                <w:kern w:val="0"/>
                <w:sz w:val="24"/>
                <w:szCs w:val="20"/>
                <w:highlight w:val="none"/>
                <w:lang w:val="en-US" w:eastAsia="zh-CN" w:bidi="ar-SA"/>
              </w:rPr>
              <w:t>（详见附件8）；</w:t>
            </w:r>
            <w:r>
              <w:rPr>
                <w:rFonts w:hint="default" w:ascii="Times New Roman" w:hAnsi="Times New Roman" w:eastAsia="宋体" w:cs="宋体"/>
                <w:color w:val="auto"/>
                <w:kern w:val="0"/>
                <w:sz w:val="24"/>
                <w:szCs w:val="20"/>
                <w:highlight w:val="none"/>
                <w:lang w:val="en-US" w:eastAsia="zh-CN" w:bidi="ar-SA"/>
              </w:rPr>
              <w:t>该项目于202</w:t>
            </w:r>
            <w:r>
              <w:rPr>
                <w:rFonts w:hint="eastAsia" w:cs="宋体"/>
                <w:color w:val="auto"/>
                <w:kern w:val="0"/>
                <w:sz w:val="24"/>
                <w:szCs w:val="20"/>
                <w:highlight w:val="none"/>
                <w:lang w:val="en-US" w:eastAsia="zh-CN" w:bidi="ar-SA"/>
              </w:rPr>
              <w:t>5</w:t>
            </w:r>
            <w:r>
              <w:rPr>
                <w:rFonts w:hint="default" w:ascii="Times New Roman" w:hAnsi="Times New Roman" w:eastAsia="宋体" w:cs="宋体"/>
                <w:color w:val="auto"/>
                <w:kern w:val="0"/>
                <w:sz w:val="24"/>
                <w:szCs w:val="20"/>
                <w:highlight w:val="none"/>
                <w:lang w:val="en-US" w:eastAsia="zh-CN" w:bidi="ar-SA"/>
              </w:rPr>
              <w:t>年</w:t>
            </w:r>
            <w:r>
              <w:rPr>
                <w:rFonts w:hint="eastAsia" w:cs="宋体"/>
                <w:color w:val="auto"/>
                <w:kern w:val="0"/>
                <w:sz w:val="24"/>
                <w:szCs w:val="20"/>
                <w:highlight w:val="none"/>
                <w:lang w:val="en-US" w:eastAsia="zh-CN" w:bidi="ar-SA"/>
              </w:rPr>
              <w:t>8</w:t>
            </w:r>
            <w:r>
              <w:rPr>
                <w:rFonts w:hint="default" w:ascii="Times New Roman" w:hAnsi="Times New Roman" w:eastAsia="宋体" w:cs="宋体"/>
                <w:color w:val="auto"/>
                <w:kern w:val="0"/>
                <w:sz w:val="24"/>
                <w:szCs w:val="20"/>
                <w:highlight w:val="none"/>
                <w:lang w:val="en-US" w:eastAsia="zh-CN" w:bidi="ar-SA"/>
              </w:rPr>
              <w:t>月2日通过竣工环境保护自主验收工作（验收意见见附件6）</w:t>
            </w:r>
            <w:r>
              <w:rPr>
                <w:rFonts w:hint="eastAsia" w:cs="宋体"/>
                <w:color w:val="auto"/>
                <w:kern w:val="0"/>
                <w:sz w:val="24"/>
                <w:szCs w:val="20"/>
                <w:highlight w:val="none"/>
                <w:lang w:val="en-US" w:eastAsia="zh-CN" w:bidi="ar-SA"/>
              </w:rPr>
              <w:t>；现有生产规模为</w:t>
            </w:r>
            <w:r>
              <w:rPr>
                <w:rFonts w:hint="default" w:ascii="Times New Roman" w:hAnsi="Times New Roman" w:eastAsia="宋体" w:cs="宋体"/>
                <w:color w:val="auto"/>
                <w:kern w:val="0"/>
                <w:sz w:val="24"/>
                <w:szCs w:val="20"/>
                <w:highlight w:val="none"/>
                <w:lang w:val="en-US" w:eastAsia="zh-CN" w:bidi="ar-SA"/>
              </w:rPr>
              <w:t>年产30万立方新型建筑材料。</w:t>
            </w:r>
          </w:p>
          <w:p w14:paraId="0093FF9E">
            <w:pPr>
              <w:pStyle w:val="4"/>
              <w:bidi w:val="0"/>
              <w:rPr>
                <w:rFonts w:hint="eastAsia"/>
                <w:lang w:val="en-US" w:eastAsia="zh-CN"/>
              </w:rPr>
            </w:pPr>
            <w:r>
              <w:rPr>
                <w:rFonts w:hint="eastAsia"/>
                <w:lang w:val="en-US" w:eastAsia="zh-CN"/>
              </w:rPr>
              <w:t>现有项目主要建设内容</w:t>
            </w:r>
          </w:p>
          <w:p w14:paraId="47402E87">
            <w:pPr>
              <w:pStyle w:val="151"/>
              <w:ind w:firstLine="560"/>
              <w:rPr>
                <w:rFonts w:hint="default" w:ascii="Times New Roman" w:hAnsi="Times New Roman" w:eastAsia="宋体" w:cs="Times New Roman"/>
                <w:snapToGrid/>
                <w:color w:val="auto"/>
                <w:kern w:val="2"/>
                <w:sz w:val="24"/>
                <w:szCs w:val="24"/>
                <w:highlight w:val="none"/>
                <w:lang w:val="en-US" w:eastAsia="zh-CN" w:bidi="ar-SA"/>
              </w:rPr>
            </w:pPr>
            <w:r>
              <w:rPr>
                <w:rFonts w:hint="default" w:ascii="Times New Roman" w:hAnsi="Times New Roman" w:eastAsia="宋体" w:cs="Times New Roman"/>
                <w:snapToGrid/>
                <w:color w:val="auto"/>
                <w:kern w:val="2"/>
                <w:sz w:val="24"/>
                <w:szCs w:val="24"/>
                <w:highlight w:val="none"/>
                <w:lang w:val="en-US" w:eastAsia="zh-CN" w:bidi="ar-SA"/>
              </w:rPr>
              <w:t>项目组成情况见表2.</w:t>
            </w:r>
            <w:r>
              <w:rPr>
                <w:rFonts w:hint="eastAsia" w:ascii="Times New Roman" w:hAnsi="Times New Roman" w:eastAsia="宋体" w:cs="Times New Roman"/>
                <w:snapToGrid/>
                <w:color w:val="auto"/>
                <w:kern w:val="2"/>
                <w:sz w:val="24"/>
                <w:szCs w:val="24"/>
                <w:highlight w:val="none"/>
                <w:lang w:val="en-US" w:eastAsia="zh-CN" w:bidi="ar-SA"/>
              </w:rPr>
              <w:t>6</w:t>
            </w:r>
            <w:r>
              <w:rPr>
                <w:rFonts w:hint="default" w:ascii="Times New Roman" w:hAnsi="Times New Roman" w:eastAsia="宋体" w:cs="Times New Roman"/>
                <w:snapToGrid/>
                <w:color w:val="auto"/>
                <w:kern w:val="2"/>
                <w:sz w:val="24"/>
                <w:szCs w:val="24"/>
                <w:highlight w:val="none"/>
                <w:lang w:val="en-US" w:eastAsia="zh-CN" w:bidi="ar-SA"/>
              </w:rPr>
              <w:t>-1。</w:t>
            </w:r>
          </w:p>
          <w:p w14:paraId="434648BA">
            <w:pPr>
              <w:pStyle w:val="42"/>
              <w:tabs>
                <w:tab w:val="left" w:pos="0"/>
                <w:tab w:val="clear" w:pos="420"/>
              </w:tabs>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 xml:space="preserve"> 项目组成一览表</w:t>
            </w:r>
          </w:p>
          <w:p w14:paraId="13DECCDA">
            <w:pPr>
              <w:rPr>
                <w:rFonts w:hint="eastAsia"/>
                <w:lang w:val="en-US" w:eastAsia="zh-CN"/>
              </w:rPr>
            </w:pPr>
          </w:p>
          <w:tbl>
            <w:tblPr>
              <w:tblStyle w:val="32"/>
              <w:tblW w:w="8453" w:type="dxa"/>
              <w:tblInd w:w="5"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99"/>
              <w:gridCol w:w="390"/>
              <w:gridCol w:w="1259"/>
              <w:gridCol w:w="2817"/>
              <w:gridCol w:w="1785"/>
              <w:gridCol w:w="1503"/>
            </w:tblGrid>
            <w:tr w14:paraId="1BD501FC">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2348" w:type="dxa"/>
                  <w:gridSpan w:val="3"/>
                  <w:tcBorders>
                    <w:bottom w:val="single" w:color="auto" w:sz="12" w:space="0"/>
                  </w:tcBorders>
                  <w:vAlign w:val="center"/>
                </w:tcPr>
                <w:p w14:paraId="7C162AE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项目名称</w:t>
                  </w:r>
                </w:p>
              </w:tc>
              <w:tc>
                <w:tcPr>
                  <w:tcW w:w="2817" w:type="dxa"/>
                  <w:tcBorders>
                    <w:bottom w:val="single" w:color="auto" w:sz="12" w:space="0"/>
                  </w:tcBorders>
                  <w:vAlign w:val="center"/>
                </w:tcPr>
                <w:p w14:paraId="797853B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环评及批复工程内容</w:t>
                  </w:r>
                </w:p>
              </w:tc>
              <w:tc>
                <w:tcPr>
                  <w:tcW w:w="1785" w:type="dxa"/>
                  <w:tcBorders>
                    <w:bottom w:val="single" w:color="auto" w:sz="12" w:space="0"/>
                  </w:tcBorders>
                  <w:vAlign w:val="center"/>
                </w:tcPr>
                <w:p w14:paraId="1830095E">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实际建设情况</w:t>
                  </w:r>
                </w:p>
              </w:tc>
              <w:tc>
                <w:tcPr>
                  <w:tcW w:w="1503" w:type="dxa"/>
                  <w:tcBorders>
                    <w:bottom w:val="single" w:color="auto" w:sz="12" w:space="0"/>
                  </w:tcBorders>
                  <w:vAlign w:val="center"/>
                </w:tcPr>
                <w:p w14:paraId="05E4210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备注</w:t>
                  </w:r>
                </w:p>
              </w:tc>
            </w:tr>
            <w:tr w14:paraId="13855FA5">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699" w:type="dxa"/>
                  <w:vMerge w:val="restart"/>
                  <w:tcBorders>
                    <w:top w:val="single" w:color="auto" w:sz="12" w:space="0"/>
                    <w:tl2br w:val="nil"/>
                    <w:tr2bl w:val="nil"/>
                  </w:tcBorders>
                  <w:vAlign w:val="center"/>
                </w:tcPr>
                <w:p w14:paraId="55B9E99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主体工程</w:t>
                  </w:r>
                </w:p>
              </w:tc>
              <w:tc>
                <w:tcPr>
                  <w:tcW w:w="390" w:type="dxa"/>
                  <w:tcBorders>
                    <w:top w:val="single" w:color="auto" w:sz="12" w:space="0"/>
                    <w:tl2br w:val="nil"/>
                    <w:tr2bl w:val="nil"/>
                  </w:tcBorders>
                  <w:vAlign w:val="center"/>
                </w:tcPr>
                <w:p w14:paraId="5843969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1</w:t>
                  </w:r>
                </w:p>
              </w:tc>
              <w:tc>
                <w:tcPr>
                  <w:tcW w:w="1259" w:type="dxa"/>
                  <w:tcBorders>
                    <w:top w:val="single" w:color="auto" w:sz="12" w:space="0"/>
                    <w:tl2br w:val="nil"/>
                    <w:tr2bl w:val="nil"/>
                  </w:tcBorders>
                  <w:vAlign w:val="center"/>
                </w:tcPr>
                <w:p w14:paraId="33F5941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生产区</w:t>
                  </w:r>
                </w:p>
              </w:tc>
              <w:tc>
                <w:tcPr>
                  <w:tcW w:w="2817" w:type="dxa"/>
                  <w:tcBorders>
                    <w:top w:val="single" w:color="auto" w:sz="12" w:space="0"/>
                    <w:tl2br w:val="nil"/>
                    <w:tr2bl w:val="nil"/>
                  </w:tcBorders>
                  <w:vAlign w:val="center"/>
                </w:tcPr>
                <w:p w14:paraId="6F3F4A1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位于场地北部，占地面积约8500m</w:t>
                  </w:r>
                  <w:r>
                    <w:rPr>
                      <w:rFonts w:hint="eastAsia" w:ascii="Times New Roman" w:hAnsi="Times New Roman" w:eastAsia="宋体" w:cs="Times New Roman"/>
                      <w:color w:val="000000"/>
                      <w:sz w:val="21"/>
                      <w:szCs w:val="21"/>
                      <w:vertAlign w:val="superscript"/>
                    </w:rPr>
                    <w:t>2</w:t>
                  </w:r>
                  <w:r>
                    <w:rPr>
                      <w:rFonts w:hint="eastAsia" w:ascii="Times New Roman" w:hAnsi="Times New Roman" w:eastAsia="宋体" w:cs="Times New Roman"/>
                      <w:color w:val="000000"/>
                      <w:sz w:val="21"/>
                      <w:szCs w:val="21"/>
                    </w:rPr>
                    <w:t>，生产区由西向东依次布置为制浆区、储浆罐、废浆池、釜前等待区、切割区、</w:t>
                  </w:r>
                  <w:r>
                    <w:rPr>
                      <w:rFonts w:hint="eastAsia" w:ascii="Times New Roman" w:hAnsi="Times New Roman" w:eastAsia="宋体" w:cs="Times New Roman"/>
                      <w:color w:val="000000"/>
                      <w:sz w:val="21"/>
                      <w:szCs w:val="21"/>
                      <w:lang w:val="en-US" w:eastAsia="zh-CN"/>
                    </w:rPr>
                    <w:t>蒸</w:t>
                  </w:r>
                  <w:r>
                    <w:rPr>
                      <w:rFonts w:hint="eastAsia" w:ascii="Times New Roman" w:hAnsi="Times New Roman" w:eastAsia="宋体" w:cs="Times New Roman"/>
                      <w:color w:val="000000"/>
                      <w:sz w:val="21"/>
                      <w:szCs w:val="21"/>
                    </w:rPr>
                    <w:t>养区、蒸压釜区、成品区等</w:t>
                  </w:r>
                </w:p>
              </w:tc>
              <w:tc>
                <w:tcPr>
                  <w:tcW w:w="1785" w:type="dxa"/>
                  <w:tcBorders>
                    <w:top w:val="single" w:color="auto" w:sz="12" w:space="0"/>
                    <w:tl2br w:val="nil"/>
                    <w:tr2bl w:val="nil"/>
                  </w:tcBorders>
                  <w:vAlign w:val="center"/>
                </w:tcPr>
                <w:p w14:paraId="6A0B1BD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破碎、球磨工序未建设，原料石膏以及石灰外购成品加工。其余建设内容与环评一致</w:t>
                  </w:r>
                </w:p>
                <w:p w14:paraId="4738EBB0">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p>
              </w:tc>
              <w:tc>
                <w:tcPr>
                  <w:tcW w:w="1503" w:type="dxa"/>
                  <w:tcBorders>
                    <w:top w:val="single" w:color="auto" w:sz="12" w:space="0"/>
                    <w:tl2br w:val="nil"/>
                    <w:tr2bl w:val="nil"/>
                  </w:tcBorders>
                  <w:vAlign w:val="center"/>
                </w:tcPr>
                <w:p w14:paraId="6DB6A92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w:t>
                  </w:r>
                </w:p>
              </w:tc>
            </w:tr>
            <w:tr w14:paraId="07851776">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699" w:type="dxa"/>
                  <w:vMerge w:val="continue"/>
                  <w:tcBorders>
                    <w:tl2br w:val="nil"/>
                    <w:tr2bl w:val="nil"/>
                  </w:tcBorders>
                  <w:vAlign w:val="center"/>
                </w:tcPr>
                <w:p w14:paraId="7EB3023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p>
              </w:tc>
              <w:tc>
                <w:tcPr>
                  <w:tcW w:w="390" w:type="dxa"/>
                  <w:tcBorders>
                    <w:tl2br w:val="nil"/>
                    <w:tr2bl w:val="nil"/>
                  </w:tcBorders>
                  <w:vAlign w:val="center"/>
                </w:tcPr>
                <w:p w14:paraId="346A2BC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2</w:t>
                  </w:r>
                </w:p>
              </w:tc>
              <w:tc>
                <w:tcPr>
                  <w:tcW w:w="1259" w:type="dxa"/>
                  <w:tcBorders>
                    <w:tl2br w:val="nil"/>
                    <w:tr2bl w:val="nil"/>
                  </w:tcBorders>
                  <w:vAlign w:val="center"/>
                </w:tcPr>
                <w:p w14:paraId="681DC1D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办公住宿</w:t>
                  </w:r>
                </w:p>
              </w:tc>
              <w:tc>
                <w:tcPr>
                  <w:tcW w:w="2817" w:type="dxa"/>
                  <w:tcBorders>
                    <w:tl2br w:val="nil"/>
                    <w:tr2bl w:val="nil"/>
                  </w:tcBorders>
                  <w:vAlign w:val="center"/>
                </w:tcPr>
                <w:p w14:paraId="58A315F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项目场地南部设置办公和住宿区</w:t>
                  </w:r>
                </w:p>
              </w:tc>
              <w:tc>
                <w:tcPr>
                  <w:tcW w:w="1785" w:type="dxa"/>
                  <w:tcBorders>
                    <w:tl2br w:val="nil"/>
                    <w:tr2bl w:val="nil"/>
                  </w:tcBorders>
                  <w:vAlign w:val="center"/>
                </w:tcPr>
                <w:p w14:paraId="038DDCE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与环评一致</w:t>
                  </w:r>
                </w:p>
              </w:tc>
              <w:tc>
                <w:tcPr>
                  <w:tcW w:w="1503" w:type="dxa"/>
                  <w:tcBorders>
                    <w:tl2br w:val="nil"/>
                    <w:tr2bl w:val="nil"/>
                  </w:tcBorders>
                  <w:vAlign w:val="center"/>
                </w:tcPr>
                <w:p w14:paraId="745F4FC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w:t>
                  </w:r>
                </w:p>
              </w:tc>
            </w:tr>
            <w:tr w14:paraId="19DDE830">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699" w:type="dxa"/>
                  <w:vMerge w:val="continue"/>
                  <w:tcBorders>
                    <w:tl2br w:val="nil"/>
                    <w:tr2bl w:val="nil"/>
                  </w:tcBorders>
                  <w:vAlign w:val="center"/>
                </w:tcPr>
                <w:p w14:paraId="17E1AEF6">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p>
              </w:tc>
              <w:tc>
                <w:tcPr>
                  <w:tcW w:w="390" w:type="dxa"/>
                  <w:tcBorders>
                    <w:tl2br w:val="nil"/>
                    <w:tr2bl w:val="nil"/>
                  </w:tcBorders>
                  <w:vAlign w:val="center"/>
                </w:tcPr>
                <w:p w14:paraId="4801C37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3</w:t>
                  </w:r>
                </w:p>
              </w:tc>
              <w:tc>
                <w:tcPr>
                  <w:tcW w:w="1259" w:type="dxa"/>
                  <w:tcBorders>
                    <w:tl2br w:val="nil"/>
                    <w:tr2bl w:val="nil"/>
                  </w:tcBorders>
                  <w:vAlign w:val="center"/>
                </w:tcPr>
                <w:p w14:paraId="06B4C3F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研发中心</w:t>
                  </w:r>
                </w:p>
              </w:tc>
              <w:tc>
                <w:tcPr>
                  <w:tcW w:w="2817" w:type="dxa"/>
                  <w:tcBorders>
                    <w:tl2br w:val="nil"/>
                    <w:tr2bl w:val="nil"/>
                  </w:tcBorders>
                  <w:vAlign w:val="center"/>
                </w:tcPr>
                <w:p w14:paraId="5FCE876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位于场地东部，属于办公和测试功能，主要进行产品强度、抗压等测试，不涉及化学药剂使用和生产用水</w:t>
                  </w:r>
                </w:p>
              </w:tc>
              <w:tc>
                <w:tcPr>
                  <w:tcW w:w="1785" w:type="dxa"/>
                  <w:tcBorders>
                    <w:tl2br w:val="nil"/>
                    <w:tr2bl w:val="nil"/>
                  </w:tcBorders>
                  <w:vAlign w:val="center"/>
                </w:tcPr>
                <w:p w14:paraId="112CC4B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与环评一致</w:t>
                  </w:r>
                </w:p>
              </w:tc>
              <w:tc>
                <w:tcPr>
                  <w:tcW w:w="1503" w:type="dxa"/>
                  <w:tcBorders>
                    <w:tl2br w:val="nil"/>
                    <w:tr2bl w:val="nil"/>
                  </w:tcBorders>
                  <w:vAlign w:val="center"/>
                </w:tcPr>
                <w:p w14:paraId="7D82B16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w:t>
                  </w:r>
                </w:p>
              </w:tc>
            </w:tr>
            <w:tr w14:paraId="17A40A2C">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699" w:type="dxa"/>
                  <w:vMerge w:val="restart"/>
                  <w:tcBorders>
                    <w:tl2br w:val="nil"/>
                    <w:tr2bl w:val="nil"/>
                  </w:tcBorders>
                  <w:vAlign w:val="center"/>
                </w:tcPr>
                <w:p w14:paraId="71212C76">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公用工程</w:t>
                  </w:r>
                </w:p>
              </w:tc>
              <w:tc>
                <w:tcPr>
                  <w:tcW w:w="390" w:type="dxa"/>
                  <w:tcBorders>
                    <w:tl2br w:val="nil"/>
                    <w:tr2bl w:val="nil"/>
                  </w:tcBorders>
                  <w:vAlign w:val="center"/>
                </w:tcPr>
                <w:p w14:paraId="20B39F7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1</w:t>
                  </w:r>
                </w:p>
              </w:tc>
              <w:tc>
                <w:tcPr>
                  <w:tcW w:w="1259" w:type="dxa"/>
                  <w:tcBorders>
                    <w:tl2br w:val="nil"/>
                    <w:tr2bl w:val="nil"/>
                  </w:tcBorders>
                  <w:vAlign w:val="center"/>
                </w:tcPr>
                <w:p w14:paraId="25F9174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供电系统</w:t>
                  </w:r>
                </w:p>
              </w:tc>
              <w:tc>
                <w:tcPr>
                  <w:tcW w:w="2817" w:type="dxa"/>
                  <w:tcBorders>
                    <w:tl2br w:val="nil"/>
                    <w:tr2bl w:val="nil"/>
                  </w:tcBorders>
                  <w:vAlign w:val="center"/>
                </w:tcPr>
                <w:p w14:paraId="5FFE0AF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接市政供电系统</w:t>
                  </w:r>
                </w:p>
              </w:tc>
              <w:tc>
                <w:tcPr>
                  <w:tcW w:w="1785" w:type="dxa"/>
                  <w:tcBorders>
                    <w:tl2br w:val="nil"/>
                    <w:tr2bl w:val="nil"/>
                  </w:tcBorders>
                  <w:vAlign w:val="center"/>
                </w:tcPr>
                <w:p w14:paraId="2FF71386">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与环评一致</w:t>
                  </w:r>
                </w:p>
              </w:tc>
              <w:tc>
                <w:tcPr>
                  <w:tcW w:w="1503" w:type="dxa"/>
                  <w:tcBorders>
                    <w:tl2br w:val="nil"/>
                    <w:tr2bl w:val="nil"/>
                  </w:tcBorders>
                  <w:vAlign w:val="center"/>
                </w:tcPr>
                <w:p w14:paraId="34B4D03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w:t>
                  </w:r>
                </w:p>
              </w:tc>
            </w:tr>
            <w:tr w14:paraId="2AACF351">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699" w:type="dxa"/>
                  <w:vMerge w:val="continue"/>
                  <w:tcBorders>
                    <w:tl2br w:val="nil"/>
                    <w:tr2bl w:val="nil"/>
                  </w:tcBorders>
                  <w:vAlign w:val="center"/>
                </w:tcPr>
                <w:p w14:paraId="0B27051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p>
              </w:tc>
              <w:tc>
                <w:tcPr>
                  <w:tcW w:w="390" w:type="dxa"/>
                  <w:tcBorders>
                    <w:tl2br w:val="nil"/>
                    <w:tr2bl w:val="nil"/>
                  </w:tcBorders>
                  <w:vAlign w:val="center"/>
                </w:tcPr>
                <w:p w14:paraId="72FA10C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2</w:t>
                  </w:r>
                </w:p>
              </w:tc>
              <w:tc>
                <w:tcPr>
                  <w:tcW w:w="1259" w:type="dxa"/>
                  <w:tcBorders>
                    <w:tl2br w:val="nil"/>
                    <w:tr2bl w:val="nil"/>
                  </w:tcBorders>
                  <w:vAlign w:val="center"/>
                </w:tcPr>
                <w:p w14:paraId="7E63681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给水系统</w:t>
                  </w:r>
                </w:p>
              </w:tc>
              <w:tc>
                <w:tcPr>
                  <w:tcW w:w="2817" w:type="dxa"/>
                  <w:tcBorders>
                    <w:tl2br w:val="nil"/>
                    <w:tr2bl w:val="nil"/>
                  </w:tcBorders>
                  <w:vAlign w:val="center"/>
                </w:tcPr>
                <w:p w14:paraId="469CBEC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接市政供水系统</w:t>
                  </w:r>
                </w:p>
              </w:tc>
              <w:tc>
                <w:tcPr>
                  <w:tcW w:w="1785" w:type="dxa"/>
                  <w:tcBorders>
                    <w:tl2br w:val="nil"/>
                    <w:tr2bl w:val="nil"/>
                  </w:tcBorders>
                  <w:vAlign w:val="center"/>
                </w:tcPr>
                <w:p w14:paraId="064FA75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与环评一致</w:t>
                  </w:r>
                </w:p>
              </w:tc>
              <w:tc>
                <w:tcPr>
                  <w:tcW w:w="1503" w:type="dxa"/>
                  <w:tcBorders>
                    <w:tl2br w:val="nil"/>
                    <w:tr2bl w:val="nil"/>
                  </w:tcBorders>
                  <w:vAlign w:val="center"/>
                </w:tcPr>
                <w:p w14:paraId="38D3A6A6">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w:t>
                  </w:r>
                </w:p>
              </w:tc>
            </w:tr>
            <w:tr w14:paraId="3C1F7AD2">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699" w:type="dxa"/>
                  <w:vMerge w:val="continue"/>
                  <w:tcBorders>
                    <w:tl2br w:val="nil"/>
                    <w:tr2bl w:val="nil"/>
                  </w:tcBorders>
                  <w:vAlign w:val="center"/>
                </w:tcPr>
                <w:p w14:paraId="47FF291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p>
              </w:tc>
              <w:tc>
                <w:tcPr>
                  <w:tcW w:w="390" w:type="dxa"/>
                  <w:tcBorders>
                    <w:tl2br w:val="nil"/>
                    <w:tr2bl w:val="nil"/>
                  </w:tcBorders>
                  <w:vAlign w:val="center"/>
                </w:tcPr>
                <w:p w14:paraId="22D7455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3</w:t>
                  </w:r>
                </w:p>
              </w:tc>
              <w:tc>
                <w:tcPr>
                  <w:tcW w:w="1259" w:type="dxa"/>
                  <w:tcBorders>
                    <w:tl2br w:val="nil"/>
                    <w:tr2bl w:val="nil"/>
                  </w:tcBorders>
                  <w:vAlign w:val="center"/>
                </w:tcPr>
                <w:p w14:paraId="378B33F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排水系统</w:t>
                  </w:r>
                </w:p>
              </w:tc>
              <w:tc>
                <w:tcPr>
                  <w:tcW w:w="2817" w:type="dxa"/>
                  <w:tcBorders>
                    <w:tl2br w:val="nil"/>
                    <w:tr2bl w:val="nil"/>
                  </w:tcBorders>
                  <w:vAlign w:val="center"/>
                </w:tcPr>
                <w:p w14:paraId="7254F75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项目排水采用雨污分流、清污分流的排水体制</w:t>
                  </w:r>
                </w:p>
              </w:tc>
              <w:tc>
                <w:tcPr>
                  <w:tcW w:w="1785" w:type="dxa"/>
                  <w:tcBorders>
                    <w:tl2br w:val="nil"/>
                    <w:tr2bl w:val="nil"/>
                  </w:tcBorders>
                  <w:vAlign w:val="center"/>
                </w:tcPr>
                <w:p w14:paraId="40A1034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与环评一致</w:t>
                  </w:r>
                </w:p>
              </w:tc>
              <w:tc>
                <w:tcPr>
                  <w:tcW w:w="1503" w:type="dxa"/>
                  <w:tcBorders>
                    <w:tl2br w:val="nil"/>
                    <w:tr2bl w:val="nil"/>
                  </w:tcBorders>
                  <w:vAlign w:val="center"/>
                </w:tcPr>
                <w:p w14:paraId="7C0738E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w:t>
                  </w:r>
                </w:p>
              </w:tc>
            </w:tr>
            <w:tr w14:paraId="56F9B282">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699" w:type="dxa"/>
                  <w:vMerge w:val="restart"/>
                  <w:tcBorders>
                    <w:tl2br w:val="nil"/>
                    <w:tr2bl w:val="nil"/>
                  </w:tcBorders>
                  <w:vAlign w:val="center"/>
                </w:tcPr>
                <w:p w14:paraId="1EB7900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储运工程</w:t>
                  </w:r>
                </w:p>
              </w:tc>
              <w:tc>
                <w:tcPr>
                  <w:tcW w:w="390" w:type="dxa"/>
                  <w:tcBorders>
                    <w:tl2br w:val="nil"/>
                    <w:tr2bl w:val="nil"/>
                  </w:tcBorders>
                  <w:vAlign w:val="center"/>
                </w:tcPr>
                <w:p w14:paraId="031DFA5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1</w:t>
                  </w:r>
                </w:p>
              </w:tc>
              <w:tc>
                <w:tcPr>
                  <w:tcW w:w="1259" w:type="dxa"/>
                  <w:tcBorders>
                    <w:tl2br w:val="nil"/>
                    <w:tr2bl w:val="nil"/>
                  </w:tcBorders>
                  <w:vAlign w:val="center"/>
                </w:tcPr>
                <w:p w14:paraId="3018ED16">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原料堆场</w:t>
                  </w:r>
                </w:p>
              </w:tc>
              <w:tc>
                <w:tcPr>
                  <w:tcW w:w="2817" w:type="dxa"/>
                  <w:tcBorders>
                    <w:tl2br w:val="nil"/>
                    <w:tr2bl w:val="nil"/>
                  </w:tcBorders>
                  <w:vAlign w:val="center"/>
                </w:tcPr>
                <w:p w14:paraId="474C41E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粉料由罐车直接运输储存在3个料仓内，袋装料堆放在车间内</w:t>
                  </w:r>
                </w:p>
              </w:tc>
              <w:tc>
                <w:tcPr>
                  <w:tcW w:w="1785" w:type="dxa"/>
                  <w:tcBorders>
                    <w:tl2br w:val="nil"/>
                    <w:tr2bl w:val="nil"/>
                  </w:tcBorders>
                  <w:vAlign w:val="center"/>
                </w:tcPr>
                <w:p w14:paraId="538934C0">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与环评一致</w:t>
                  </w:r>
                </w:p>
              </w:tc>
              <w:tc>
                <w:tcPr>
                  <w:tcW w:w="1503" w:type="dxa"/>
                  <w:tcBorders>
                    <w:tl2br w:val="nil"/>
                    <w:tr2bl w:val="nil"/>
                  </w:tcBorders>
                  <w:vAlign w:val="center"/>
                </w:tcPr>
                <w:p w14:paraId="51B990E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w:t>
                  </w:r>
                </w:p>
              </w:tc>
            </w:tr>
            <w:tr w14:paraId="53D4B667">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699" w:type="dxa"/>
                  <w:vMerge w:val="continue"/>
                  <w:tcBorders>
                    <w:tl2br w:val="nil"/>
                    <w:tr2bl w:val="nil"/>
                  </w:tcBorders>
                  <w:vAlign w:val="center"/>
                </w:tcPr>
                <w:p w14:paraId="4441F9F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p>
              </w:tc>
              <w:tc>
                <w:tcPr>
                  <w:tcW w:w="390" w:type="dxa"/>
                  <w:tcBorders>
                    <w:tl2br w:val="nil"/>
                    <w:tr2bl w:val="nil"/>
                  </w:tcBorders>
                  <w:vAlign w:val="center"/>
                </w:tcPr>
                <w:p w14:paraId="321F89A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2</w:t>
                  </w:r>
                </w:p>
              </w:tc>
              <w:tc>
                <w:tcPr>
                  <w:tcW w:w="1259" w:type="dxa"/>
                  <w:tcBorders>
                    <w:tl2br w:val="nil"/>
                    <w:tr2bl w:val="nil"/>
                  </w:tcBorders>
                  <w:vAlign w:val="center"/>
                </w:tcPr>
                <w:p w14:paraId="7EF03DA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产品堆场</w:t>
                  </w:r>
                </w:p>
              </w:tc>
              <w:tc>
                <w:tcPr>
                  <w:tcW w:w="2817" w:type="dxa"/>
                  <w:tcBorders>
                    <w:tl2br w:val="nil"/>
                    <w:tr2bl w:val="nil"/>
                  </w:tcBorders>
                  <w:vAlign w:val="center"/>
                </w:tcPr>
                <w:p w14:paraId="617A312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成品堆放在车间内东部</w:t>
                  </w:r>
                </w:p>
              </w:tc>
              <w:tc>
                <w:tcPr>
                  <w:tcW w:w="1785" w:type="dxa"/>
                  <w:tcBorders>
                    <w:tl2br w:val="nil"/>
                    <w:tr2bl w:val="nil"/>
                  </w:tcBorders>
                  <w:vAlign w:val="center"/>
                </w:tcPr>
                <w:p w14:paraId="27BC2D7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与环评一致</w:t>
                  </w:r>
                </w:p>
              </w:tc>
              <w:tc>
                <w:tcPr>
                  <w:tcW w:w="1503" w:type="dxa"/>
                  <w:tcBorders>
                    <w:tl2br w:val="nil"/>
                    <w:tr2bl w:val="nil"/>
                  </w:tcBorders>
                  <w:vAlign w:val="center"/>
                </w:tcPr>
                <w:p w14:paraId="7929CE1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w:t>
                  </w:r>
                </w:p>
              </w:tc>
            </w:tr>
            <w:tr w14:paraId="1D87AEE6">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699" w:type="dxa"/>
                  <w:vMerge w:val="restart"/>
                  <w:tcBorders>
                    <w:tl2br w:val="nil"/>
                    <w:tr2bl w:val="nil"/>
                  </w:tcBorders>
                  <w:vAlign w:val="center"/>
                </w:tcPr>
                <w:p w14:paraId="22666A1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环保工程</w:t>
                  </w:r>
                </w:p>
              </w:tc>
              <w:tc>
                <w:tcPr>
                  <w:tcW w:w="390" w:type="dxa"/>
                  <w:tcBorders>
                    <w:tl2br w:val="nil"/>
                    <w:tr2bl w:val="nil"/>
                  </w:tcBorders>
                  <w:vAlign w:val="center"/>
                </w:tcPr>
                <w:p w14:paraId="4E015BB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1</w:t>
                  </w:r>
                </w:p>
              </w:tc>
              <w:tc>
                <w:tcPr>
                  <w:tcW w:w="1259" w:type="dxa"/>
                  <w:tcBorders>
                    <w:tl2br w:val="nil"/>
                    <w:tr2bl w:val="nil"/>
                  </w:tcBorders>
                  <w:vAlign w:val="center"/>
                </w:tcPr>
                <w:p w14:paraId="2529118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废水处理</w:t>
                  </w:r>
                </w:p>
              </w:tc>
              <w:tc>
                <w:tcPr>
                  <w:tcW w:w="2817" w:type="dxa"/>
                  <w:tcBorders>
                    <w:tl2br w:val="nil"/>
                    <w:tr2bl w:val="nil"/>
                  </w:tcBorders>
                  <w:vAlign w:val="center"/>
                </w:tcPr>
                <w:p w14:paraId="3392B79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1、</w:t>
                  </w:r>
                  <w:r>
                    <w:rPr>
                      <w:rFonts w:hint="default" w:ascii="Times New Roman" w:hAnsi="Times New Roman" w:eastAsia="宋体" w:cs="Times New Roman"/>
                      <w:color w:val="000000"/>
                      <w:sz w:val="21"/>
                      <w:szCs w:val="21"/>
                    </w:rPr>
                    <w:t>生活污水</w:t>
                  </w:r>
                  <w:r>
                    <w:rPr>
                      <w:rFonts w:hint="eastAsia" w:ascii="Times New Roman" w:hAnsi="Times New Roman" w:eastAsia="宋体" w:cs="Times New Roman"/>
                      <w:color w:val="000000"/>
                      <w:sz w:val="21"/>
                      <w:szCs w:val="21"/>
                    </w:rPr>
                    <w:t>利用出租方现有</w:t>
                  </w:r>
                  <w:r>
                    <w:rPr>
                      <w:rFonts w:hint="default" w:ascii="Times New Roman" w:hAnsi="Times New Roman" w:eastAsia="宋体" w:cs="Times New Roman"/>
                      <w:color w:val="000000"/>
                      <w:sz w:val="21"/>
                      <w:szCs w:val="21"/>
                    </w:rPr>
                    <w:t>化粪池预处理后</w:t>
                  </w:r>
                  <w:r>
                    <w:rPr>
                      <w:rFonts w:hint="eastAsia" w:ascii="Times New Roman" w:hAnsi="Times New Roman" w:eastAsia="宋体" w:cs="Times New Roman"/>
                      <w:color w:val="000000"/>
                      <w:sz w:val="21"/>
                      <w:szCs w:val="21"/>
                    </w:rPr>
                    <w:t>回用周边农田灌溉；</w:t>
                  </w:r>
                </w:p>
                <w:p w14:paraId="1E9A219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2、</w:t>
                  </w:r>
                  <w:r>
                    <w:rPr>
                      <w:rFonts w:hint="default" w:ascii="Times New Roman" w:hAnsi="Times New Roman" w:eastAsia="宋体" w:cs="Times New Roman"/>
                      <w:color w:val="000000"/>
                      <w:sz w:val="21"/>
                      <w:szCs w:val="21"/>
                    </w:rPr>
                    <w:t>生产废水</w:t>
                  </w:r>
                  <w:r>
                    <w:rPr>
                      <w:rFonts w:hint="eastAsia" w:ascii="Times New Roman" w:hAnsi="Times New Roman" w:eastAsia="宋体" w:cs="Times New Roman"/>
                      <w:color w:val="000000"/>
                      <w:sz w:val="21"/>
                      <w:szCs w:val="21"/>
                    </w:rPr>
                    <w:t>沉淀池处理后</w:t>
                  </w:r>
                  <w:r>
                    <w:rPr>
                      <w:rFonts w:hint="default" w:ascii="Times New Roman" w:hAnsi="Times New Roman" w:eastAsia="宋体" w:cs="Times New Roman"/>
                      <w:color w:val="000000"/>
                      <w:sz w:val="21"/>
                      <w:szCs w:val="21"/>
                    </w:rPr>
                    <w:t>循环使用，不外排</w:t>
                  </w:r>
                </w:p>
              </w:tc>
              <w:tc>
                <w:tcPr>
                  <w:tcW w:w="1785" w:type="dxa"/>
                  <w:tcBorders>
                    <w:tl2br w:val="nil"/>
                    <w:tr2bl w:val="nil"/>
                  </w:tcBorders>
                  <w:vAlign w:val="center"/>
                </w:tcPr>
                <w:p w14:paraId="1A07F38E">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与环评一致</w:t>
                  </w:r>
                </w:p>
              </w:tc>
              <w:tc>
                <w:tcPr>
                  <w:tcW w:w="1503" w:type="dxa"/>
                  <w:tcBorders>
                    <w:tl2br w:val="nil"/>
                    <w:tr2bl w:val="nil"/>
                  </w:tcBorders>
                  <w:vAlign w:val="center"/>
                </w:tcPr>
                <w:p w14:paraId="3E174390">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w:t>
                  </w:r>
                </w:p>
              </w:tc>
            </w:tr>
            <w:tr w14:paraId="2EA73643">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699" w:type="dxa"/>
                  <w:vMerge w:val="continue"/>
                  <w:tcBorders>
                    <w:tl2br w:val="nil"/>
                    <w:tr2bl w:val="nil"/>
                  </w:tcBorders>
                  <w:vAlign w:val="center"/>
                </w:tcPr>
                <w:p w14:paraId="794D813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p>
              </w:tc>
              <w:tc>
                <w:tcPr>
                  <w:tcW w:w="390" w:type="dxa"/>
                  <w:tcBorders>
                    <w:tl2br w:val="nil"/>
                    <w:tr2bl w:val="nil"/>
                  </w:tcBorders>
                  <w:vAlign w:val="center"/>
                </w:tcPr>
                <w:p w14:paraId="2D6449F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2</w:t>
                  </w:r>
                </w:p>
              </w:tc>
              <w:tc>
                <w:tcPr>
                  <w:tcW w:w="1259" w:type="dxa"/>
                  <w:tcBorders>
                    <w:tl2br w:val="nil"/>
                    <w:tr2bl w:val="nil"/>
                  </w:tcBorders>
                  <w:vAlign w:val="center"/>
                </w:tcPr>
                <w:p w14:paraId="7B76812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废气处理</w:t>
                  </w:r>
                </w:p>
              </w:tc>
              <w:tc>
                <w:tcPr>
                  <w:tcW w:w="2817" w:type="dxa"/>
                  <w:tcBorders>
                    <w:tl2br w:val="nil"/>
                    <w:tr2bl w:val="nil"/>
                  </w:tcBorders>
                  <w:vAlign w:val="center"/>
                </w:tcPr>
                <w:p w14:paraId="0C4517F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1、</w:t>
                  </w:r>
                  <w:r>
                    <w:rPr>
                      <w:rFonts w:hint="default" w:ascii="Times New Roman" w:hAnsi="Times New Roman" w:eastAsia="宋体" w:cs="Times New Roman"/>
                      <w:color w:val="000000"/>
                      <w:sz w:val="21"/>
                      <w:szCs w:val="21"/>
                    </w:rPr>
                    <w:t>项目破碎</w:t>
                  </w:r>
                  <w:r>
                    <w:rPr>
                      <w:rFonts w:hint="eastAsia" w:ascii="Times New Roman" w:hAnsi="Times New Roman" w:eastAsia="宋体" w:cs="Times New Roman"/>
                      <w:color w:val="000000"/>
                      <w:sz w:val="21"/>
                      <w:szCs w:val="21"/>
                    </w:rPr>
                    <w:t>和</w:t>
                  </w:r>
                  <w:r>
                    <w:rPr>
                      <w:rFonts w:hint="default" w:ascii="Times New Roman" w:hAnsi="Times New Roman" w:eastAsia="宋体" w:cs="Times New Roman"/>
                      <w:color w:val="000000"/>
                      <w:sz w:val="21"/>
                      <w:szCs w:val="21"/>
                    </w:rPr>
                    <w:t>球磨粉尘经袋式除尘处理后经1个15m高的</w:t>
                  </w:r>
                  <w:r>
                    <w:rPr>
                      <w:rFonts w:hint="eastAsia" w:ascii="Times New Roman" w:hAnsi="Times New Roman" w:eastAsia="宋体" w:cs="Times New Roman"/>
                      <w:color w:val="000000"/>
                      <w:sz w:val="21"/>
                      <w:szCs w:val="21"/>
                    </w:rPr>
                    <w:t>DA001排气筒</w:t>
                  </w:r>
                  <w:r>
                    <w:rPr>
                      <w:rFonts w:hint="default" w:ascii="Times New Roman" w:hAnsi="Times New Roman" w:eastAsia="宋体" w:cs="Times New Roman"/>
                      <w:color w:val="000000"/>
                      <w:sz w:val="21"/>
                      <w:szCs w:val="21"/>
                    </w:rPr>
                    <w:t>排放</w:t>
                  </w:r>
                  <w:r>
                    <w:rPr>
                      <w:rFonts w:hint="eastAsia" w:ascii="Times New Roman" w:hAnsi="Times New Roman" w:eastAsia="宋体" w:cs="Times New Roman"/>
                      <w:color w:val="000000"/>
                      <w:sz w:val="21"/>
                      <w:szCs w:val="21"/>
                    </w:rPr>
                    <w:t>；</w:t>
                  </w:r>
                </w:p>
                <w:p w14:paraId="51B47F0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2、蒸养燃气废气收集后由</w:t>
                  </w:r>
                  <w:r>
                    <w:rPr>
                      <w:rFonts w:hint="default" w:ascii="Times New Roman" w:hAnsi="Times New Roman" w:eastAsia="宋体" w:cs="Times New Roman"/>
                      <w:color w:val="000000"/>
                      <w:sz w:val="21"/>
                      <w:szCs w:val="21"/>
                    </w:rPr>
                    <w:t>1个</w:t>
                  </w:r>
                  <w:r>
                    <w:rPr>
                      <w:rFonts w:hint="eastAsia" w:cs="Times New Roman"/>
                      <w:color w:val="000000"/>
                      <w:sz w:val="21"/>
                      <w:szCs w:val="21"/>
                      <w:lang w:val="en-US" w:eastAsia="zh-CN"/>
                    </w:rPr>
                    <w:t>15</w:t>
                  </w:r>
                  <w:r>
                    <w:rPr>
                      <w:rFonts w:hint="default" w:ascii="Times New Roman" w:hAnsi="Times New Roman" w:eastAsia="宋体" w:cs="Times New Roman"/>
                      <w:color w:val="000000"/>
                      <w:sz w:val="21"/>
                      <w:szCs w:val="21"/>
                    </w:rPr>
                    <w:t>m高的</w:t>
                  </w:r>
                  <w:r>
                    <w:rPr>
                      <w:rFonts w:hint="eastAsia" w:ascii="Times New Roman" w:hAnsi="Times New Roman" w:eastAsia="宋体" w:cs="Times New Roman"/>
                      <w:color w:val="000000"/>
                      <w:sz w:val="21"/>
                      <w:szCs w:val="21"/>
                    </w:rPr>
                    <w:t>DA002排气筒</w:t>
                  </w:r>
                  <w:r>
                    <w:rPr>
                      <w:rFonts w:hint="default" w:ascii="Times New Roman" w:hAnsi="Times New Roman" w:eastAsia="宋体" w:cs="Times New Roman"/>
                      <w:color w:val="000000"/>
                      <w:sz w:val="21"/>
                      <w:szCs w:val="21"/>
                    </w:rPr>
                    <w:t>排放</w:t>
                  </w:r>
                  <w:r>
                    <w:rPr>
                      <w:rFonts w:hint="eastAsia" w:ascii="Times New Roman" w:hAnsi="Times New Roman" w:eastAsia="宋体" w:cs="Times New Roman"/>
                      <w:color w:val="000000"/>
                      <w:sz w:val="21"/>
                      <w:szCs w:val="21"/>
                    </w:rPr>
                    <w:t>；</w:t>
                  </w:r>
                </w:p>
                <w:p w14:paraId="147ACAE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3、项目料</w:t>
                  </w:r>
                  <w:r>
                    <w:rPr>
                      <w:rFonts w:hint="default" w:ascii="Times New Roman" w:hAnsi="Times New Roman" w:eastAsia="宋体" w:cs="Times New Roman"/>
                      <w:color w:val="000000"/>
                      <w:sz w:val="21"/>
                      <w:szCs w:val="21"/>
                    </w:rPr>
                    <w:t>仓顶</w:t>
                  </w:r>
                  <w:r>
                    <w:rPr>
                      <w:rFonts w:hint="eastAsia" w:ascii="Times New Roman" w:hAnsi="Times New Roman" w:eastAsia="宋体" w:cs="Times New Roman"/>
                      <w:color w:val="000000"/>
                      <w:sz w:val="21"/>
                      <w:szCs w:val="21"/>
                    </w:rPr>
                    <w:t>、进料搅拌系统均分别配备了</w:t>
                  </w:r>
                  <w:r>
                    <w:rPr>
                      <w:rFonts w:hint="default" w:ascii="Times New Roman" w:hAnsi="Times New Roman" w:eastAsia="宋体" w:cs="Times New Roman"/>
                      <w:color w:val="000000"/>
                      <w:sz w:val="21"/>
                      <w:szCs w:val="21"/>
                    </w:rPr>
                    <w:t>袋式除尘</w:t>
                  </w:r>
                  <w:r>
                    <w:rPr>
                      <w:rFonts w:hint="eastAsia" w:ascii="Times New Roman" w:hAnsi="Times New Roman" w:eastAsia="宋体" w:cs="Times New Roman"/>
                      <w:color w:val="000000"/>
                      <w:sz w:val="21"/>
                      <w:szCs w:val="21"/>
                    </w:rPr>
                    <w:t>器，粉尘经处理后无组织排放</w:t>
                  </w:r>
                </w:p>
              </w:tc>
              <w:tc>
                <w:tcPr>
                  <w:tcW w:w="1785" w:type="dxa"/>
                  <w:tcBorders>
                    <w:tl2br w:val="nil"/>
                    <w:tr2bl w:val="nil"/>
                  </w:tcBorders>
                  <w:vAlign w:val="center"/>
                </w:tcPr>
                <w:p w14:paraId="45C7983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破碎、球磨工序</w:t>
                  </w:r>
                  <w:r>
                    <w:rPr>
                      <w:rFonts w:hint="eastAsia" w:ascii="Times New Roman" w:hAnsi="Times New Roman" w:eastAsia="宋体" w:cs="Times New Roman"/>
                      <w:color w:val="000000"/>
                      <w:sz w:val="21"/>
                      <w:szCs w:val="21"/>
                      <w:lang w:val="en-US" w:eastAsia="zh-CN"/>
                    </w:rPr>
                    <w:t>永久取消</w:t>
                  </w:r>
                  <w:r>
                    <w:rPr>
                      <w:rFonts w:hint="eastAsia" w:ascii="Times New Roman" w:hAnsi="Times New Roman" w:eastAsia="宋体" w:cs="Times New Roman"/>
                      <w:color w:val="000000"/>
                      <w:sz w:val="21"/>
                      <w:szCs w:val="21"/>
                    </w:rPr>
                    <w:t>，原料石膏以及石灰外购成品加工，故排气筒DA001未建设；其余设施与环评一致</w:t>
                  </w:r>
                </w:p>
              </w:tc>
              <w:tc>
                <w:tcPr>
                  <w:tcW w:w="1503" w:type="dxa"/>
                  <w:tcBorders>
                    <w:tl2br w:val="nil"/>
                    <w:tr2bl w:val="nil"/>
                  </w:tcBorders>
                  <w:vAlign w:val="center"/>
                </w:tcPr>
                <w:p w14:paraId="1527B06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rPr>
                    <w:t>破碎、球磨工序未建设</w:t>
                  </w:r>
                  <w:r>
                    <w:rPr>
                      <w:rFonts w:hint="eastAsia" w:cs="Times New Roman"/>
                      <w:color w:val="000000"/>
                      <w:sz w:val="21"/>
                      <w:szCs w:val="21"/>
                      <w:lang w:eastAsia="zh-CN"/>
                    </w:rPr>
                    <w:t>，</w:t>
                  </w:r>
                  <w:r>
                    <w:rPr>
                      <w:rFonts w:hint="eastAsia" w:ascii="Times New Roman" w:hAnsi="Times New Roman" w:eastAsia="宋体" w:cs="Times New Roman"/>
                      <w:color w:val="000000"/>
                      <w:sz w:val="21"/>
                      <w:szCs w:val="21"/>
                    </w:rPr>
                    <w:t>破碎、球磨工序</w:t>
                  </w:r>
                  <w:r>
                    <w:rPr>
                      <w:rFonts w:hint="eastAsia" w:cs="Times New Roman"/>
                      <w:color w:val="000000"/>
                      <w:sz w:val="21"/>
                      <w:szCs w:val="21"/>
                      <w:lang w:val="en-US" w:eastAsia="zh-CN"/>
                    </w:rPr>
                    <w:t>永久取消</w:t>
                  </w:r>
                </w:p>
              </w:tc>
            </w:tr>
            <w:tr w14:paraId="40E5F8A3">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699" w:type="dxa"/>
                  <w:vMerge w:val="continue"/>
                  <w:tcBorders>
                    <w:tl2br w:val="nil"/>
                    <w:tr2bl w:val="nil"/>
                  </w:tcBorders>
                  <w:vAlign w:val="center"/>
                </w:tcPr>
                <w:p w14:paraId="5FD96FD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p>
              </w:tc>
              <w:tc>
                <w:tcPr>
                  <w:tcW w:w="390" w:type="dxa"/>
                  <w:tcBorders>
                    <w:tl2br w:val="nil"/>
                    <w:tr2bl w:val="nil"/>
                  </w:tcBorders>
                  <w:vAlign w:val="center"/>
                </w:tcPr>
                <w:p w14:paraId="33A3B01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3</w:t>
                  </w:r>
                </w:p>
              </w:tc>
              <w:tc>
                <w:tcPr>
                  <w:tcW w:w="1259" w:type="dxa"/>
                  <w:tcBorders>
                    <w:tl2br w:val="nil"/>
                    <w:tr2bl w:val="nil"/>
                  </w:tcBorders>
                  <w:vAlign w:val="center"/>
                </w:tcPr>
                <w:p w14:paraId="29A661C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减振、防噪措施</w:t>
                  </w:r>
                </w:p>
              </w:tc>
              <w:tc>
                <w:tcPr>
                  <w:tcW w:w="2817" w:type="dxa"/>
                  <w:tcBorders>
                    <w:tl2br w:val="nil"/>
                    <w:tr2bl w:val="nil"/>
                  </w:tcBorders>
                  <w:vAlign w:val="center"/>
                </w:tcPr>
                <w:p w14:paraId="6F01F4D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采用低噪声设备；高噪声的搅拌设备置于厂房内，各设备基础进行减振等</w:t>
                  </w:r>
                </w:p>
              </w:tc>
              <w:tc>
                <w:tcPr>
                  <w:tcW w:w="1785" w:type="dxa"/>
                  <w:tcBorders>
                    <w:tl2br w:val="nil"/>
                    <w:tr2bl w:val="nil"/>
                  </w:tcBorders>
                  <w:vAlign w:val="center"/>
                </w:tcPr>
                <w:p w14:paraId="3919FAD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与环评一致</w:t>
                  </w:r>
                </w:p>
              </w:tc>
              <w:tc>
                <w:tcPr>
                  <w:tcW w:w="1503" w:type="dxa"/>
                  <w:tcBorders>
                    <w:tl2br w:val="nil"/>
                    <w:tr2bl w:val="nil"/>
                  </w:tcBorders>
                  <w:vAlign w:val="center"/>
                </w:tcPr>
                <w:p w14:paraId="34B939A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w:t>
                  </w:r>
                </w:p>
              </w:tc>
            </w:tr>
            <w:tr w14:paraId="7FFD3E1F">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699" w:type="dxa"/>
                  <w:vMerge w:val="continue"/>
                  <w:tcBorders>
                    <w:tl2br w:val="nil"/>
                    <w:tr2bl w:val="nil"/>
                  </w:tcBorders>
                  <w:vAlign w:val="center"/>
                </w:tcPr>
                <w:p w14:paraId="518062CD">
                  <w:pPr>
                    <w:pStyle w:val="122"/>
                    <w:rPr>
                      <w:rFonts w:ascii="Times New Roman" w:hAnsi="Times New Roman" w:eastAsia="宋体" w:cs="Times New Roman"/>
                      <w:color w:val="000000"/>
                    </w:rPr>
                  </w:pPr>
                </w:p>
              </w:tc>
              <w:tc>
                <w:tcPr>
                  <w:tcW w:w="390" w:type="dxa"/>
                  <w:tcBorders>
                    <w:tl2br w:val="nil"/>
                    <w:tr2bl w:val="nil"/>
                  </w:tcBorders>
                  <w:vAlign w:val="center"/>
                </w:tcPr>
                <w:p w14:paraId="455B274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4</w:t>
                  </w:r>
                </w:p>
              </w:tc>
              <w:tc>
                <w:tcPr>
                  <w:tcW w:w="1259" w:type="dxa"/>
                  <w:tcBorders>
                    <w:tl2br w:val="nil"/>
                    <w:tr2bl w:val="nil"/>
                  </w:tcBorders>
                  <w:vAlign w:val="center"/>
                </w:tcPr>
                <w:p w14:paraId="54FF3366">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固废处理</w:t>
                  </w:r>
                </w:p>
              </w:tc>
              <w:tc>
                <w:tcPr>
                  <w:tcW w:w="2817" w:type="dxa"/>
                  <w:tcBorders>
                    <w:tl2br w:val="nil"/>
                    <w:tr2bl w:val="nil"/>
                  </w:tcBorders>
                  <w:vAlign w:val="center"/>
                </w:tcPr>
                <w:p w14:paraId="5D63B10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1、除尘器收集的颗粒物和</w:t>
                  </w:r>
                  <w:r>
                    <w:rPr>
                      <w:rFonts w:hint="default" w:ascii="Times New Roman" w:hAnsi="Times New Roman" w:eastAsia="宋体" w:cs="Times New Roman"/>
                      <w:color w:val="000000"/>
                      <w:sz w:val="21"/>
                      <w:szCs w:val="21"/>
                    </w:rPr>
                    <w:t>边角料</w:t>
                  </w:r>
                  <w:r>
                    <w:rPr>
                      <w:rFonts w:hint="eastAsia" w:ascii="Times New Roman" w:hAnsi="Times New Roman" w:eastAsia="宋体" w:cs="Times New Roman"/>
                      <w:color w:val="000000"/>
                      <w:sz w:val="21"/>
                      <w:szCs w:val="21"/>
                    </w:rPr>
                    <w:t>回用生产，不外排</w:t>
                  </w:r>
                </w:p>
                <w:p w14:paraId="548A9B9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2、废布袋</w:t>
                  </w:r>
                  <w:r>
                    <w:rPr>
                      <w:rFonts w:hint="default" w:ascii="Times New Roman" w:hAnsi="Times New Roman" w:eastAsia="宋体" w:cs="Times New Roman"/>
                      <w:color w:val="000000"/>
                      <w:sz w:val="21"/>
                      <w:szCs w:val="21"/>
                    </w:rPr>
                    <w:t>收集后外售</w:t>
                  </w:r>
                  <w:r>
                    <w:rPr>
                      <w:rFonts w:hint="eastAsia" w:ascii="Times New Roman" w:hAnsi="Times New Roman" w:eastAsia="宋体" w:cs="Times New Roman"/>
                      <w:color w:val="000000"/>
                      <w:sz w:val="21"/>
                      <w:szCs w:val="21"/>
                    </w:rPr>
                    <w:t>物资回收单位</w:t>
                  </w:r>
                </w:p>
                <w:p w14:paraId="647F4E4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3、设置生活垃圾桶，生活垃圾收集后委托环卫工人清理处置</w:t>
                  </w:r>
                </w:p>
              </w:tc>
              <w:tc>
                <w:tcPr>
                  <w:tcW w:w="1785" w:type="dxa"/>
                  <w:tcBorders>
                    <w:tl2br w:val="nil"/>
                    <w:tr2bl w:val="nil"/>
                  </w:tcBorders>
                  <w:vAlign w:val="center"/>
                </w:tcPr>
                <w:p w14:paraId="02EB385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与环评一致</w:t>
                  </w:r>
                </w:p>
              </w:tc>
              <w:tc>
                <w:tcPr>
                  <w:tcW w:w="1503" w:type="dxa"/>
                  <w:tcBorders>
                    <w:tl2br w:val="nil"/>
                    <w:tr2bl w:val="nil"/>
                  </w:tcBorders>
                  <w:vAlign w:val="center"/>
                </w:tcPr>
                <w:p w14:paraId="14DD11B6">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w:t>
                  </w:r>
                </w:p>
              </w:tc>
            </w:tr>
          </w:tbl>
          <w:p w14:paraId="5BDE10D2">
            <w:pPr>
              <w:rPr>
                <w:rFonts w:hint="eastAsia"/>
                <w:lang w:val="en-US" w:eastAsia="zh-CN"/>
              </w:rPr>
            </w:pPr>
          </w:p>
          <w:p w14:paraId="3461A2C2">
            <w:pPr>
              <w:pStyle w:val="4"/>
              <w:bidi w:val="0"/>
              <w:rPr>
                <w:rFonts w:hint="eastAsia"/>
                <w:lang w:val="en-US" w:eastAsia="zh-CN"/>
              </w:rPr>
            </w:pPr>
            <w:r>
              <w:rPr>
                <w:rFonts w:hint="eastAsia"/>
                <w:lang w:val="en-US" w:eastAsia="zh-CN"/>
              </w:rPr>
              <w:t>现有工程原辅材料、设备和主要产品方案</w:t>
            </w:r>
          </w:p>
          <w:p w14:paraId="4FB55FAE">
            <w:pPr>
              <w:pStyle w:val="88"/>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color w:val="auto"/>
                <w:highlight w:val="none"/>
              </w:rPr>
            </w:pPr>
            <w:r>
              <w:rPr>
                <w:color w:val="auto"/>
                <w:highlight w:val="none"/>
              </w:rPr>
              <w:t>现有项目</w:t>
            </w:r>
            <w:r>
              <w:rPr>
                <w:rFonts w:hint="eastAsia"/>
                <w:color w:val="auto"/>
                <w:highlight w:val="none"/>
                <w:lang w:val="en-US" w:eastAsia="zh-CN"/>
              </w:rPr>
              <w:t>主要产品</w:t>
            </w:r>
            <w:r>
              <w:rPr>
                <w:color w:val="auto"/>
                <w:highlight w:val="none"/>
              </w:rPr>
              <w:t>见表</w:t>
            </w:r>
            <w:r>
              <w:rPr>
                <w:rFonts w:hint="eastAsia"/>
                <w:color w:val="auto"/>
                <w:highlight w:val="none"/>
                <w:lang w:val="en-US" w:eastAsia="zh-CN"/>
              </w:rPr>
              <w:t>2.8-2，</w:t>
            </w:r>
            <w:r>
              <w:rPr>
                <w:color w:val="auto"/>
                <w:highlight w:val="none"/>
              </w:rPr>
              <w:t>主要原辅材料见表</w:t>
            </w:r>
            <w:r>
              <w:rPr>
                <w:rFonts w:hint="eastAsia"/>
                <w:color w:val="auto"/>
                <w:highlight w:val="none"/>
                <w:lang w:val="en-US" w:eastAsia="zh-CN"/>
              </w:rPr>
              <w:t>2.8-3</w:t>
            </w:r>
            <w:r>
              <w:rPr>
                <w:color w:val="auto"/>
                <w:highlight w:val="none"/>
              </w:rPr>
              <w:t>，主要设备见表</w:t>
            </w:r>
            <w:r>
              <w:rPr>
                <w:rFonts w:hint="eastAsia"/>
                <w:color w:val="auto"/>
                <w:highlight w:val="none"/>
                <w:lang w:val="en-US" w:eastAsia="zh-CN"/>
              </w:rPr>
              <w:t>2.8-4</w:t>
            </w:r>
            <w:r>
              <w:rPr>
                <w:color w:val="auto"/>
                <w:highlight w:val="none"/>
              </w:rPr>
              <w:t>。</w:t>
            </w:r>
          </w:p>
          <w:p w14:paraId="18610CB6">
            <w:pPr>
              <w:pStyle w:val="42"/>
              <w:tabs>
                <w:tab w:val="left" w:pos="0"/>
                <w:tab w:val="clear" w:pos="420"/>
              </w:tabs>
              <w:bidi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项目产品方案</w:t>
            </w:r>
          </w:p>
          <w:tbl>
            <w:tblPr>
              <w:tblStyle w:val="32"/>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27"/>
              <w:gridCol w:w="3787"/>
            </w:tblGrid>
            <w:tr w14:paraId="463B04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6" w:hRule="atLeast"/>
                <w:jc w:val="center"/>
              </w:trPr>
              <w:tc>
                <w:tcPr>
                  <w:tcW w:w="2851" w:type="pct"/>
                  <w:tcBorders>
                    <w:tl2br w:val="nil"/>
                    <w:tr2bl w:val="nil"/>
                  </w:tcBorders>
                  <w:noWrap w:val="0"/>
                  <w:vAlign w:val="center"/>
                </w:tcPr>
                <w:p w14:paraId="7FDE6E1A">
                  <w:pPr>
                    <w:pStyle w:val="154"/>
                    <w:jc w:val="center"/>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主要产品</w:t>
                  </w:r>
                </w:p>
              </w:tc>
              <w:tc>
                <w:tcPr>
                  <w:tcW w:w="2148" w:type="pct"/>
                  <w:tcBorders>
                    <w:tl2br w:val="nil"/>
                    <w:tr2bl w:val="nil"/>
                  </w:tcBorders>
                  <w:noWrap w:val="0"/>
                  <w:vAlign w:val="center"/>
                </w:tcPr>
                <w:p w14:paraId="7007CDBC">
                  <w:pPr>
                    <w:pStyle w:val="154"/>
                    <w:jc w:val="center"/>
                    <w:rPr>
                      <w:rFonts w:hint="default" w:ascii="Times New Roman" w:hAnsi="Times New Roman" w:eastAsia="宋体" w:cs="Times New Roman"/>
                      <w:color w:val="000000"/>
                      <w:sz w:val="21"/>
                      <w:szCs w:val="21"/>
                      <w:highlight w:val="none"/>
                      <w:u w:val="none" w:color="auto"/>
                      <w:lang w:val="en-US" w:eastAsia="zh-CN"/>
                    </w:rPr>
                  </w:pPr>
                  <w:r>
                    <w:rPr>
                      <w:rFonts w:hint="default" w:ascii="Times New Roman" w:hAnsi="Times New Roman" w:eastAsia="宋体" w:cs="Times New Roman"/>
                      <w:color w:val="000000"/>
                      <w:sz w:val="21"/>
                      <w:szCs w:val="21"/>
                      <w:highlight w:val="none"/>
                      <w:u w:val="none" w:color="auto"/>
                      <w:lang w:val="en-US" w:eastAsia="zh-CN"/>
                    </w:rPr>
                    <w:t>规模</w:t>
                  </w:r>
                </w:p>
              </w:tc>
            </w:tr>
            <w:tr w14:paraId="4FC744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8" w:hRule="atLeast"/>
                <w:jc w:val="center"/>
              </w:trPr>
              <w:tc>
                <w:tcPr>
                  <w:tcW w:w="2851" w:type="pct"/>
                  <w:tcBorders>
                    <w:tl2br w:val="nil"/>
                    <w:tr2bl w:val="nil"/>
                  </w:tcBorders>
                  <w:noWrap w:val="0"/>
                  <w:vAlign w:val="center"/>
                </w:tcPr>
                <w:p w14:paraId="607367F9">
                  <w:pPr>
                    <w:pStyle w:val="154"/>
                    <w:jc w:val="center"/>
                    <w:rPr>
                      <w:rFonts w:hint="default" w:ascii="Times New Roman" w:hAnsi="Times New Roman" w:eastAsia="宋体" w:cs="Times New Roman"/>
                      <w:color w:val="000000"/>
                      <w:sz w:val="21"/>
                      <w:szCs w:val="21"/>
                      <w:highlight w:val="none"/>
                      <w:u w:val="none" w:color="auto"/>
                      <w:lang w:val="en-US" w:eastAsia="zh-CN"/>
                    </w:rPr>
                  </w:pPr>
                  <w:r>
                    <w:rPr>
                      <w:rFonts w:hint="default" w:ascii="Times New Roman" w:hAnsi="Times New Roman" w:eastAsia="宋体" w:cs="Times New Roman"/>
                      <w:color w:val="000000"/>
                      <w:kern w:val="0"/>
                      <w:sz w:val="21"/>
                      <w:szCs w:val="21"/>
                      <w:u w:val="none" w:color="auto"/>
                      <w:lang w:val="en-US" w:eastAsia="zh-CN" w:bidi="ar-SA"/>
                    </w:rPr>
                    <w:t>新型建筑材料</w:t>
                  </w:r>
                </w:p>
              </w:tc>
              <w:tc>
                <w:tcPr>
                  <w:tcW w:w="2148" w:type="pct"/>
                  <w:tcBorders>
                    <w:tl2br w:val="nil"/>
                    <w:tr2bl w:val="nil"/>
                  </w:tcBorders>
                  <w:noWrap w:val="0"/>
                  <w:vAlign w:val="center"/>
                </w:tcPr>
                <w:p w14:paraId="2F74327A">
                  <w:pPr>
                    <w:pStyle w:val="154"/>
                    <w:jc w:val="center"/>
                    <w:rPr>
                      <w:rFonts w:hint="default" w:ascii="Times New Roman" w:hAnsi="Times New Roman" w:eastAsia="宋体" w:cs="Times New Roman"/>
                      <w:color w:val="000000"/>
                      <w:sz w:val="21"/>
                      <w:szCs w:val="21"/>
                      <w:highlight w:val="none"/>
                      <w:u w:val="none" w:color="auto"/>
                      <w:lang w:val="en-US" w:eastAsia="zh-CN"/>
                    </w:rPr>
                  </w:pPr>
                  <w:r>
                    <w:rPr>
                      <w:rFonts w:hint="default" w:ascii="Times New Roman" w:hAnsi="Times New Roman" w:eastAsia="宋体" w:cs="Times New Roman"/>
                      <w:color w:val="000000"/>
                      <w:kern w:val="0"/>
                      <w:sz w:val="21"/>
                      <w:szCs w:val="21"/>
                      <w:u w:val="none" w:color="auto"/>
                      <w:lang w:val="en-US" w:eastAsia="zh-CN" w:bidi="ar-SA"/>
                    </w:rPr>
                    <w:t>30万立方米</w:t>
                  </w:r>
                  <w:r>
                    <w:rPr>
                      <w:rFonts w:hint="default" w:ascii="Times New Roman" w:hAnsi="Times New Roman" w:eastAsia="宋体" w:cs="Times New Roman"/>
                      <w:color w:val="000000"/>
                      <w:sz w:val="21"/>
                      <w:szCs w:val="21"/>
                      <w:highlight w:val="none"/>
                      <w:u w:val="none" w:color="auto"/>
                    </w:rPr>
                    <w:t>/</w:t>
                  </w:r>
                  <w:r>
                    <w:rPr>
                      <w:rFonts w:hint="default" w:ascii="Times New Roman" w:hAnsi="Times New Roman" w:eastAsia="宋体" w:cs="Times New Roman"/>
                      <w:color w:val="000000"/>
                      <w:sz w:val="21"/>
                      <w:szCs w:val="21"/>
                      <w:highlight w:val="none"/>
                      <w:u w:val="none" w:color="auto"/>
                      <w:lang w:val="en-US" w:eastAsia="zh-CN"/>
                    </w:rPr>
                    <w:t>年</w:t>
                  </w:r>
                </w:p>
              </w:tc>
            </w:tr>
          </w:tbl>
          <w:p w14:paraId="45E3614A">
            <w:pPr>
              <w:pStyle w:val="42"/>
              <w:tabs>
                <w:tab w:val="left" w:pos="0"/>
                <w:tab w:val="clear" w:pos="420"/>
              </w:tabs>
              <w:bidi w:val="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auto"/>
                <w:highlight w:val="none"/>
                <w:u w:val="none" w:color="auto"/>
                <w:lang w:val="en-US" w:eastAsia="zh-CN"/>
              </w:rPr>
              <w:t>现有工程原辅材料一览表</w:t>
            </w:r>
          </w:p>
          <w:tbl>
            <w:tblPr>
              <w:tblStyle w:val="32"/>
              <w:tblW w:w="881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378"/>
              <w:gridCol w:w="1196"/>
              <w:gridCol w:w="1200"/>
              <w:gridCol w:w="1610"/>
              <w:gridCol w:w="1780"/>
              <w:gridCol w:w="1652"/>
            </w:tblGrid>
            <w:tr w14:paraId="7449CD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30" w:hRule="atLeast"/>
                <w:jc w:val="center"/>
              </w:trPr>
              <w:tc>
                <w:tcPr>
                  <w:tcW w:w="1378" w:type="dxa"/>
                  <w:tcBorders>
                    <w:bottom w:val="single" w:color="000000" w:sz="12" w:space="0"/>
                  </w:tcBorders>
                  <w:shd w:val="clear" w:color="auto" w:fill="auto"/>
                  <w:noWrap/>
                  <w:vAlign w:val="center"/>
                </w:tcPr>
                <w:p w14:paraId="43649CAB">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原材料名称</w:t>
                  </w:r>
                </w:p>
              </w:tc>
              <w:tc>
                <w:tcPr>
                  <w:tcW w:w="1196" w:type="dxa"/>
                  <w:tcBorders>
                    <w:bottom w:val="single" w:color="000000" w:sz="12" w:space="0"/>
                  </w:tcBorders>
                  <w:shd w:val="clear" w:color="auto" w:fill="auto"/>
                  <w:noWrap/>
                  <w:vAlign w:val="center"/>
                </w:tcPr>
                <w:p w14:paraId="0405E18A">
                  <w:pPr>
                    <w:widowControl/>
                    <w:jc w:val="center"/>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kern w:val="0"/>
                      <w:szCs w:val="21"/>
                      <w:lang w:val="en-US" w:eastAsia="zh-CN" w:bidi="ar"/>
                    </w:rPr>
                    <w:t>环评</w:t>
                  </w:r>
                  <w:r>
                    <w:rPr>
                      <w:rFonts w:hint="eastAsia" w:ascii="Times New Roman" w:hAnsi="Times New Roman" w:cs="Times New Roman"/>
                      <w:color w:val="000000"/>
                      <w:kern w:val="0"/>
                      <w:szCs w:val="21"/>
                      <w:lang w:val="en-US" w:eastAsia="zh-CN" w:bidi="ar"/>
                    </w:rPr>
                    <w:t>规划</w:t>
                  </w:r>
                  <w:r>
                    <w:rPr>
                      <w:rFonts w:ascii="Times New Roman" w:hAnsi="Times New Roman" w:eastAsia="宋体" w:cs="Times New Roman"/>
                      <w:color w:val="000000"/>
                      <w:kern w:val="0"/>
                      <w:szCs w:val="21"/>
                      <w:lang w:bidi="ar"/>
                    </w:rPr>
                    <w:t>工艺配比</w:t>
                  </w:r>
                </w:p>
              </w:tc>
              <w:tc>
                <w:tcPr>
                  <w:tcW w:w="1200" w:type="dxa"/>
                  <w:tcBorders>
                    <w:bottom w:val="single" w:color="000000" w:sz="12" w:space="0"/>
                  </w:tcBorders>
                  <w:shd w:val="clear" w:color="auto" w:fill="auto"/>
                  <w:noWrap/>
                  <w:vAlign w:val="center"/>
                </w:tcPr>
                <w:p w14:paraId="1277EB0C">
                  <w:pPr>
                    <w:widowControl/>
                    <w:jc w:val="center"/>
                    <w:textAlignment w:val="center"/>
                    <w:rPr>
                      <w:rFonts w:hint="default" w:ascii="Times New Roman" w:hAnsi="Times New Roman" w:eastAsia="宋体" w:cs="Times New Roman"/>
                      <w:color w:val="auto"/>
                      <w:kern w:val="0"/>
                      <w:szCs w:val="21"/>
                      <w:lang w:val="en-US" w:eastAsia="zh-CN" w:bidi="ar"/>
                    </w:rPr>
                  </w:pPr>
                  <w:r>
                    <w:rPr>
                      <w:rFonts w:hint="eastAsia" w:ascii="Times New Roman" w:hAnsi="Times New Roman" w:eastAsia="宋体" w:cs="Times New Roman"/>
                      <w:color w:val="auto"/>
                      <w:kern w:val="0"/>
                      <w:szCs w:val="21"/>
                      <w:lang w:val="en-US" w:eastAsia="zh-CN" w:bidi="ar"/>
                    </w:rPr>
                    <w:t>验收实际工艺配比</w:t>
                  </w:r>
                </w:p>
              </w:tc>
              <w:tc>
                <w:tcPr>
                  <w:tcW w:w="1610" w:type="dxa"/>
                  <w:tcBorders>
                    <w:bottom w:val="single" w:color="000000" w:sz="12" w:space="0"/>
                  </w:tcBorders>
                  <w:shd w:val="clear" w:color="auto" w:fill="auto"/>
                  <w:noWrap/>
                  <w:vAlign w:val="center"/>
                </w:tcPr>
                <w:p w14:paraId="57570114">
                  <w:pPr>
                    <w:widowControl/>
                    <w:jc w:val="center"/>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kern w:val="0"/>
                      <w:szCs w:val="21"/>
                      <w:lang w:bidi="ar"/>
                    </w:rPr>
                    <w:t>环评</w:t>
                  </w:r>
                  <w:r>
                    <w:rPr>
                      <w:rFonts w:hint="eastAsia" w:ascii="Times New Roman" w:hAnsi="Times New Roman" w:cs="Times New Roman"/>
                      <w:color w:val="000000"/>
                      <w:kern w:val="0"/>
                      <w:szCs w:val="21"/>
                      <w:lang w:val="en-US" w:eastAsia="zh-CN" w:bidi="ar"/>
                    </w:rPr>
                    <w:t>规划</w:t>
                  </w:r>
                  <w:r>
                    <w:rPr>
                      <w:rFonts w:ascii="Times New Roman" w:hAnsi="Times New Roman" w:eastAsia="宋体" w:cs="Times New Roman"/>
                      <w:color w:val="000000"/>
                      <w:kern w:val="0"/>
                      <w:szCs w:val="21"/>
                      <w:lang w:bidi="ar"/>
                    </w:rPr>
                    <w:t>年</w:t>
                  </w:r>
                  <w:r>
                    <w:rPr>
                      <w:rFonts w:hint="eastAsia" w:ascii="Times New Roman" w:hAnsi="Times New Roman" w:eastAsia="宋体" w:cs="Times New Roman"/>
                      <w:color w:val="000000"/>
                      <w:kern w:val="0"/>
                      <w:szCs w:val="21"/>
                      <w:lang w:bidi="ar"/>
                    </w:rPr>
                    <w:t>消耗</w:t>
                  </w:r>
                  <w:r>
                    <w:rPr>
                      <w:rFonts w:ascii="Times New Roman" w:hAnsi="Times New Roman" w:eastAsia="宋体" w:cs="Times New Roman"/>
                      <w:color w:val="000000"/>
                      <w:kern w:val="0"/>
                      <w:szCs w:val="21"/>
                      <w:lang w:bidi="ar"/>
                    </w:rPr>
                    <w:t>量</w:t>
                  </w:r>
                  <w:r>
                    <w:rPr>
                      <w:rFonts w:hint="eastAsia" w:ascii="Times New Roman" w:hAnsi="Times New Roman" w:eastAsia="宋体" w:cs="Times New Roman"/>
                      <w:color w:val="000000"/>
                      <w:kern w:val="0"/>
                      <w:szCs w:val="21"/>
                      <w:lang w:bidi="ar"/>
                    </w:rPr>
                    <w:t>t/a</w:t>
                  </w:r>
                </w:p>
              </w:tc>
              <w:tc>
                <w:tcPr>
                  <w:tcW w:w="1780" w:type="dxa"/>
                  <w:tcBorders>
                    <w:bottom w:val="single" w:color="000000" w:sz="12" w:space="0"/>
                  </w:tcBorders>
                  <w:shd w:val="clear" w:color="auto" w:fill="auto"/>
                  <w:noWrap/>
                  <w:vAlign w:val="center"/>
                </w:tcPr>
                <w:p w14:paraId="3987361A">
                  <w:pPr>
                    <w:pStyle w:val="123"/>
                    <w:tabs>
                      <w:tab w:val="left" w:pos="-2848"/>
                    </w:tabs>
                    <w:spacing w:line="240" w:lineRule="auto"/>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bidi="ar"/>
                    </w:rPr>
                    <w:t>验收实际</w:t>
                  </w:r>
                  <w:r>
                    <w:rPr>
                      <w:rFonts w:ascii="Times New Roman" w:hAnsi="Times New Roman" w:eastAsia="宋体" w:cs="Times New Roman"/>
                      <w:color w:val="auto"/>
                      <w:kern w:val="0"/>
                      <w:szCs w:val="21"/>
                      <w:lang w:bidi="ar"/>
                    </w:rPr>
                    <w:t>年</w:t>
                  </w:r>
                  <w:r>
                    <w:rPr>
                      <w:rFonts w:hint="eastAsia" w:ascii="Times New Roman" w:hAnsi="Times New Roman" w:eastAsia="宋体" w:cs="Times New Roman"/>
                      <w:color w:val="auto"/>
                      <w:kern w:val="0"/>
                      <w:szCs w:val="21"/>
                      <w:lang w:bidi="ar"/>
                    </w:rPr>
                    <w:t>消耗</w:t>
                  </w:r>
                  <w:r>
                    <w:rPr>
                      <w:rFonts w:ascii="Times New Roman" w:hAnsi="Times New Roman" w:eastAsia="宋体" w:cs="Times New Roman"/>
                      <w:color w:val="auto"/>
                      <w:kern w:val="0"/>
                      <w:szCs w:val="21"/>
                      <w:lang w:bidi="ar"/>
                    </w:rPr>
                    <w:t>量</w:t>
                  </w:r>
                  <w:r>
                    <w:rPr>
                      <w:rFonts w:hint="eastAsia" w:ascii="Times New Roman" w:hAnsi="Times New Roman" w:eastAsia="宋体" w:cs="Times New Roman"/>
                      <w:color w:val="auto"/>
                      <w:kern w:val="0"/>
                      <w:szCs w:val="21"/>
                      <w:lang w:bidi="ar"/>
                    </w:rPr>
                    <w:t>t/a</w:t>
                  </w:r>
                </w:p>
              </w:tc>
              <w:tc>
                <w:tcPr>
                  <w:tcW w:w="1652" w:type="dxa"/>
                  <w:tcBorders>
                    <w:bottom w:val="single" w:color="000000" w:sz="12" w:space="0"/>
                  </w:tcBorders>
                  <w:shd w:val="clear" w:color="auto" w:fill="auto"/>
                  <w:noWrap/>
                  <w:vAlign w:val="center"/>
                </w:tcPr>
                <w:p w14:paraId="4E730DD8">
                  <w:pPr>
                    <w:pStyle w:val="123"/>
                    <w:tabs>
                      <w:tab w:val="left" w:pos="-2848"/>
                    </w:tabs>
                    <w:spacing w:line="240" w:lineRule="auto"/>
                    <w:rPr>
                      <w:rFonts w:ascii="Times New Roman" w:hAnsi="Times New Roman" w:eastAsia="宋体" w:cs="Times New Roman"/>
                      <w:color w:val="000000"/>
                      <w:kern w:val="0"/>
                      <w:szCs w:val="21"/>
                    </w:rPr>
                  </w:pPr>
                  <w:r>
                    <w:rPr>
                      <w:rFonts w:ascii="Times New Roman" w:hAnsi="Times New Roman" w:eastAsia="宋体" w:cs="Times New Roman"/>
                      <w:color w:val="000000"/>
                      <w:szCs w:val="21"/>
                    </w:rPr>
                    <w:t>储存类型</w:t>
                  </w:r>
                </w:p>
              </w:tc>
            </w:tr>
            <w:tr w14:paraId="1A09C8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9" w:hRule="atLeast"/>
                <w:jc w:val="center"/>
              </w:trPr>
              <w:tc>
                <w:tcPr>
                  <w:tcW w:w="1378" w:type="dxa"/>
                  <w:tcBorders>
                    <w:top w:val="single" w:color="000000" w:sz="12" w:space="0"/>
                    <w:tl2br w:val="nil"/>
                    <w:tr2bl w:val="nil"/>
                  </w:tcBorders>
                  <w:shd w:val="clear" w:color="auto" w:fill="auto"/>
                  <w:noWrap/>
                  <w:vAlign w:val="center"/>
                </w:tcPr>
                <w:p w14:paraId="0BA85DFF">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砂子</w:t>
                  </w:r>
                </w:p>
              </w:tc>
              <w:tc>
                <w:tcPr>
                  <w:tcW w:w="1196" w:type="dxa"/>
                  <w:tcBorders>
                    <w:top w:val="single" w:color="000000" w:sz="12" w:space="0"/>
                    <w:tl2br w:val="nil"/>
                    <w:tr2bl w:val="nil"/>
                  </w:tcBorders>
                  <w:shd w:val="clear" w:color="auto" w:fill="auto"/>
                  <w:noWrap/>
                  <w:vAlign w:val="center"/>
                </w:tcPr>
                <w:p w14:paraId="6A326442">
                  <w:pPr>
                    <w:widowControl/>
                    <w:jc w:val="center"/>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kern w:val="0"/>
                      <w:szCs w:val="21"/>
                      <w:lang w:bidi="ar"/>
                    </w:rPr>
                    <w:t>69.92</w:t>
                  </w:r>
                  <w:r>
                    <w:rPr>
                      <w:rFonts w:ascii="Times New Roman" w:hAnsi="Times New Roman" w:eastAsia="宋体" w:cs="Times New Roman"/>
                      <w:color w:val="000000"/>
                      <w:kern w:val="0"/>
                      <w:szCs w:val="21"/>
                      <w:lang w:bidi="ar"/>
                    </w:rPr>
                    <w:t>%</w:t>
                  </w:r>
                </w:p>
              </w:tc>
              <w:tc>
                <w:tcPr>
                  <w:tcW w:w="1200" w:type="dxa"/>
                  <w:tcBorders>
                    <w:top w:val="single" w:color="000000" w:sz="12" w:space="0"/>
                    <w:tl2br w:val="nil"/>
                    <w:tr2bl w:val="nil"/>
                  </w:tcBorders>
                  <w:shd w:val="clear" w:color="auto" w:fill="auto"/>
                  <w:noWrap/>
                  <w:vAlign w:val="center"/>
                </w:tcPr>
                <w:p w14:paraId="65377BCB">
                  <w:pPr>
                    <w:widowControl/>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0"/>
                      <w:szCs w:val="21"/>
                      <w:lang w:val="en-US" w:eastAsia="zh-CN" w:bidi="ar"/>
                    </w:rPr>
                    <w:t>71</w:t>
                  </w:r>
                  <w:r>
                    <w:rPr>
                      <w:rFonts w:hint="eastAsia" w:ascii="Times New Roman" w:hAnsi="Times New Roman" w:eastAsia="宋体" w:cs="Times New Roman"/>
                      <w:color w:val="auto"/>
                      <w:kern w:val="0"/>
                      <w:szCs w:val="21"/>
                      <w:lang w:bidi="ar"/>
                    </w:rPr>
                    <w:t>.92</w:t>
                  </w:r>
                  <w:r>
                    <w:rPr>
                      <w:rFonts w:ascii="Times New Roman" w:hAnsi="Times New Roman" w:eastAsia="宋体" w:cs="Times New Roman"/>
                      <w:color w:val="auto"/>
                      <w:kern w:val="0"/>
                      <w:szCs w:val="21"/>
                      <w:lang w:bidi="ar"/>
                    </w:rPr>
                    <w:t>%</w:t>
                  </w:r>
                </w:p>
              </w:tc>
              <w:tc>
                <w:tcPr>
                  <w:tcW w:w="1610" w:type="dxa"/>
                  <w:tcBorders>
                    <w:top w:val="single" w:color="000000" w:sz="12" w:space="0"/>
                    <w:tl2br w:val="nil"/>
                    <w:tr2bl w:val="nil"/>
                  </w:tcBorders>
                  <w:shd w:val="clear" w:color="auto" w:fill="auto"/>
                  <w:noWrap/>
                  <w:vAlign w:val="center"/>
                </w:tcPr>
                <w:p w14:paraId="72C560B6">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129</w:t>
                  </w:r>
                  <w:r>
                    <w:rPr>
                      <w:rFonts w:hint="eastAsia" w:ascii="Times New Roman" w:hAnsi="Times New Roman" w:eastAsia="宋体" w:cs="Times New Roman"/>
                      <w:color w:val="000000"/>
                      <w:kern w:val="0"/>
                      <w:szCs w:val="21"/>
                      <w:lang w:bidi="ar"/>
                    </w:rPr>
                    <w:t>630</w:t>
                  </w:r>
                </w:p>
              </w:tc>
              <w:tc>
                <w:tcPr>
                  <w:tcW w:w="1780" w:type="dxa"/>
                  <w:tcBorders>
                    <w:top w:val="single" w:color="000000" w:sz="12" w:space="0"/>
                    <w:tl2br w:val="nil"/>
                    <w:tr2bl w:val="nil"/>
                  </w:tcBorders>
                  <w:shd w:val="clear" w:color="auto" w:fill="auto"/>
                  <w:noWrap/>
                  <w:vAlign w:val="center"/>
                </w:tcPr>
                <w:p w14:paraId="52B925F9">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kern w:val="0"/>
                      <w:szCs w:val="21"/>
                      <w:lang w:val="en-US" w:eastAsia="zh-CN" w:bidi="ar"/>
                    </w:rPr>
                    <w:t>133337.96</w:t>
                  </w:r>
                </w:p>
              </w:tc>
              <w:tc>
                <w:tcPr>
                  <w:tcW w:w="1652" w:type="dxa"/>
                  <w:tcBorders>
                    <w:top w:val="single" w:color="000000" w:sz="12" w:space="0"/>
                    <w:tl2br w:val="nil"/>
                    <w:tr2bl w:val="nil"/>
                  </w:tcBorders>
                  <w:shd w:val="clear" w:color="auto" w:fill="auto"/>
                  <w:noWrap/>
                  <w:vAlign w:val="center"/>
                </w:tcPr>
                <w:p w14:paraId="687F8E7B">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车间内储存</w:t>
                  </w:r>
                </w:p>
              </w:tc>
            </w:tr>
            <w:tr w14:paraId="588B37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9" w:hRule="atLeast"/>
                <w:jc w:val="center"/>
              </w:trPr>
              <w:tc>
                <w:tcPr>
                  <w:tcW w:w="1378" w:type="dxa"/>
                  <w:tcBorders>
                    <w:tl2br w:val="nil"/>
                    <w:tr2bl w:val="nil"/>
                  </w:tcBorders>
                  <w:shd w:val="clear" w:color="auto" w:fill="auto"/>
                  <w:noWrap/>
                  <w:vAlign w:val="center"/>
                </w:tcPr>
                <w:p w14:paraId="27BD1AB4">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石灰</w:t>
                  </w:r>
                </w:p>
              </w:tc>
              <w:tc>
                <w:tcPr>
                  <w:tcW w:w="1196" w:type="dxa"/>
                  <w:tcBorders>
                    <w:tl2br w:val="nil"/>
                    <w:tr2bl w:val="nil"/>
                  </w:tcBorders>
                  <w:shd w:val="clear" w:color="auto" w:fill="auto"/>
                  <w:noWrap/>
                  <w:vAlign w:val="center"/>
                </w:tcPr>
                <w:p w14:paraId="12C220BD">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17.00%</w:t>
                  </w:r>
                </w:p>
              </w:tc>
              <w:tc>
                <w:tcPr>
                  <w:tcW w:w="1200" w:type="dxa"/>
                  <w:tcBorders>
                    <w:tl2br w:val="nil"/>
                    <w:tr2bl w:val="nil"/>
                  </w:tcBorders>
                  <w:shd w:val="clear" w:color="auto" w:fill="auto"/>
                  <w:noWrap/>
                  <w:vAlign w:val="center"/>
                </w:tcPr>
                <w:p w14:paraId="6C2F57EB">
                  <w:pPr>
                    <w:widowControl/>
                    <w:jc w:val="center"/>
                    <w:textAlignment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0"/>
                      <w:szCs w:val="21"/>
                      <w:lang w:val="en-US" w:eastAsia="zh-CN" w:bidi="ar"/>
                    </w:rPr>
                    <w:t>15</w:t>
                  </w:r>
                  <w:r>
                    <w:rPr>
                      <w:rFonts w:ascii="Times New Roman" w:hAnsi="Times New Roman" w:eastAsia="宋体" w:cs="Times New Roman"/>
                      <w:color w:val="auto"/>
                      <w:kern w:val="0"/>
                      <w:szCs w:val="21"/>
                      <w:lang w:bidi="ar"/>
                    </w:rPr>
                    <w:t>.00%</w:t>
                  </w:r>
                </w:p>
              </w:tc>
              <w:tc>
                <w:tcPr>
                  <w:tcW w:w="1610" w:type="dxa"/>
                  <w:tcBorders>
                    <w:tl2br w:val="nil"/>
                    <w:tr2bl w:val="nil"/>
                  </w:tcBorders>
                  <w:shd w:val="clear" w:color="auto" w:fill="auto"/>
                  <w:noWrap/>
                  <w:vAlign w:val="center"/>
                </w:tcPr>
                <w:p w14:paraId="20370B81">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31518</w:t>
                  </w:r>
                </w:p>
              </w:tc>
              <w:tc>
                <w:tcPr>
                  <w:tcW w:w="1780" w:type="dxa"/>
                  <w:tcBorders>
                    <w:tl2br w:val="nil"/>
                    <w:tr2bl w:val="nil"/>
                  </w:tcBorders>
                  <w:shd w:val="clear" w:color="auto" w:fill="auto"/>
                  <w:noWrap/>
                  <w:vAlign w:val="center"/>
                </w:tcPr>
                <w:p w14:paraId="1DCE73CD">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27809.64</w:t>
                  </w:r>
                </w:p>
              </w:tc>
              <w:tc>
                <w:tcPr>
                  <w:tcW w:w="1652" w:type="dxa"/>
                  <w:tcBorders>
                    <w:tl2br w:val="nil"/>
                    <w:tr2bl w:val="nil"/>
                  </w:tcBorders>
                  <w:shd w:val="clear" w:color="auto" w:fill="auto"/>
                  <w:noWrap/>
                  <w:vAlign w:val="center"/>
                </w:tcPr>
                <w:p w14:paraId="42CB404E">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料仓储存</w:t>
                  </w:r>
                </w:p>
              </w:tc>
            </w:tr>
            <w:tr w14:paraId="5C4A62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9" w:hRule="atLeast"/>
                <w:jc w:val="center"/>
              </w:trPr>
              <w:tc>
                <w:tcPr>
                  <w:tcW w:w="1378" w:type="dxa"/>
                  <w:tcBorders>
                    <w:tl2br w:val="nil"/>
                    <w:tr2bl w:val="nil"/>
                  </w:tcBorders>
                  <w:shd w:val="clear" w:color="auto" w:fill="auto"/>
                  <w:vAlign w:val="center"/>
                </w:tcPr>
                <w:p w14:paraId="30970F4A">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石膏</w:t>
                  </w:r>
                </w:p>
              </w:tc>
              <w:tc>
                <w:tcPr>
                  <w:tcW w:w="1196" w:type="dxa"/>
                  <w:tcBorders>
                    <w:tl2br w:val="nil"/>
                    <w:tr2bl w:val="nil"/>
                  </w:tcBorders>
                  <w:shd w:val="clear" w:color="auto" w:fill="auto"/>
                  <w:vAlign w:val="center"/>
                </w:tcPr>
                <w:p w14:paraId="0E2BAF74">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3.00%</w:t>
                  </w:r>
                </w:p>
              </w:tc>
              <w:tc>
                <w:tcPr>
                  <w:tcW w:w="1200" w:type="dxa"/>
                  <w:tcBorders>
                    <w:tl2br w:val="nil"/>
                    <w:tr2bl w:val="nil"/>
                  </w:tcBorders>
                  <w:shd w:val="clear" w:color="auto" w:fill="auto"/>
                  <w:noWrap/>
                  <w:vAlign w:val="center"/>
                </w:tcPr>
                <w:p w14:paraId="3EA00760">
                  <w:pPr>
                    <w:widowControl/>
                    <w:jc w:val="center"/>
                    <w:textAlignment w:val="center"/>
                    <w:rPr>
                      <w:rFonts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0"/>
                      <w:szCs w:val="21"/>
                      <w:lang w:bidi="ar"/>
                    </w:rPr>
                    <w:t>3.00%</w:t>
                  </w:r>
                </w:p>
              </w:tc>
              <w:tc>
                <w:tcPr>
                  <w:tcW w:w="1610" w:type="dxa"/>
                  <w:tcBorders>
                    <w:tl2br w:val="nil"/>
                    <w:tr2bl w:val="nil"/>
                  </w:tcBorders>
                  <w:shd w:val="clear" w:color="auto" w:fill="auto"/>
                  <w:noWrap/>
                  <w:vAlign w:val="center"/>
                </w:tcPr>
                <w:p w14:paraId="74A9BDA2">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5562</w:t>
                  </w:r>
                </w:p>
              </w:tc>
              <w:tc>
                <w:tcPr>
                  <w:tcW w:w="1780" w:type="dxa"/>
                  <w:tcBorders>
                    <w:tl2br w:val="nil"/>
                    <w:tr2bl w:val="nil"/>
                  </w:tcBorders>
                  <w:shd w:val="clear" w:color="auto" w:fill="auto"/>
                  <w:noWrap/>
                  <w:vAlign w:val="center"/>
                </w:tcPr>
                <w:p w14:paraId="3663C86D">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5562</w:t>
                  </w:r>
                </w:p>
              </w:tc>
              <w:tc>
                <w:tcPr>
                  <w:tcW w:w="1652" w:type="dxa"/>
                  <w:tcBorders>
                    <w:tl2br w:val="nil"/>
                    <w:tr2bl w:val="nil"/>
                  </w:tcBorders>
                  <w:shd w:val="clear" w:color="auto" w:fill="auto"/>
                  <w:noWrap/>
                  <w:vAlign w:val="center"/>
                </w:tcPr>
                <w:p w14:paraId="7F59E890">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车间内储存</w:t>
                  </w:r>
                </w:p>
              </w:tc>
            </w:tr>
            <w:tr w14:paraId="1D49F5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0" w:hRule="atLeast"/>
                <w:jc w:val="center"/>
              </w:trPr>
              <w:tc>
                <w:tcPr>
                  <w:tcW w:w="1378" w:type="dxa"/>
                  <w:tcBorders>
                    <w:tl2br w:val="nil"/>
                    <w:tr2bl w:val="nil"/>
                  </w:tcBorders>
                  <w:shd w:val="clear" w:color="auto" w:fill="auto"/>
                  <w:noWrap/>
                  <w:vAlign w:val="center"/>
                </w:tcPr>
                <w:p w14:paraId="7F7BA692">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水泥</w:t>
                  </w:r>
                </w:p>
              </w:tc>
              <w:tc>
                <w:tcPr>
                  <w:tcW w:w="1196" w:type="dxa"/>
                  <w:tcBorders>
                    <w:tl2br w:val="nil"/>
                    <w:tr2bl w:val="nil"/>
                  </w:tcBorders>
                  <w:shd w:val="clear" w:color="auto" w:fill="auto"/>
                  <w:noWrap/>
                  <w:vAlign w:val="center"/>
                </w:tcPr>
                <w:p w14:paraId="5C19782A">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10.00%</w:t>
                  </w:r>
                </w:p>
              </w:tc>
              <w:tc>
                <w:tcPr>
                  <w:tcW w:w="1200" w:type="dxa"/>
                  <w:tcBorders>
                    <w:tl2br w:val="nil"/>
                    <w:tr2bl w:val="nil"/>
                  </w:tcBorders>
                  <w:shd w:val="clear" w:color="auto" w:fill="auto"/>
                  <w:noWrap/>
                  <w:vAlign w:val="center"/>
                </w:tcPr>
                <w:p w14:paraId="043B3642">
                  <w:pPr>
                    <w:widowControl/>
                    <w:jc w:val="center"/>
                    <w:textAlignment w:val="center"/>
                    <w:rPr>
                      <w:rFonts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0"/>
                      <w:szCs w:val="21"/>
                      <w:lang w:bidi="ar"/>
                    </w:rPr>
                    <w:t>10.00%</w:t>
                  </w:r>
                </w:p>
              </w:tc>
              <w:tc>
                <w:tcPr>
                  <w:tcW w:w="1610" w:type="dxa"/>
                  <w:tcBorders>
                    <w:tl2br w:val="nil"/>
                    <w:tr2bl w:val="nil"/>
                  </w:tcBorders>
                  <w:shd w:val="clear" w:color="auto" w:fill="auto"/>
                  <w:noWrap/>
                  <w:vAlign w:val="center"/>
                </w:tcPr>
                <w:p w14:paraId="142EECC0">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18540</w:t>
                  </w:r>
                </w:p>
              </w:tc>
              <w:tc>
                <w:tcPr>
                  <w:tcW w:w="1780" w:type="dxa"/>
                  <w:tcBorders>
                    <w:tl2br w:val="nil"/>
                    <w:tr2bl w:val="nil"/>
                  </w:tcBorders>
                  <w:shd w:val="clear" w:color="auto" w:fill="auto"/>
                  <w:noWrap/>
                  <w:vAlign w:val="center"/>
                </w:tcPr>
                <w:p w14:paraId="54EA4283">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18540</w:t>
                  </w:r>
                </w:p>
              </w:tc>
              <w:tc>
                <w:tcPr>
                  <w:tcW w:w="1652" w:type="dxa"/>
                  <w:tcBorders>
                    <w:tl2br w:val="nil"/>
                    <w:tr2bl w:val="nil"/>
                  </w:tcBorders>
                  <w:shd w:val="clear" w:color="auto" w:fill="auto"/>
                  <w:noWrap/>
                  <w:vAlign w:val="center"/>
                </w:tcPr>
                <w:p w14:paraId="25653505">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料仓储存</w:t>
                  </w:r>
                </w:p>
              </w:tc>
            </w:tr>
            <w:tr w14:paraId="5FD9C1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1" w:hRule="atLeast"/>
                <w:jc w:val="center"/>
              </w:trPr>
              <w:tc>
                <w:tcPr>
                  <w:tcW w:w="1378" w:type="dxa"/>
                  <w:tcBorders>
                    <w:tl2br w:val="nil"/>
                    <w:tr2bl w:val="nil"/>
                  </w:tcBorders>
                  <w:shd w:val="clear" w:color="auto" w:fill="auto"/>
                  <w:noWrap/>
                  <w:vAlign w:val="center"/>
                </w:tcPr>
                <w:p w14:paraId="3C0D5601">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铝粉</w:t>
                  </w:r>
                </w:p>
              </w:tc>
              <w:tc>
                <w:tcPr>
                  <w:tcW w:w="1196" w:type="dxa"/>
                  <w:tcBorders>
                    <w:tl2br w:val="nil"/>
                    <w:tr2bl w:val="nil"/>
                  </w:tcBorders>
                  <w:shd w:val="clear" w:color="auto" w:fill="auto"/>
                  <w:noWrap/>
                  <w:vAlign w:val="center"/>
                </w:tcPr>
                <w:p w14:paraId="67E240AB">
                  <w:pPr>
                    <w:widowControl/>
                    <w:jc w:val="center"/>
                    <w:textAlignment w:val="center"/>
                    <w:rPr>
                      <w:rFonts w:ascii="Times New Roman" w:hAnsi="Times New Roman" w:eastAsia="宋体" w:cs="Times New Roman"/>
                      <w:color w:val="000000"/>
                      <w:szCs w:val="21"/>
                    </w:rPr>
                  </w:pPr>
                  <w:r>
                    <w:rPr>
                      <w:rStyle w:val="67"/>
                      <w:rFonts w:ascii="Times New Roman" w:hAnsi="Times New Roman" w:cs="Times New Roman"/>
                      <w:sz w:val="21"/>
                      <w:szCs w:val="21"/>
                      <w:lang w:bidi="ar"/>
                    </w:rPr>
                    <w:t>0.08%</w:t>
                  </w:r>
                </w:p>
              </w:tc>
              <w:tc>
                <w:tcPr>
                  <w:tcW w:w="1200" w:type="dxa"/>
                  <w:tcBorders>
                    <w:tl2br w:val="nil"/>
                    <w:tr2bl w:val="nil"/>
                  </w:tcBorders>
                  <w:shd w:val="clear" w:color="auto" w:fill="auto"/>
                  <w:noWrap/>
                  <w:vAlign w:val="center"/>
                </w:tcPr>
                <w:p w14:paraId="6CC6948C">
                  <w:pPr>
                    <w:widowControl/>
                    <w:jc w:val="center"/>
                    <w:textAlignment w:val="center"/>
                    <w:rPr>
                      <w:rFonts w:ascii="Times New Roman" w:hAnsi="Times New Roman" w:eastAsia="宋体" w:cs="Times New Roman"/>
                      <w:color w:val="000000"/>
                      <w:kern w:val="2"/>
                      <w:sz w:val="21"/>
                      <w:szCs w:val="21"/>
                      <w:lang w:val="en-US" w:eastAsia="zh-CN" w:bidi="ar-SA"/>
                    </w:rPr>
                  </w:pPr>
                  <w:r>
                    <w:rPr>
                      <w:rStyle w:val="67"/>
                      <w:rFonts w:ascii="Times New Roman" w:hAnsi="Times New Roman" w:cs="Times New Roman"/>
                      <w:sz w:val="21"/>
                      <w:szCs w:val="21"/>
                      <w:lang w:bidi="ar"/>
                    </w:rPr>
                    <w:t>0.08%</w:t>
                  </w:r>
                </w:p>
              </w:tc>
              <w:tc>
                <w:tcPr>
                  <w:tcW w:w="1610" w:type="dxa"/>
                  <w:tcBorders>
                    <w:tl2br w:val="nil"/>
                    <w:tr2bl w:val="nil"/>
                  </w:tcBorders>
                  <w:shd w:val="clear" w:color="auto" w:fill="auto"/>
                  <w:noWrap/>
                  <w:vAlign w:val="center"/>
                </w:tcPr>
                <w:p w14:paraId="4645144C">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15</w:t>
                  </w:r>
                  <w:r>
                    <w:rPr>
                      <w:rFonts w:hint="eastAsia" w:ascii="Times New Roman" w:hAnsi="Times New Roman" w:eastAsia="宋体" w:cs="Times New Roman"/>
                      <w:color w:val="000000"/>
                      <w:kern w:val="0"/>
                      <w:szCs w:val="21"/>
                      <w:lang w:bidi="ar"/>
                    </w:rPr>
                    <w:t>0</w:t>
                  </w:r>
                </w:p>
              </w:tc>
              <w:tc>
                <w:tcPr>
                  <w:tcW w:w="1780" w:type="dxa"/>
                  <w:tcBorders>
                    <w:tl2br w:val="nil"/>
                    <w:tr2bl w:val="nil"/>
                  </w:tcBorders>
                  <w:shd w:val="clear" w:color="auto" w:fill="auto"/>
                  <w:noWrap/>
                  <w:vAlign w:val="center"/>
                </w:tcPr>
                <w:p w14:paraId="19BBC8D7">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15</w:t>
                  </w:r>
                  <w:r>
                    <w:rPr>
                      <w:rFonts w:hint="eastAsia" w:ascii="Times New Roman" w:hAnsi="Times New Roman" w:eastAsia="宋体" w:cs="Times New Roman"/>
                      <w:color w:val="000000"/>
                      <w:kern w:val="0"/>
                      <w:szCs w:val="21"/>
                      <w:lang w:bidi="ar"/>
                    </w:rPr>
                    <w:t>0</w:t>
                  </w:r>
                </w:p>
              </w:tc>
              <w:tc>
                <w:tcPr>
                  <w:tcW w:w="1652" w:type="dxa"/>
                  <w:tcBorders>
                    <w:tl2br w:val="nil"/>
                    <w:tr2bl w:val="nil"/>
                  </w:tcBorders>
                  <w:shd w:val="clear" w:color="auto" w:fill="auto"/>
                  <w:noWrap/>
                  <w:vAlign w:val="center"/>
                </w:tcPr>
                <w:p w14:paraId="0B329473">
                  <w:pPr>
                    <w:widowControl/>
                    <w:jc w:val="center"/>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料仓储存</w:t>
                  </w:r>
                </w:p>
              </w:tc>
            </w:tr>
          </w:tbl>
          <w:p w14:paraId="3DE279AB">
            <w:pPr>
              <w:pStyle w:val="42"/>
              <w:tabs>
                <w:tab w:val="left" w:pos="0"/>
                <w:tab w:val="clear" w:pos="420"/>
              </w:tabs>
              <w:bidi w:val="0"/>
              <w:rPr>
                <w:rFonts w:hint="eastAsia" w:ascii="Times New Roman" w:hAnsi="Times New Roman" w:eastAsia="宋体" w:cs="Times New Roman"/>
                <w:color w:val="auto"/>
                <w:highlight w:val="none"/>
                <w:u w:val="none" w:color="auto"/>
                <w:lang w:val="en-US" w:eastAsia="zh-CN"/>
              </w:rPr>
            </w:pPr>
            <w:r>
              <w:rPr>
                <w:rFonts w:hint="eastAsia" w:ascii="Times New Roman" w:hAnsi="Times New Roman" w:eastAsia="宋体" w:cs="Times New Roman"/>
                <w:color w:val="auto"/>
                <w:highlight w:val="none"/>
                <w:u w:val="none" w:color="auto"/>
                <w:lang w:val="en-US" w:eastAsia="zh-CN"/>
              </w:rPr>
              <w:t>现有项目主要生产设备一览表</w:t>
            </w:r>
          </w:p>
          <w:tbl>
            <w:tblPr>
              <w:tblStyle w:val="3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25"/>
              <w:gridCol w:w="2018"/>
              <w:gridCol w:w="1002"/>
              <w:gridCol w:w="902"/>
              <w:gridCol w:w="2608"/>
            </w:tblGrid>
            <w:tr w14:paraId="2F927A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2125" w:type="dxa"/>
                  <w:tcBorders>
                    <w:bottom w:val="single" w:color="auto" w:sz="12" w:space="0"/>
                  </w:tcBorders>
                  <w:noWrap w:val="0"/>
                  <w:vAlign w:val="center"/>
                </w:tcPr>
                <w:p w14:paraId="25CFF846">
                  <w:pPr>
                    <w:pStyle w:val="1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color w:val="000000"/>
                      <w:sz w:val="21"/>
                      <w:szCs w:val="21"/>
                      <w:lang w:val="en-US" w:eastAsia="zh-CN"/>
                    </w:rPr>
                  </w:pPr>
                  <w:r>
                    <w:rPr>
                      <w:rFonts w:hint="default" w:ascii="Times New Roman" w:hAnsi="Times New Roman" w:eastAsia="宋体" w:cs="Times New Roman"/>
                      <w:caps w:val="0"/>
                      <w:color w:val="000000"/>
                      <w:sz w:val="21"/>
                      <w:szCs w:val="21"/>
                      <w:lang w:val="en-US" w:eastAsia="zh-CN"/>
                    </w:rPr>
                    <w:t>序号</w:t>
                  </w:r>
                </w:p>
              </w:tc>
              <w:tc>
                <w:tcPr>
                  <w:tcW w:w="2018" w:type="dxa"/>
                  <w:tcBorders>
                    <w:bottom w:val="single" w:color="auto" w:sz="12" w:space="0"/>
                  </w:tcBorders>
                  <w:noWrap w:val="0"/>
                  <w:vAlign w:val="center"/>
                </w:tcPr>
                <w:p w14:paraId="7217910A">
                  <w:pPr>
                    <w:pStyle w:val="1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color w:val="000000"/>
                      <w:sz w:val="21"/>
                      <w:szCs w:val="21"/>
                      <w:lang w:val="en-US" w:eastAsia="zh-CN"/>
                    </w:rPr>
                  </w:pPr>
                  <w:r>
                    <w:rPr>
                      <w:rFonts w:hint="default" w:ascii="Times New Roman" w:hAnsi="Times New Roman" w:eastAsia="宋体" w:cs="Times New Roman"/>
                      <w:caps w:val="0"/>
                      <w:color w:val="000000"/>
                      <w:sz w:val="21"/>
                      <w:szCs w:val="21"/>
                      <w:lang w:val="en-US" w:eastAsia="zh-CN"/>
                    </w:rPr>
                    <w:t>设备名称</w:t>
                  </w:r>
                </w:p>
              </w:tc>
              <w:tc>
                <w:tcPr>
                  <w:tcW w:w="1002" w:type="dxa"/>
                  <w:tcBorders>
                    <w:bottom w:val="single" w:color="auto" w:sz="12" w:space="0"/>
                  </w:tcBorders>
                  <w:noWrap w:val="0"/>
                  <w:vAlign w:val="center"/>
                </w:tcPr>
                <w:p w14:paraId="38901D14">
                  <w:pPr>
                    <w:pStyle w:val="1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color w:val="000000"/>
                      <w:sz w:val="21"/>
                      <w:szCs w:val="21"/>
                      <w:lang w:val="en-US" w:eastAsia="zh-CN"/>
                    </w:rPr>
                  </w:pPr>
                  <w:r>
                    <w:rPr>
                      <w:rFonts w:hint="default" w:ascii="Times New Roman" w:hAnsi="Times New Roman" w:eastAsia="宋体" w:cs="Times New Roman"/>
                      <w:caps w:val="0"/>
                      <w:color w:val="000000"/>
                      <w:sz w:val="21"/>
                      <w:szCs w:val="21"/>
                      <w:lang w:val="en-US" w:eastAsia="zh-CN"/>
                    </w:rPr>
                    <w:t>数量</w:t>
                  </w:r>
                </w:p>
              </w:tc>
              <w:tc>
                <w:tcPr>
                  <w:tcW w:w="902" w:type="dxa"/>
                  <w:tcBorders>
                    <w:bottom w:val="single" w:color="auto" w:sz="12" w:space="0"/>
                  </w:tcBorders>
                  <w:noWrap w:val="0"/>
                  <w:vAlign w:val="center"/>
                </w:tcPr>
                <w:p w14:paraId="73F2D9FB">
                  <w:pPr>
                    <w:pStyle w:val="1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color w:val="000000"/>
                      <w:sz w:val="21"/>
                      <w:szCs w:val="21"/>
                      <w:lang w:val="en-US" w:eastAsia="zh-CN"/>
                    </w:rPr>
                  </w:pPr>
                  <w:r>
                    <w:rPr>
                      <w:rFonts w:hint="default" w:ascii="Times New Roman" w:hAnsi="Times New Roman" w:eastAsia="宋体" w:cs="Times New Roman"/>
                      <w:caps w:val="0"/>
                      <w:color w:val="000000"/>
                      <w:sz w:val="21"/>
                      <w:szCs w:val="21"/>
                      <w:lang w:val="en-US" w:eastAsia="zh-CN"/>
                    </w:rPr>
                    <w:t>单位</w:t>
                  </w:r>
                </w:p>
              </w:tc>
              <w:tc>
                <w:tcPr>
                  <w:tcW w:w="2608" w:type="dxa"/>
                  <w:tcBorders>
                    <w:bottom w:val="single" w:color="auto" w:sz="12" w:space="0"/>
                  </w:tcBorders>
                  <w:noWrap w:val="0"/>
                  <w:vAlign w:val="center"/>
                </w:tcPr>
                <w:p w14:paraId="1985EC43">
                  <w:pPr>
                    <w:pStyle w:val="1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color w:val="000000"/>
                      <w:sz w:val="21"/>
                      <w:szCs w:val="21"/>
                      <w:lang w:val="en-US" w:eastAsia="zh-CN"/>
                    </w:rPr>
                  </w:pPr>
                  <w:r>
                    <w:rPr>
                      <w:rFonts w:hint="default" w:ascii="Times New Roman" w:hAnsi="Times New Roman" w:eastAsia="宋体" w:cs="Times New Roman"/>
                      <w:caps w:val="0"/>
                      <w:color w:val="000000"/>
                      <w:sz w:val="21"/>
                      <w:szCs w:val="21"/>
                      <w:lang w:val="en-US" w:eastAsia="zh-CN"/>
                    </w:rPr>
                    <w:t>位置</w:t>
                  </w:r>
                </w:p>
              </w:tc>
            </w:tr>
            <w:tr w14:paraId="63C3CB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125" w:type="dxa"/>
                  <w:tcBorders>
                    <w:top w:val="single" w:color="auto" w:sz="12" w:space="0"/>
                    <w:tl2br w:val="nil"/>
                    <w:tr2bl w:val="nil"/>
                  </w:tcBorders>
                  <w:noWrap w:val="0"/>
                  <w:vAlign w:val="center"/>
                </w:tcPr>
                <w:p w14:paraId="266F72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olor w:val="000000"/>
                      <w:sz w:val="21"/>
                      <w:szCs w:val="21"/>
                      <w:highlight w:val="none"/>
                      <w:lang w:val="en-US" w:eastAsia="zh-CN"/>
                    </w:rPr>
                    <w:t>1</w:t>
                  </w:r>
                </w:p>
              </w:tc>
              <w:tc>
                <w:tcPr>
                  <w:tcW w:w="2018" w:type="dxa"/>
                  <w:tcBorders>
                    <w:top w:val="single" w:color="auto" w:sz="12" w:space="0"/>
                    <w:tl2br w:val="nil"/>
                    <w:tr2bl w:val="nil"/>
                  </w:tcBorders>
                  <w:noWrap w:val="0"/>
                  <w:vAlign w:val="center"/>
                </w:tcPr>
                <w:p w14:paraId="556F4F2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000000"/>
                      <w:kern w:val="2"/>
                      <w:sz w:val="21"/>
                      <w:szCs w:val="21"/>
                      <w:highlight w:val="none"/>
                      <w:lang w:val="en-US" w:eastAsia="zh-CN" w:bidi="ar-SA"/>
                    </w:rPr>
                  </w:pPr>
                  <w:r>
                    <w:rPr>
                      <w:rFonts w:hint="eastAsia" w:eastAsia="宋体"/>
                      <w:color w:val="000000"/>
                      <w:kern w:val="2"/>
                      <w:sz w:val="21"/>
                      <w:szCs w:val="21"/>
                      <w:highlight w:val="none"/>
                      <w:lang w:val="en-US" w:eastAsia="zh-CN" w:bidi="ar-SA"/>
                    </w:rPr>
                    <w:t>料仓</w:t>
                  </w:r>
                </w:p>
              </w:tc>
              <w:tc>
                <w:tcPr>
                  <w:tcW w:w="1002" w:type="dxa"/>
                  <w:tcBorders>
                    <w:top w:val="single" w:color="auto" w:sz="12" w:space="0"/>
                    <w:tl2br w:val="nil"/>
                    <w:tr2bl w:val="nil"/>
                  </w:tcBorders>
                  <w:noWrap w:val="0"/>
                  <w:vAlign w:val="center"/>
                </w:tcPr>
                <w:p w14:paraId="1341378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000000"/>
                      <w:kern w:val="2"/>
                      <w:sz w:val="21"/>
                      <w:szCs w:val="21"/>
                      <w:highlight w:val="none"/>
                      <w:lang w:val="en-US" w:eastAsia="zh-CN" w:bidi="ar-SA"/>
                    </w:rPr>
                  </w:pPr>
                  <w:r>
                    <w:rPr>
                      <w:rFonts w:hint="eastAsia" w:eastAsia="宋体"/>
                      <w:color w:val="000000"/>
                      <w:kern w:val="2"/>
                      <w:sz w:val="21"/>
                      <w:szCs w:val="21"/>
                      <w:highlight w:val="none"/>
                      <w:lang w:val="en-US" w:eastAsia="zh-CN" w:bidi="ar-SA"/>
                    </w:rPr>
                    <w:t>3</w:t>
                  </w:r>
                </w:p>
              </w:tc>
              <w:tc>
                <w:tcPr>
                  <w:tcW w:w="902" w:type="dxa"/>
                  <w:tcBorders>
                    <w:top w:val="single" w:color="auto" w:sz="12" w:space="0"/>
                    <w:tl2br w:val="nil"/>
                    <w:tr2bl w:val="nil"/>
                  </w:tcBorders>
                  <w:noWrap w:val="0"/>
                  <w:vAlign w:val="center"/>
                </w:tcPr>
                <w:p w14:paraId="4875A08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000000"/>
                      <w:kern w:val="2"/>
                      <w:sz w:val="21"/>
                      <w:szCs w:val="21"/>
                      <w:highlight w:val="none"/>
                      <w:lang w:val="en-US" w:eastAsia="zh-CN" w:bidi="ar-SA"/>
                    </w:rPr>
                  </w:pPr>
                  <w:r>
                    <w:rPr>
                      <w:rFonts w:hint="eastAsia"/>
                      <w:color w:val="000000"/>
                      <w:szCs w:val="21"/>
                      <w:highlight w:val="none"/>
                      <w:lang w:val="en-US" w:eastAsia="zh-CN"/>
                    </w:rPr>
                    <w:t>台</w:t>
                  </w:r>
                </w:p>
              </w:tc>
              <w:tc>
                <w:tcPr>
                  <w:tcW w:w="2608" w:type="dxa"/>
                  <w:tcBorders>
                    <w:top w:val="single" w:color="auto" w:sz="12" w:space="0"/>
                    <w:tl2br w:val="nil"/>
                    <w:tr2bl w:val="nil"/>
                  </w:tcBorders>
                  <w:noWrap w:val="0"/>
                  <w:vAlign w:val="center"/>
                </w:tcPr>
                <w:p w14:paraId="2A9B1F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color w:val="000000"/>
                      <w:kern w:val="2"/>
                      <w:sz w:val="21"/>
                      <w:szCs w:val="21"/>
                      <w:lang w:val="en-US" w:eastAsia="zh-CN" w:bidi="ar-SA"/>
                    </w:rPr>
                  </w:pPr>
                  <w:r>
                    <w:rPr>
                      <w:rFonts w:hint="eastAsia" w:cs="Times New Roman"/>
                      <w:caps w:val="0"/>
                      <w:color w:val="000000"/>
                      <w:kern w:val="2"/>
                      <w:sz w:val="21"/>
                      <w:szCs w:val="21"/>
                      <w:lang w:val="en-US" w:eastAsia="zh-CN" w:bidi="ar-SA"/>
                    </w:rPr>
                    <w:t>位于制浆区内，用于暂存水泥、石灰、铝粉</w:t>
                  </w:r>
                </w:p>
              </w:tc>
            </w:tr>
            <w:tr w14:paraId="5C551E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2125" w:type="dxa"/>
                  <w:tcBorders>
                    <w:tl2br w:val="nil"/>
                    <w:tr2bl w:val="nil"/>
                  </w:tcBorders>
                  <w:noWrap w:val="0"/>
                  <w:vAlign w:val="center"/>
                </w:tcPr>
                <w:p w14:paraId="72B46A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sz w:val="21"/>
                      <w:szCs w:val="21"/>
                      <w:highlight w:val="none"/>
                      <w:lang w:val="en-US" w:eastAsia="zh-CN"/>
                    </w:rPr>
                  </w:pPr>
                  <w:r>
                    <w:rPr>
                      <w:rFonts w:hint="eastAsia"/>
                      <w:color w:val="000000"/>
                      <w:sz w:val="21"/>
                      <w:szCs w:val="21"/>
                      <w:highlight w:val="none"/>
                      <w:lang w:val="en-US" w:eastAsia="zh-CN"/>
                    </w:rPr>
                    <w:t>2</w:t>
                  </w:r>
                </w:p>
              </w:tc>
              <w:tc>
                <w:tcPr>
                  <w:tcW w:w="2018" w:type="dxa"/>
                  <w:tcBorders>
                    <w:tl2br w:val="nil"/>
                    <w:tr2bl w:val="nil"/>
                  </w:tcBorders>
                  <w:noWrap w:val="0"/>
                  <w:vAlign w:val="center"/>
                </w:tcPr>
                <w:p w14:paraId="673964F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rPr>
                  </w:pPr>
                  <w:r>
                    <w:rPr>
                      <w:rFonts w:hint="eastAsia" w:ascii="Times New Roman" w:hAnsi="Times New Roman" w:eastAsia="宋体" w:cs="Times New Roman"/>
                      <w:color w:val="000000"/>
                    </w:rPr>
                    <w:t>干式球磨机</w:t>
                  </w:r>
                </w:p>
              </w:tc>
              <w:tc>
                <w:tcPr>
                  <w:tcW w:w="1002" w:type="dxa"/>
                  <w:tcBorders>
                    <w:tl2br w:val="nil"/>
                    <w:tr2bl w:val="nil"/>
                  </w:tcBorders>
                  <w:noWrap w:val="0"/>
                  <w:vAlign w:val="center"/>
                </w:tcPr>
                <w:p w14:paraId="26A7ED7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szCs w:val="21"/>
                      <w:highlight w:val="none"/>
                      <w:lang w:val="en-US" w:eastAsia="zh-CN"/>
                    </w:rPr>
                  </w:pPr>
                  <w:r>
                    <w:rPr>
                      <w:rFonts w:hint="eastAsia"/>
                      <w:color w:val="000000"/>
                      <w:szCs w:val="21"/>
                      <w:highlight w:val="none"/>
                      <w:lang w:val="en-US" w:eastAsia="zh-CN"/>
                    </w:rPr>
                    <w:t>1</w:t>
                  </w:r>
                </w:p>
              </w:tc>
              <w:tc>
                <w:tcPr>
                  <w:tcW w:w="902" w:type="dxa"/>
                  <w:tcBorders>
                    <w:tl2br w:val="nil"/>
                    <w:tr2bl w:val="nil"/>
                  </w:tcBorders>
                  <w:noWrap w:val="0"/>
                  <w:vAlign w:val="center"/>
                </w:tcPr>
                <w:p w14:paraId="6237BEE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000000"/>
                      <w:szCs w:val="21"/>
                      <w:highlight w:val="none"/>
                      <w:lang w:val="en-US" w:eastAsia="zh-CN"/>
                    </w:rPr>
                  </w:pPr>
                  <w:r>
                    <w:rPr>
                      <w:rFonts w:hint="eastAsia"/>
                      <w:color w:val="000000"/>
                      <w:szCs w:val="21"/>
                      <w:highlight w:val="none"/>
                      <w:lang w:val="en-US" w:eastAsia="zh-CN"/>
                    </w:rPr>
                    <w:t>台</w:t>
                  </w:r>
                </w:p>
              </w:tc>
              <w:tc>
                <w:tcPr>
                  <w:tcW w:w="2608" w:type="dxa"/>
                  <w:tcBorders>
                    <w:tl2br w:val="nil"/>
                    <w:tr2bl w:val="nil"/>
                  </w:tcBorders>
                  <w:noWrap w:val="0"/>
                  <w:vAlign w:val="center"/>
                </w:tcPr>
                <w:p w14:paraId="1B721E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aps w:val="0"/>
                      <w:color w:val="000000"/>
                      <w:kern w:val="2"/>
                      <w:sz w:val="21"/>
                      <w:szCs w:val="21"/>
                      <w:lang w:val="en-US" w:eastAsia="zh-CN" w:bidi="ar-SA"/>
                    </w:rPr>
                  </w:pPr>
                  <w:r>
                    <w:rPr>
                      <w:rFonts w:hint="eastAsia" w:cs="Times New Roman"/>
                      <w:caps w:val="0"/>
                      <w:color w:val="000000"/>
                      <w:kern w:val="2"/>
                      <w:sz w:val="21"/>
                      <w:szCs w:val="21"/>
                      <w:lang w:val="en-US" w:eastAsia="zh-CN" w:bidi="ar-SA"/>
                    </w:rPr>
                    <w:t>位于制浆区内</w:t>
                  </w:r>
                </w:p>
              </w:tc>
            </w:tr>
            <w:tr w14:paraId="36673C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2125" w:type="dxa"/>
                  <w:tcBorders>
                    <w:tl2br w:val="nil"/>
                    <w:tr2bl w:val="nil"/>
                  </w:tcBorders>
                  <w:noWrap w:val="0"/>
                  <w:vAlign w:val="center"/>
                </w:tcPr>
                <w:p w14:paraId="096005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sz w:val="21"/>
                      <w:szCs w:val="21"/>
                      <w:highlight w:val="none"/>
                      <w:lang w:val="en-US" w:eastAsia="zh-CN"/>
                    </w:rPr>
                  </w:pPr>
                  <w:r>
                    <w:rPr>
                      <w:rFonts w:hint="eastAsia"/>
                      <w:color w:val="000000"/>
                      <w:sz w:val="21"/>
                      <w:szCs w:val="21"/>
                      <w:highlight w:val="none"/>
                      <w:lang w:val="en-US" w:eastAsia="zh-CN"/>
                    </w:rPr>
                    <w:t>3</w:t>
                  </w:r>
                </w:p>
              </w:tc>
              <w:tc>
                <w:tcPr>
                  <w:tcW w:w="2018" w:type="dxa"/>
                  <w:tcBorders>
                    <w:tl2br w:val="nil"/>
                    <w:tr2bl w:val="nil"/>
                  </w:tcBorders>
                  <w:noWrap w:val="0"/>
                  <w:vAlign w:val="center"/>
                </w:tcPr>
                <w:p w14:paraId="4584329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lang w:val="en-US" w:eastAsia="zh-CN"/>
                    </w:rPr>
                    <w:t>破碎机</w:t>
                  </w:r>
                </w:p>
              </w:tc>
              <w:tc>
                <w:tcPr>
                  <w:tcW w:w="1002" w:type="dxa"/>
                  <w:tcBorders>
                    <w:tl2br w:val="nil"/>
                    <w:tr2bl w:val="nil"/>
                  </w:tcBorders>
                  <w:noWrap w:val="0"/>
                  <w:vAlign w:val="center"/>
                </w:tcPr>
                <w:p w14:paraId="14D856D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000000"/>
                      <w:kern w:val="2"/>
                      <w:sz w:val="21"/>
                      <w:szCs w:val="21"/>
                      <w:highlight w:val="none"/>
                      <w:lang w:val="en-US" w:eastAsia="zh-CN" w:bidi="ar-SA"/>
                    </w:rPr>
                  </w:pPr>
                  <w:r>
                    <w:rPr>
                      <w:rFonts w:hint="eastAsia"/>
                      <w:color w:val="000000"/>
                      <w:szCs w:val="21"/>
                      <w:highlight w:val="none"/>
                      <w:lang w:val="en-US" w:eastAsia="zh-CN"/>
                    </w:rPr>
                    <w:t>1</w:t>
                  </w:r>
                </w:p>
              </w:tc>
              <w:tc>
                <w:tcPr>
                  <w:tcW w:w="902" w:type="dxa"/>
                  <w:tcBorders>
                    <w:tl2br w:val="nil"/>
                    <w:tr2bl w:val="nil"/>
                  </w:tcBorders>
                  <w:noWrap w:val="0"/>
                  <w:vAlign w:val="center"/>
                </w:tcPr>
                <w:p w14:paraId="7B3A707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000000"/>
                      <w:kern w:val="2"/>
                      <w:sz w:val="21"/>
                      <w:szCs w:val="21"/>
                      <w:highlight w:val="none"/>
                      <w:lang w:val="en-US" w:eastAsia="zh-CN" w:bidi="ar-SA"/>
                    </w:rPr>
                  </w:pPr>
                  <w:r>
                    <w:rPr>
                      <w:rFonts w:hint="eastAsia"/>
                      <w:color w:val="000000"/>
                      <w:szCs w:val="21"/>
                      <w:highlight w:val="none"/>
                      <w:lang w:val="en-US" w:eastAsia="zh-CN"/>
                    </w:rPr>
                    <w:t>台</w:t>
                  </w:r>
                </w:p>
              </w:tc>
              <w:tc>
                <w:tcPr>
                  <w:tcW w:w="2608" w:type="dxa"/>
                  <w:tcBorders>
                    <w:tl2br w:val="nil"/>
                    <w:tr2bl w:val="nil"/>
                  </w:tcBorders>
                  <w:noWrap w:val="0"/>
                  <w:vAlign w:val="center"/>
                </w:tcPr>
                <w:p w14:paraId="6A8924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aps w:val="0"/>
                      <w:color w:val="000000"/>
                      <w:kern w:val="2"/>
                      <w:sz w:val="21"/>
                      <w:szCs w:val="21"/>
                      <w:lang w:val="en-US" w:eastAsia="zh-CN" w:bidi="ar-SA"/>
                    </w:rPr>
                  </w:pPr>
                  <w:r>
                    <w:rPr>
                      <w:rFonts w:hint="eastAsia" w:cs="Times New Roman"/>
                      <w:caps w:val="0"/>
                      <w:color w:val="000000"/>
                      <w:kern w:val="2"/>
                      <w:sz w:val="21"/>
                      <w:szCs w:val="21"/>
                      <w:lang w:val="en-US" w:eastAsia="zh-CN" w:bidi="ar-SA"/>
                    </w:rPr>
                    <w:t>位于制浆区内</w:t>
                  </w:r>
                </w:p>
              </w:tc>
            </w:tr>
            <w:tr w14:paraId="6DD755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125" w:type="dxa"/>
                  <w:tcBorders>
                    <w:tl2br w:val="nil"/>
                    <w:tr2bl w:val="nil"/>
                  </w:tcBorders>
                  <w:noWrap w:val="0"/>
                  <w:vAlign w:val="center"/>
                </w:tcPr>
                <w:p w14:paraId="57688B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kern w:val="2"/>
                      <w:sz w:val="21"/>
                      <w:szCs w:val="21"/>
                      <w:highlight w:val="none"/>
                      <w:lang w:val="en-US" w:eastAsia="zh-CN" w:bidi="ar-SA"/>
                    </w:rPr>
                  </w:pPr>
                  <w:r>
                    <w:rPr>
                      <w:rFonts w:hint="eastAsia"/>
                      <w:color w:val="000000"/>
                      <w:sz w:val="21"/>
                      <w:szCs w:val="21"/>
                      <w:highlight w:val="none"/>
                      <w:lang w:val="en-US" w:eastAsia="zh-CN"/>
                    </w:rPr>
                    <w:t>4</w:t>
                  </w:r>
                </w:p>
              </w:tc>
              <w:tc>
                <w:tcPr>
                  <w:tcW w:w="2018" w:type="dxa"/>
                  <w:tcBorders>
                    <w:tl2br w:val="nil"/>
                    <w:tr2bl w:val="nil"/>
                  </w:tcBorders>
                  <w:noWrap w:val="0"/>
                  <w:vAlign w:val="center"/>
                </w:tcPr>
                <w:p w14:paraId="71B2D1E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zh-TW" w:eastAsia="zh-TW"/>
                    </w:rPr>
                    <w:t>料浆制备成型</w:t>
                  </w:r>
                  <w:r>
                    <w:rPr>
                      <w:rFonts w:hint="eastAsia" w:ascii="Times New Roman" w:hAnsi="Times New Roman" w:eastAsia="宋体" w:cs="Times New Roman"/>
                      <w:color w:val="000000"/>
                      <w:lang w:val="en-US" w:eastAsia="zh-CN"/>
                    </w:rPr>
                    <w:t>机（搅拌机）</w:t>
                  </w:r>
                </w:p>
              </w:tc>
              <w:tc>
                <w:tcPr>
                  <w:tcW w:w="1002" w:type="dxa"/>
                  <w:tcBorders>
                    <w:tl2br w:val="nil"/>
                    <w:tr2bl w:val="nil"/>
                  </w:tcBorders>
                  <w:noWrap w:val="0"/>
                  <w:vAlign w:val="center"/>
                </w:tcPr>
                <w:p w14:paraId="454062F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szCs w:val="21"/>
                      <w:highlight w:val="none"/>
                      <w:lang w:val="en-US" w:eastAsia="zh-CN"/>
                    </w:rPr>
                  </w:pPr>
                  <w:r>
                    <w:rPr>
                      <w:rFonts w:hint="eastAsia"/>
                      <w:color w:val="000000"/>
                      <w:szCs w:val="21"/>
                      <w:highlight w:val="none"/>
                      <w:lang w:val="en-US" w:eastAsia="zh-CN"/>
                    </w:rPr>
                    <w:t>1</w:t>
                  </w:r>
                </w:p>
              </w:tc>
              <w:tc>
                <w:tcPr>
                  <w:tcW w:w="902" w:type="dxa"/>
                  <w:tcBorders>
                    <w:tl2br w:val="nil"/>
                    <w:tr2bl w:val="nil"/>
                  </w:tcBorders>
                  <w:noWrap w:val="0"/>
                  <w:vAlign w:val="center"/>
                </w:tcPr>
                <w:p w14:paraId="6D5A40B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000000"/>
                      <w:szCs w:val="21"/>
                      <w:highlight w:val="none"/>
                      <w:lang w:val="en-US" w:eastAsia="zh-CN"/>
                    </w:rPr>
                  </w:pPr>
                  <w:r>
                    <w:rPr>
                      <w:rFonts w:hint="eastAsia"/>
                      <w:color w:val="000000"/>
                      <w:szCs w:val="21"/>
                      <w:highlight w:val="none"/>
                      <w:lang w:val="en-US" w:eastAsia="zh-CN"/>
                    </w:rPr>
                    <w:t>台</w:t>
                  </w:r>
                </w:p>
              </w:tc>
              <w:tc>
                <w:tcPr>
                  <w:tcW w:w="2608" w:type="dxa"/>
                  <w:tcBorders>
                    <w:tl2br w:val="nil"/>
                    <w:tr2bl w:val="nil"/>
                  </w:tcBorders>
                  <w:noWrap w:val="0"/>
                  <w:vAlign w:val="center"/>
                </w:tcPr>
                <w:p w14:paraId="39F79B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aps w:val="0"/>
                      <w:color w:val="000000"/>
                      <w:kern w:val="2"/>
                      <w:sz w:val="21"/>
                      <w:szCs w:val="21"/>
                      <w:lang w:val="en-US" w:eastAsia="zh-CN" w:bidi="ar-SA"/>
                    </w:rPr>
                  </w:pPr>
                  <w:r>
                    <w:rPr>
                      <w:rFonts w:hint="eastAsia" w:cs="Times New Roman"/>
                      <w:caps w:val="0"/>
                      <w:color w:val="000000"/>
                      <w:kern w:val="2"/>
                      <w:sz w:val="21"/>
                      <w:szCs w:val="21"/>
                      <w:lang w:val="en-US" w:eastAsia="zh-CN" w:bidi="ar-SA"/>
                    </w:rPr>
                    <w:t>位于制浆区内</w:t>
                  </w:r>
                </w:p>
              </w:tc>
            </w:tr>
            <w:tr w14:paraId="75B6E5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2125" w:type="dxa"/>
                  <w:tcBorders>
                    <w:tl2br w:val="nil"/>
                    <w:tr2bl w:val="nil"/>
                  </w:tcBorders>
                  <w:noWrap w:val="0"/>
                  <w:vAlign w:val="center"/>
                </w:tcPr>
                <w:p w14:paraId="406278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kern w:val="2"/>
                      <w:sz w:val="21"/>
                      <w:szCs w:val="21"/>
                      <w:highlight w:val="none"/>
                      <w:lang w:val="en-US" w:eastAsia="zh-CN" w:bidi="ar-SA"/>
                    </w:rPr>
                  </w:pPr>
                  <w:r>
                    <w:rPr>
                      <w:rFonts w:hint="eastAsia"/>
                      <w:color w:val="000000"/>
                      <w:sz w:val="21"/>
                      <w:szCs w:val="21"/>
                      <w:highlight w:val="none"/>
                      <w:lang w:val="en-US" w:eastAsia="zh-CN"/>
                    </w:rPr>
                    <w:t>5</w:t>
                  </w:r>
                </w:p>
              </w:tc>
              <w:tc>
                <w:tcPr>
                  <w:tcW w:w="2018" w:type="dxa"/>
                  <w:tcBorders>
                    <w:tl2br w:val="nil"/>
                    <w:tr2bl w:val="nil"/>
                  </w:tcBorders>
                  <w:noWrap w:val="0"/>
                  <w:vAlign w:val="center"/>
                </w:tcPr>
                <w:p w14:paraId="7B2CAA5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eastAsia="宋体"/>
                      <w:color w:val="000000"/>
                      <w:sz w:val="21"/>
                      <w:szCs w:val="21"/>
                      <w:lang w:val="en-US" w:eastAsia="zh-CN"/>
                    </w:rPr>
                  </w:pPr>
                  <w:r>
                    <w:rPr>
                      <w:rFonts w:hint="eastAsia" w:ascii="Times New Roman"/>
                      <w:color w:val="000000"/>
                      <w:lang w:val="zh-TW" w:eastAsia="zh-TW"/>
                    </w:rPr>
                    <w:t>切割</w:t>
                  </w:r>
                  <w:r>
                    <w:rPr>
                      <w:rFonts w:hint="eastAsia" w:ascii="Times New Roman"/>
                      <w:color w:val="000000"/>
                      <w:lang w:val="en-US" w:eastAsia="zh-CN"/>
                    </w:rPr>
                    <w:t>系统</w:t>
                  </w:r>
                </w:p>
              </w:tc>
              <w:tc>
                <w:tcPr>
                  <w:tcW w:w="1002" w:type="dxa"/>
                  <w:tcBorders>
                    <w:tl2br w:val="nil"/>
                    <w:tr2bl w:val="nil"/>
                  </w:tcBorders>
                  <w:noWrap w:val="0"/>
                  <w:vAlign w:val="center"/>
                </w:tcPr>
                <w:p w14:paraId="15E44DD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szCs w:val="21"/>
                      <w:highlight w:val="none"/>
                      <w:lang w:val="en-US" w:eastAsia="zh-CN"/>
                    </w:rPr>
                  </w:pPr>
                  <w:r>
                    <w:rPr>
                      <w:rFonts w:hint="eastAsia"/>
                      <w:color w:val="000000"/>
                      <w:szCs w:val="21"/>
                      <w:highlight w:val="none"/>
                      <w:lang w:val="en-US" w:eastAsia="zh-CN"/>
                    </w:rPr>
                    <w:t>1</w:t>
                  </w:r>
                </w:p>
              </w:tc>
              <w:tc>
                <w:tcPr>
                  <w:tcW w:w="902" w:type="dxa"/>
                  <w:tcBorders>
                    <w:tl2br w:val="nil"/>
                    <w:tr2bl w:val="nil"/>
                  </w:tcBorders>
                  <w:noWrap w:val="0"/>
                  <w:vAlign w:val="center"/>
                </w:tcPr>
                <w:p w14:paraId="7B98279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szCs w:val="21"/>
                      <w:highlight w:val="none"/>
                      <w:lang w:val="en-US" w:eastAsia="zh-CN"/>
                    </w:rPr>
                  </w:pPr>
                  <w:r>
                    <w:rPr>
                      <w:rFonts w:hint="eastAsia"/>
                      <w:color w:val="000000"/>
                      <w:szCs w:val="21"/>
                      <w:highlight w:val="none"/>
                      <w:lang w:val="en-US" w:eastAsia="zh-CN"/>
                    </w:rPr>
                    <w:t>套</w:t>
                  </w:r>
                </w:p>
              </w:tc>
              <w:tc>
                <w:tcPr>
                  <w:tcW w:w="2608" w:type="dxa"/>
                  <w:tcBorders>
                    <w:tl2br w:val="nil"/>
                    <w:tr2bl w:val="nil"/>
                  </w:tcBorders>
                  <w:noWrap w:val="0"/>
                  <w:vAlign w:val="center"/>
                </w:tcPr>
                <w:p w14:paraId="433BF6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aps w:val="0"/>
                      <w:color w:val="000000"/>
                      <w:kern w:val="2"/>
                      <w:sz w:val="21"/>
                      <w:szCs w:val="21"/>
                      <w:lang w:val="en-US" w:eastAsia="zh-CN" w:bidi="ar-SA"/>
                    </w:rPr>
                  </w:pPr>
                  <w:r>
                    <w:rPr>
                      <w:rFonts w:hint="eastAsia" w:cs="Times New Roman"/>
                      <w:caps w:val="0"/>
                      <w:color w:val="000000"/>
                      <w:kern w:val="2"/>
                      <w:sz w:val="21"/>
                      <w:szCs w:val="21"/>
                      <w:lang w:val="en-US" w:eastAsia="zh-CN" w:bidi="ar-SA"/>
                    </w:rPr>
                    <w:t>位于切割区内</w:t>
                  </w:r>
                </w:p>
              </w:tc>
            </w:tr>
            <w:tr w14:paraId="2F367C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2125" w:type="dxa"/>
                  <w:tcBorders>
                    <w:tl2br w:val="nil"/>
                    <w:tr2bl w:val="nil"/>
                  </w:tcBorders>
                  <w:noWrap w:val="0"/>
                  <w:vAlign w:val="center"/>
                </w:tcPr>
                <w:p w14:paraId="79DFB3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kern w:val="2"/>
                      <w:sz w:val="21"/>
                      <w:szCs w:val="21"/>
                      <w:highlight w:val="none"/>
                      <w:lang w:val="en-US" w:eastAsia="zh-CN" w:bidi="ar-SA"/>
                    </w:rPr>
                  </w:pPr>
                  <w:r>
                    <w:rPr>
                      <w:rFonts w:hint="eastAsia"/>
                      <w:color w:val="000000"/>
                      <w:sz w:val="21"/>
                      <w:szCs w:val="21"/>
                      <w:highlight w:val="none"/>
                      <w:lang w:val="en-US" w:eastAsia="zh-CN"/>
                    </w:rPr>
                    <w:t>6</w:t>
                  </w:r>
                </w:p>
              </w:tc>
              <w:tc>
                <w:tcPr>
                  <w:tcW w:w="2018" w:type="dxa"/>
                  <w:tcBorders>
                    <w:tl2br w:val="nil"/>
                    <w:tr2bl w:val="nil"/>
                  </w:tcBorders>
                  <w:noWrap w:val="0"/>
                  <w:vAlign w:val="center"/>
                </w:tcPr>
                <w:p w14:paraId="62769C2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color w:val="000000"/>
                      <w:sz w:val="21"/>
                      <w:szCs w:val="21"/>
                      <w:lang w:val="en-US" w:eastAsia="zh-CN"/>
                    </w:rPr>
                  </w:pPr>
                  <w:r>
                    <w:rPr>
                      <w:rFonts w:hint="eastAsia" w:ascii="Times New Roman"/>
                      <w:color w:val="000000"/>
                      <w:sz w:val="21"/>
                      <w:szCs w:val="21"/>
                      <w:lang w:val="en-US" w:eastAsia="zh-CN"/>
                    </w:rPr>
                    <w:t>蒸养釜</w:t>
                  </w:r>
                </w:p>
              </w:tc>
              <w:tc>
                <w:tcPr>
                  <w:tcW w:w="1002" w:type="dxa"/>
                  <w:tcBorders>
                    <w:tl2br w:val="nil"/>
                    <w:tr2bl w:val="nil"/>
                  </w:tcBorders>
                  <w:noWrap w:val="0"/>
                  <w:vAlign w:val="center"/>
                </w:tcPr>
                <w:p w14:paraId="4B4BE6F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szCs w:val="21"/>
                      <w:highlight w:val="none"/>
                      <w:lang w:val="en-US" w:eastAsia="zh-CN"/>
                    </w:rPr>
                  </w:pPr>
                  <w:r>
                    <w:rPr>
                      <w:rFonts w:hint="eastAsia"/>
                      <w:color w:val="000000"/>
                      <w:szCs w:val="21"/>
                      <w:highlight w:val="none"/>
                      <w:lang w:val="en-US" w:eastAsia="zh-CN"/>
                    </w:rPr>
                    <w:t>8</w:t>
                  </w:r>
                </w:p>
              </w:tc>
              <w:tc>
                <w:tcPr>
                  <w:tcW w:w="902" w:type="dxa"/>
                  <w:tcBorders>
                    <w:tl2br w:val="nil"/>
                    <w:tr2bl w:val="nil"/>
                  </w:tcBorders>
                  <w:noWrap w:val="0"/>
                  <w:vAlign w:val="center"/>
                </w:tcPr>
                <w:p w14:paraId="4964076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szCs w:val="21"/>
                      <w:highlight w:val="none"/>
                      <w:lang w:val="en-US" w:eastAsia="zh-CN"/>
                    </w:rPr>
                  </w:pPr>
                  <w:r>
                    <w:rPr>
                      <w:rFonts w:hint="eastAsia"/>
                      <w:color w:val="000000"/>
                      <w:szCs w:val="21"/>
                      <w:highlight w:val="none"/>
                      <w:lang w:val="en-US" w:eastAsia="zh-CN"/>
                    </w:rPr>
                    <w:t>条</w:t>
                  </w:r>
                </w:p>
              </w:tc>
              <w:tc>
                <w:tcPr>
                  <w:tcW w:w="2608" w:type="dxa"/>
                  <w:tcBorders>
                    <w:tl2br w:val="nil"/>
                    <w:tr2bl w:val="nil"/>
                  </w:tcBorders>
                  <w:noWrap w:val="0"/>
                  <w:vAlign w:val="center"/>
                </w:tcPr>
                <w:p w14:paraId="32CD54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aps w:val="0"/>
                      <w:color w:val="000000"/>
                      <w:kern w:val="2"/>
                      <w:sz w:val="21"/>
                      <w:szCs w:val="21"/>
                      <w:lang w:val="en-US" w:eastAsia="zh-CN" w:bidi="ar-SA"/>
                    </w:rPr>
                  </w:pPr>
                  <w:r>
                    <w:rPr>
                      <w:rFonts w:hint="eastAsia" w:cs="Times New Roman"/>
                      <w:caps w:val="0"/>
                      <w:color w:val="000000"/>
                      <w:kern w:val="2"/>
                      <w:sz w:val="21"/>
                      <w:szCs w:val="21"/>
                      <w:lang w:val="en-US" w:eastAsia="zh-CN" w:bidi="ar-SA"/>
                    </w:rPr>
                    <w:t>位于蒸养区内</w:t>
                  </w:r>
                </w:p>
              </w:tc>
            </w:tr>
            <w:tr w14:paraId="1AD3FB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2125" w:type="dxa"/>
                  <w:tcBorders>
                    <w:tl2br w:val="nil"/>
                    <w:tr2bl w:val="nil"/>
                  </w:tcBorders>
                  <w:noWrap w:val="0"/>
                  <w:vAlign w:val="center"/>
                </w:tcPr>
                <w:p w14:paraId="08F4C4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sz w:val="21"/>
                      <w:szCs w:val="21"/>
                      <w:highlight w:val="none"/>
                      <w:lang w:val="en-US" w:eastAsia="zh-CN"/>
                    </w:rPr>
                  </w:pPr>
                  <w:r>
                    <w:rPr>
                      <w:rFonts w:hint="eastAsia"/>
                      <w:color w:val="000000"/>
                      <w:sz w:val="21"/>
                      <w:szCs w:val="21"/>
                      <w:highlight w:val="none"/>
                      <w:lang w:val="en-US" w:eastAsia="zh-CN"/>
                    </w:rPr>
                    <w:t>7</w:t>
                  </w:r>
                </w:p>
              </w:tc>
              <w:tc>
                <w:tcPr>
                  <w:tcW w:w="2018" w:type="dxa"/>
                  <w:tcBorders>
                    <w:tl2br w:val="nil"/>
                    <w:tr2bl w:val="nil"/>
                  </w:tcBorders>
                  <w:noWrap w:val="0"/>
                  <w:vAlign w:val="center"/>
                </w:tcPr>
                <w:p w14:paraId="6F39CCC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color w:val="000000"/>
                      <w:sz w:val="21"/>
                      <w:szCs w:val="21"/>
                      <w:lang w:val="en-US" w:eastAsia="zh-CN"/>
                    </w:rPr>
                  </w:pPr>
                  <w:r>
                    <w:rPr>
                      <w:rFonts w:hint="eastAsia" w:ascii="Times New Roman"/>
                      <w:color w:val="000000"/>
                      <w:sz w:val="21"/>
                      <w:szCs w:val="21"/>
                      <w:lang w:val="en-US" w:eastAsia="zh-CN"/>
                    </w:rPr>
                    <w:t>燃气锅炉（8t/h）</w:t>
                  </w:r>
                </w:p>
              </w:tc>
              <w:tc>
                <w:tcPr>
                  <w:tcW w:w="1002" w:type="dxa"/>
                  <w:tcBorders>
                    <w:tl2br w:val="nil"/>
                    <w:tr2bl w:val="nil"/>
                  </w:tcBorders>
                  <w:noWrap w:val="0"/>
                  <w:vAlign w:val="center"/>
                </w:tcPr>
                <w:p w14:paraId="6ECD436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szCs w:val="21"/>
                      <w:highlight w:val="none"/>
                      <w:lang w:val="en-US" w:eastAsia="zh-CN"/>
                    </w:rPr>
                  </w:pPr>
                  <w:r>
                    <w:rPr>
                      <w:rFonts w:hint="eastAsia"/>
                      <w:color w:val="000000"/>
                      <w:szCs w:val="21"/>
                      <w:highlight w:val="none"/>
                      <w:lang w:val="en-US" w:eastAsia="zh-CN"/>
                    </w:rPr>
                    <w:t>1</w:t>
                  </w:r>
                </w:p>
              </w:tc>
              <w:tc>
                <w:tcPr>
                  <w:tcW w:w="902" w:type="dxa"/>
                  <w:tcBorders>
                    <w:tl2br w:val="nil"/>
                    <w:tr2bl w:val="nil"/>
                  </w:tcBorders>
                  <w:noWrap w:val="0"/>
                  <w:vAlign w:val="center"/>
                </w:tcPr>
                <w:p w14:paraId="2632B32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szCs w:val="21"/>
                      <w:highlight w:val="none"/>
                      <w:lang w:val="en-US" w:eastAsia="zh-CN"/>
                    </w:rPr>
                  </w:pPr>
                  <w:r>
                    <w:rPr>
                      <w:rFonts w:hint="eastAsia"/>
                      <w:color w:val="000000"/>
                      <w:szCs w:val="21"/>
                      <w:highlight w:val="none"/>
                      <w:lang w:val="en-US" w:eastAsia="zh-CN"/>
                    </w:rPr>
                    <w:t>台</w:t>
                  </w:r>
                </w:p>
              </w:tc>
              <w:tc>
                <w:tcPr>
                  <w:tcW w:w="2608" w:type="dxa"/>
                  <w:tcBorders>
                    <w:tl2br w:val="nil"/>
                    <w:tr2bl w:val="nil"/>
                  </w:tcBorders>
                  <w:noWrap w:val="0"/>
                  <w:vAlign w:val="center"/>
                </w:tcPr>
                <w:p w14:paraId="3FFEA9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aps w:val="0"/>
                      <w:color w:val="000000"/>
                      <w:kern w:val="2"/>
                      <w:sz w:val="21"/>
                      <w:szCs w:val="21"/>
                      <w:lang w:val="en-US" w:eastAsia="zh-CN" w:bidi="ar-SA"/>
                    </w:rPr>
                  </w:pPr>
                  <w:r>
                    <w:rPr>
                      <w:rFonts w:hint="eastAsia" w:cs="Times New Roman"/>
                      <w:caps w:val="0"/>
                      <w:color w:val="000000"/>
                      <w:kern w:val="2"/>
                      <w:sz w:val="21"/>
                      <w:szCs w:val="21"/>
                      <w:lang w:val="en-US" w:eastAsia="zh-CN" w:bidi="ar-SA"/>
                    </w:rPr>
                    <w:t>位于蒸养区内</w:t>
                  </w:r>
                </w:p>
              </w:tc>
            </w:tr>
          </w:tbl>
          <w:p w14:paraId="1EFD9D64">
            <w:pPr>
              <w:pStyle w:val="4"/>
              <w:keepNext/>
              <w:keepLines/>
              <w:pageBreakBefore w:val="0"/>
              <w:widowControl w:val="0"/>
              <w:kinsoku/>
              <w:wordWrap/>
              <w:overflowPunct/>
              <w:topLinePunct w:val="0"/>
              <w:autoSpaceDE/>
              <w:autoSpaceDN/>
              <w:bidi w:val="0"/>
              <w:adjustRightInd/>
              <w:snapToGrid/>
              <w:spacing w:after="0"/>
              <w:ind w:left="0" w:leftChars="0" w:firstLine="0" w:firstLineChars="0"/>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现有项目工艺流程机产污环节</w:t>
            </w:r>
          </w:p>
          <w:p w14:paraId="220C58FF">
            <w:pPr>
              <w:pStyle w:val="88"/>
              <w:ind w:firstLine="480"/>
              <w:rPr>
                <w:rFonts w:hint="eastAsia"/>
                <w:color w:val="auto"/>
                <w:highlight w:val="none"/>
                <w:lang w:val="en-US" w:eastAsia="zh-CN"/>
              </w:rPr>
            </w:pPr>
            <w:r>
              <w:rPr>
                <w:rFonts w:hint="eastAsia"/>
                <w:color w:val="auto"/>
                <w:highlight w:val="none"/>
                <w:lang w:val="en-US" w:eastAsia="zh-CN"/>
              </w:rPr>
              <w:t>现</w:t>
            </w:r>
            <w:r>
              <w:rPr>
                <w:rFonts w:hint="eastAsia"/>
                <w:color w:val="auto"/>
                <w:highlight w:val="none"/>
              </w:rPr>
              <w:t>有项目工艺流程图</w:t>
            </w:r>
            <w:r>
              <w:rPr>
                <w:rFonts w:hint="eastAsia"/>
                <w:color w:val="auto"/>
                <w:highlight w:val="none"/>
                <w:lang w:val="en-US" w:eastAsia="zh-CN"/>
              </w:rPr>
              <w:t>见下图。</w:t>
            </w:r>
          </w:p>
          <w:p w14:paraId="61C810F5">
            <w:pPr>
              <w:pStyle w:val="44"/>
              <w:ind w:left="0" w:leftChars="0" w:firstLine="0" w:firstLineChars="0"/>
              <w:jc w:val="center"/>
              <w:rPr>
                <w:rFonts w:hint="default" w:eastAsia="宋体"/>
                <w:i/>
                <w:iCs/>
                <w:color w:val="000000" w:themeColor="text1"/>
                <w:sz w:val="84"/>
                <w:szCs w:val="84"/>
                <w:highlight w:val="none"/>
                <w:lang w:val="en-US" w:eastAsia="zh-CN"/>
                <w14:textFill>
                  <w14:solidFill>
                    <w14:schemeClr w14:val="tx1"/>
                  </w14:solidFill>
                </w14:textFill>
              </w:rPr>
            </w:pPr>
            <w:r>
              <w:rPr>
                <w:rFonts w:hint="eastAsia"/>
                <w:i/>
                <w:iCs/>
                <w:color w:val="000000" w:themeColor="text1"/>
                <w:sz w:val="84"/>
                <w:szCs w:val="84"/>
                <w:highlight w:val="none"/>
                <w:lang w:val="en-US" w:eastAsia="zh-CN"/>
                <w14:textFill>
                  <w14:solidFill>
                    <w14:schemeClr w14:val="tx1"/>
                  </w14:solidFill>
                </w14:textFill>
              </w:rPr>
              <w:t>涉密删除</w:t>
            </w:r>
          </w:p>
          <w:p w14:paraId="33FD82B3">
            <w:pPr>
              <w:pStyle w:val="88"/>
              <w:ind w:firstLine="480"/>
              <w:jc w:val="center"/>
              <w:rPr>
                <w:rFonts w:hint="eastAsia"/>
                <w:b/>
                <w:bCs/>
                <w:color w:val="auto"/>
                <w:highlight w:val="none"/>
              </w:rPr>
            </w:pPr>
            <w:r>
              <w:rPr>
                <w:rFonts w:hint="eastAsia" w:ascii="Times New Roman" w:hAnsi="Times New Roman" w:eastAsia="宋体" w:cs="Times New Roman"/>
                <w:b/>
                <w:bCs/>
                <w:color w:val="000000" w:themeColor="text1"/>
                <w:kern w:val="2"/>
                <w:sz w:val="24"/>
                <w:szCs w:val="20"/>
                <w:highlight w:val="none"/>
                <w:lang w:val="en-US" w:eastAsia="zh-CN" w:bidi="ar-SA"/>
                <w14:textFill>
                  <w14:solidFill>
                    <w14:schemeClr w14:val="tx1"/>
                  </w14:solidFill>
                </w14:textFill>
              </w:rPr>
              <w:t>图2.8-1 现有项目工艺流程图</w:t>
            </w:r>
          </w:p>
          <w:p w14:paraId="7949ED5B">
            <w:pPr>
              <w:pStyle w:val="88"/>
              <w:ind w:firstLine="480"/>
              <w:rPr>
                <w:rFonts w:hint="eastAsia"/>
                <w:b/>
                <w:bCs/>
                <w:color w:val="auto"/>
                <w:highlight w:val="none"/>
                <w:lang w:val="en-US" w:eastAsia="zh-CN"/>
              </w:rPr>
            </w:pPr>
            <w:r>
              <w:rPr>
                <w:rFonts w:hint="eastAsia"/>
                <w:b/>
                <w:bCs/>
                <w:color w:val="auto"/>
                <w:highlight w:val="none"/>
                <w:lang w:val="en-US" w:eastAsia="zh-CN"/>
              </w:rPr>
              <w:t>工艺介绍：</w:t>
            </w:r>
          </w:p>
          <w:p w14:paraId="24BB47A1">
            <w:pPr>
              <w:pStyle w:val="44"/>
              <w:ind w:left="0" w:leftChars="0" w:firstLine="0" w:firstLineChars="0"/>
              <w:jc w:val="center"/>
              <w:rPr>
                <w:rFonts w:hint="default" w:eastAsia="宋体"/>
                <w:i/>
                <w:iCs/>
                <w:color w:val="000000" w:themeColor="text1"/>
                <w:sz w:val="84"/>
                <w:szCs w:val="84"/>
                <w:highlight w:val="none"/>
                <w:lang w:val="en-US" w:eastAsia="zh-CN"/>
                <w14:textFill>
                  <w14:solidFill>
                    <w14:schemeClr w14:val="tx1"/>
                  </w14:solidFill>
                </w14:textFill>
              </w:rPr>
            </w:pPr>
            <w:r>
              <w:rPr>
                <w:rFonts w:hint="eastAsia"/>
                <w:i/>
                <w:iCs/>
                <w:color w:val="000000" w:themeColor="text1"/>
                <w:sz w:val="84"/>
                <w:szCs w:val="84"/>
                <w:highlight w:val="none"/>
                <w:lang w:val="en-US" w:eastAsia="zh-CN"/>
                <w14:textFill>
                  <w14:solidFill>
                    <w14:schemeClr w14:val="tx1"/>
                  </w14:solidFill>
                </w14:textFill>
              </w:rPr>
              <w:t>涉密删除</w:t>
            </w:r>
          </w:p>
          <w:p w14:paraId="45B1812C">
            <w:pPr>
              <w:pStyle w:val="4"/>
              <w:bidi w:val="0"/>
              <w:rPr>
                <w:rFonts w:hint="eastAsia"/>
                <w:lang w:val="en-US" w:eastAsia="zh-CN"/>
              </w:rPr>
            </w:pPr>
            <w:r>
              <w:rPr>
                <w:rFonts w:hint="eastAsia"/>
                <w:lang w:val="en-US" w:eastAsia="zh-CN"/>
              </w:rPr>
              <w:t>现有项目污染物产生及排放情况</w:t>
            </w:r>
          </w:p>
          <w:p w14:paraId="071C0731">
            <w:pPr>
              <w:pStyle w:val="88"/>
              <w:ind w:firstLine="480"/>
              <w:rPr>
                <w:rFonts w:hint="default"/>
                <w:color w:val="auto"/>
                <w:highlight w:val="none"/>
                <w:lang w:val="en-US" w:eastAsia="zh-CN"/>
              </w:rPr>
            </w:pPr>
            <w:r>
              <w:rPr>
                <w:rFonts w:hint="eastAsia"/>
                <w:color w:val="auto"/>
                <w:highlight w:val="none"/>
                <w:lang w:val="en-US" w:eastAsia="zh-CN"/>
              </w:rPr>
              <w:t>（1）废水</w:t>
            </w:r>
          </w:p>
          <w:p w14:paraId="32129B3B">
            <w:pPr>
              <w:pStyle w:val="44"/>
              <w:ind w:firstLine="480"/>
              <w:jc w:val="both"/>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①设备和地面清洗用水</w:t>
            </w:r>
          </w:p>
          <w:p w14:paraId="3E185C19">
            <w:pPr>
              <w:pStyle w:val="44"/>
              <w:ind w:firstLine="480"/>
              <w:jc w:val="both"/>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现有工程车间地面和设备每天清洗一次，冲洗用水按10m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/次计，则日均清洗用水量10m</w:t>
            </w:r>
            <w:r>
              <w:rPr>
                <w:rFonts w:hint="eastAsia" w:ascii="Times New Roman" w:hAnsi="Times New Roman" w:eastAsia="宋体" w:cs="宋体"/>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，污水产生系数按90%计，则污水产生量约9m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/d（2700m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/a）。清洗水经沉淀池处理后回用搅拌，不外排。</w:t>
            </w:r>
          </w:p>
          <w:p w14:paraId="53788715">
            <w:pPr>
              <w:pStyle w:val="44"/>
              <w:ind w:firstLine="480"/>
              <w:jc w:val="both"/>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②制浆、搅拌用水</w:t>
            </w:r>
          </w:p>
          <w:p w14:paraId="40738B99">
            <w:pPr>
              <w:pStyle w:val="44"/>
              <w:ind w:firstLine="480"/>
              <w:jc w:val="both"/>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根据建设单位提供的资料，现有工程年产30万立方新型建筑材料，制浆、搅拌过程用水量约为6万m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/a（200m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/d），来自清洗水、新鲜水等，制浆、搅拌用水全部随产品带走，不外排。</w:t>
            </w:r>
          </w:p>
          <w:p w14:paraId="3F4F7AC6">
            <w:pPr>
              <w:pStyle w:val="44"/>
              <w:ind w:firstLine="480"/>
              <w:jc w:val="both"/>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③蒸养用水</w:t>
            </w:r>
          </w:p>
          <w:p w14:paraId="0B11D630">
            <w:pPr>
              <w:pStyle w:val="44"/>
              <w:ind w:firstLine="480"/>
              <w:jc w:val="both"/>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现有工程锅炉蒸养釜新鲜用水量为100m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/d（3万m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/a）。该部分用水以蒸汽的形式经过高温、高压蒸养后产生的尾气冷凝水经管道送至静养室或者回收到锅炉房预热水，产生系数按70%计，其余随产品带走损耗，则锅炉蒸养冷凝废水产生量为70m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/d（2.1万m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/a）。</w:t>
            </w:r>
          </w:p>
          <w:p w14:paraId="59985ABA">
            <w:pPr>
              <w:pStyle w:val="44"/>
              <w:ind w:firstLine="480"/>
              <w:jc w:val="both"/>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④锅炉纯水系统</w:t>
            </w:r>
          </w:p>
          <w:p w14:paraId="32D41FFC">
            <w:pPr>
              <w:pStyle w:val="44"/>
              <w:ind w:firstLine="480"/>
              <w:jc w:val="both"/>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现有工程设置1套纯水制备系统，该纯水系统制备能力为10m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/h，由于项目所在区域自来水水质情况等因素，现有工程纯水系统用水制水率在80%左右，排污水为20%左右。由此可知，现有工程排污水为2t/a（600t/a）。经沉淀池收集澄清后回用制浆搅拌工序，不外排。</w:t>
            </w:r>
          </w:p>
          <w:p w14:paraId="366D78CF">
            <w:pPr>
              <w:pStyle w:val="88"/>
              <w:ind w:firstLine="48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⑥生活用水：现有工程定员25人，参照《福建省行业用水定额标准》（DB35/T 772-2018），不住厂职工每人每天生活用水量按50L/人·d计，则生活用水量约为1.25t/d；生活污水排水系数按80%计，则污水排放量为1t/d（300t/a）。生活污水应经化粪池处理达到《农田灌溉水质标准》（GB5084-2021）后用于周边农田灌溉，不外排。</w:t>
            </w:r>
          </w:p>
          <w:p w14:paraId="5C291AB7">
            <w:pPr>
              <w:pStyle w:val="88"/>
              <w:ind w:firstLine="480"/>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snapToGrid/>
                <w:color w:val="auto"/>
                <w:kern w:val="2"/>
                <w:sz w:val="24"/>
                <w:szCs w:val="24"/>
                <w:highlight w:val="none"/>
                <w:lang w:val="en-US" w:eastAsia="zh-CN" w:bidi="ar-SA"/>
              </w:rPr>
              <w:t>企业于202</w:t>
            </w:r>
            <w:r>
              <w:rPr>
                <w:rFonts w:hint="eastAsia" w:eastAsia="宋体" w:cs="Times New Roman"/>
                <w:snapToGrid/>
                <w:color w:val="auto"/>
                <w:kern w:val="2"/>
                <w:sz w:val="24"/>
                <w:szCs w:val="24"/>
                <w:highlight w:val="none"/>
                <w:lang w:val="en-US" w:eastAsia="zh-CN" w:bidi="ar-SA"/>
              </w:rPr>
              <w:t>5</w:t>
            </w:r>
            <w:r>
              <w:rPr>
                <w:rFonts w:hint="eastAsia" w:ascii="Times New Roman" w:hAnsi="Times New Roman" w:eastAsia="宋体" w:cs="Times New Roman"/>
                <w:snapToGrid/>
                <w:color w:val="auto"/>
                <w:kern w:val="2"/>
                <w:sz w:val="24"/>
                <w:szCs w:val="24"/>
                <w:highlight w:val="none"/>
                <w:lang w:val="en-US" w:eastAsia="zh-CN" w:bidi="ar-SA"/>
              </w:rPr>
              <w:t>年</w:t>
            </w:r>
            <w:r>
              <w:rPr>
                <w:rFonts w:hint="eastAsia" w:eastAsia="宋体" w:cs="Times New Roman"/>
                <w:snapToGrid/>
                <w:color w:val="auto"/>
                <w:kern w:val="2"/>
                <w:sz w:val="24"/>
                <w:szCs w:val="24"/>
                <w:highlight w:val="none"/>
                <w:lang w:val="en-US" w:eastAsia="zh-CN" w:bidi="ar-SA"/>
              </w:rPr>
              <w:t>6</w:t>
            </w:r>
            <w:r>
              <w:rPr>
                <w:rFonts w:hint="eastAsia" w:ascii="Times New Roman" w:hAnsi="Times New Roman" w:eastAsia="宋体" w:cs="Times New Roman"/>
                <w:snapToGrid/>
                <w:color w:val="auto"/>
                <w:kern w:val="2"/>
                <w:sz w:val="24"/>
                <w:szCs w:val="24"/>
                <w:highlight w:val="none"/>
                <w:lang w:val="en-US" w:eastAsia="zh-CN" w:bidi="ar-SA"/>
              </w:rPr>
              <w:t>月</w:t>
            </w:r>
            <w:r>
              <w:rPr>
                <w:rFonts w:hint="eastAsia" w:eastAsia="宋体" w:cs="Times New Roman"/>
                <w:snapToGrid/>
                <w:color w:val="auto"/>
                <w:kern w:val="2"/>
                <w:sz w:val="24"/>
                <w:szCs w:val="24"/>
                <w:highlight w:val="none"/>
                <w:lang w:val="en-US" w:eastAsia="zh-CN" w:bidi="ar-SA"/>
              </w:rPr>
              <w:t>11</w:t>
            </w:r>
            <w:r>
              <w:rPr>
                <w:rFonts w:hint="eastAsia" w:ascii="Times New Roman" w:hAnsi="Times New Roman" w:eastAsia="宋体" w:cs="Times New Roman"/>
                <w:snapToGrid/>
                <w:color w:val="auto"/>
                <w:kern w:val="2"/>
                <w:sz w:val="24"/>
                <w:szCs w:val="24"/>
                <w:highlight w:val="none"/>
                <w:lang w:val="en-US" w:eastAsia="zh-CN" w:bidi="ar-SA"/>
              </w:rPr>
              <w:t>日~202</w:t>
            </w:r>
            <w:r>
              <w:rPr>
                <w:rFonts w:hint="eastAsia" w:eastAsia="宋体" w:cs="Times New Roman"/>
                <w:snapToGrid/>
                <w:color w:val="auto"/>
                <w:kern w:val="2"/>
                <w:sz w:val="24"/>
                <w:szCs w:val="24"/>
                <w:highlight w:val="none"/>
                <w:lang w:val="en-US" w:eastAsia="zh-CN" w:bidi="ar-SA"/>
              </w:rPr>
              <w:t>5</w:t>
            </w:r>
            <w:r>
              <w:rPr>
                <w:rFonts w:hint="eastAsia" w:ascii="Times New Roman" w:hAnsi="Times New Roman" w:eastAsia="宋体" w:cs="Times New Roman"/>
                <w:snapToGrid/>
                <w:color w:val="auto"/>
                <w:kern w:val="2"/>
                <w:sz w:val="24"/>
                <w:szCs w:val="24"/>
                <w:highlight w:val="none"/>
                <w:lang w:val="en-US" w:eastAsia="zh-CN" w:bidi="ar-SA"/>
              </w:rPr>
              <w:t>年</w:t>
            </w:r>
            <w:r>
              <w:rPr>
                <w:rFonts w:hint="eastAsia" w:eastAsia="宋体" w:cs="Times New Roman"/>
                <w:snapToGrid/>
                <w:color w:val="auto"/>
                <w:kern w:val="2"/>
                <w:sz w:val="24"/>
                <w:szCs w:val="24"/>
                <w:highlight w:val="none"/>
                <w:lang w:val="en-US" w:eastAsia="zh-CN" w:bidi="ar-SA"/>
              </w:rPr>
              <w:t>6</w:t>
            </w:r>
            <w:r>
              <w:rPr>
                <w:rFonts w:hint="eastAsia" w:ascii="Times New Roman" w:hAnsi="Times New Roman" w:eastAsia="宋体" w:cs="Times New Roman"/>
                <w:snapToGrid/>
                <w:color w:val="auto"/>
                <w:kern w:val="2"/>
                <w:sz w:val="24"/>
                <w:szCs w:val="24"/>
                <w:highlight w:val="none"/>
                <w:lang w:val="en-US" w:eastAsia="zh-CN" w:bidi="ar-SA"/>
              </w:rPr>
              <w:t>月</w:t>
            </w:r>
            <w:r>
              <w:rPr>
                <w:rFonts w:hint="eastAsia" w:eastAsia="宋体" w:cs="Times New Roman"/>
                <w:snapToGrid/>
                <w:color w:val="auto"/>
                <w:kern w:val="2"/>
                <w:sz w:val="24"/>
                <w:szCs w:val="24"/>
                <w:highlight w:val="none"/>
                <w:lang w:val="en-US" w:eastAsia="zh-CN" w:bidi="ar-SA"/>
              </w:rPr>
              <w:t>12</w:t>
            </w:r>
            <w:r>
              <w:rPr>
                <w:rFonts w:hint="eastAsia" w:ascii="Times New Roman" w:hAnsi="Times New Roman" w:eastAsia="宋体" w:cs="Times New Roman"/>
                <w:snapToGrid/>
                <w:color w:val="auto"/>
                <w:kern w:val="2"/>
                <w:sz w:val="24"/>
                <w:szCs w:val="24"/>
                <w:highlight w:val="none"/>
                <w:lang w:val="en-US" w:eastAsia="zh-CN" w:bidi="ar-SA"/>
              </w:rPr>
              <w:t>日委托福建华远检测有限公司对企业现有工程验收期间的生活污水排放口进行监测，根据检测报告（报告编号：HYJC2</w:t>
            </w:r>
            <w:r>
              <w:rPr>
                <w:rFonts w:hint="eastAsia" w:eastAsia="宋体" w:cs="Times New Roman"/>
                <w:snapToGrid/>
                <w:color w:val="auto"/>
                <w:kern w:val="2"/>
                <w:sz w:val="24"/>
                <w:szCs w:val="24"/>
                <w:highlight w:val="none"/>
                <w:lang w:val="en-US" w:eastAsia="zh-CN" w:bidi="ar-SA"/>
              </w:rPr>
              <w:t>5</w:t>
            </w:r>
            <w:r>
              <w:rPr>
                <w:rFonts w:hint="eastAsia" w:ascii="Times New Roman" w:hAnsi="Times New Roman" w:eastAsia="宋体" w:cs="Times New Roman"/>
                <w:snapToGrid/>
                <w:color w:val="auto"/>
                <w:kern w:val="2"/>
                <w:sz w:val="24"/>
                <w:szCs w:val="24"/>
                <w:highlight w:val="none"/>
                <w:lang w:val="en-US" w:eastAsia="zh-CN" w:bidi="ar-SA"/>
              </w:rPr>
              <w:t>0609001，具体详见附件9）结果平均值统计可知，</w:t>
            </w:r>
            <w:r>
              <w:rPr>
                <w:rFonts w:hint="eastAsia" w:ascii="Times New Roman" w:hAnsi="Times New Roman" w:cs="Times New Roman"/>
                <w:color w:val="auto"/>
                <w:highlight w:val="none"/>
                <w:lang w:val="en-US" w:eastAsia="zh-CN"/>
              </w:rPr>
              <w:t>现有工程生活污水排放情况详</w:t>
            </w:r>
            <w:r>
              <w:rPr>
                <w:rFonts w:hint="default" w:ascii="Times New Roman" w:hAnsi="Times New Roman" w:cs="Times New Roman"/>
                <w:color w:val="auto"/>
                <w:highlight w:val="none"/>
                <w:lang w:eastAsia="zh-CN"/>
              </w:rPr>
              <w:t>见表</w:t>
            </w:r>
            <w:r>
              <w:rPr>
                <w:rFonts w:hint="eastAsia" w:ascii="Times New Roman" w:hAnsi="Times New Roman" w:eastAsia="宋体" w:cs="Times New Roman"/>
                <w:color w:val="auto"/>
                <w:kern w:val="2"/>
                <w:sz w:val="24"/>
                <w:szCs w:val="24"/>
                <w:highlight w:val="none"/>
                <w:lang w:val="en-US" w:eastAsia="zh-CN" w:bidi="ar-SA"/>
              </w:rPr>
              <w:t>2.</w:t>
            </w:r>
            <w:r>
              <w:rPr>
                <w:rFonts w:hint="eastAsia" w:eastAsia="宋体" w:cs="Times New Roman"/>
                <w:color w:val="auto"/>
                <w:kern w:val="2"/>
                <w:sz w:val="24"/>
                <w:szCs w:val="24"/>
                <w:highlight w:val="none"/>
                <w:lang w:val="en-US" w:eastAsia="zh-CN" w:bidi="ar-SA"/>
              </w:rPr>
              <w:t>8</w:t>
            </w:r>
            <w:r>
              <w:rPr>
                <w:rFonts w:hint="eastAsia" w:ascii="Times New Roman" w:hAnsi="Times New Roman" w:eastAsia="宋体" w:cs="Times New Roman"/>
                <w:color w:val="auto"/>
                <w:kern w:val="2"/>
                <w:sz w:val="24"/>
                <w:szCs w:val="24"/>
                <w:highlight w:val="none"/>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w:t>
            </w:r>
          </w:p>
          <w:p w14:paraId="7EE2BDFD">
            <w:pPr>
              <w:pStyle w:val="42"/>
              <w:tabs>
                <w:tab w:val="left" w:pos="0"/>
                <w:tab w:val="clear" w:pos="420"/>
              </w:tabs>
              <w:bidi w:val="0"/>
              <w:rPr>
                <w:rFonts w:hint="eastAsia"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生活污水</w:t>
            </w:r>
            <w:r>
              <w:rPr>
                <w:rFonts w:hint="eastAsia" w:ascii="Times New Roman" w:hAnsi="Times New Roman" w:eastAsia="宋体" w:cs="Times New Roman"/>
                <w:color w:val="auto"/>
                <w:highlight w:val="none"/>
                <w:u w:val="none" w:color="auto"/>
                <w:lang w:val="en-US" w:eastAsia="zh-CN"/>
              </w:rPr>
              <w:t>检测结果一览表</w:t>
            </w:r>
          </w:p>
          <w:tbl>
            <w:tblPr>
              <w:tblStyle w:val="33"/>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6"/>
              <w:gridCol w:w="487"/>
              <w:gridCol w:w="848"/>
              <w:gridCol w:w="1254"/>
              <w:gridCol w:w="869"/>
              <w:gridCol w:w="942"/>
              <w:gridCol w:w="908"/>
              <w:gridCol w:w="914"/>
              <w:gridCol w:w="2106"/>
            </w:tblGrid>
            <w:tr w14:paraId="4C1835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6" w:type="pct"/>
                  <w:vMerge w:val="restart"/>
                  <w:tcBorders>
                    <w:tl2br w:val="nil"/>
                    <w:tr2bl w:val="nil"/>
                  </w:tcBorders>
                  <w:noWrap w:val="0"/>
                  <w:vAlign w:val="center"/>
                </w:tcPr>
                <w:p w14:paraId="788D73F9">
                  <w:pPr>
                    <w:pStyle w:val="19"/>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项目</w:t>
                  </w:r>
                </w:p>
              </w:tc>
              <w:tc>
                <w:tcPr>
                  <w:tcW w:w="276" w:type="pct"/>
                  <w:vMerge w:val="restart"/>
                  <w:tcBorders>
                    <w:tl2br w:val="nil"/>
                    <w:tr2bl w:val="nil"/>
                  </w:tcBorders>
                  <w:noWrap w:val="0"/>
                  <w:vAlign w:val="center"/>
                </w:tcPr>
                <w:p w14:paraId="202D34DB">
                  <w:pPr>
                    <w:pStyle w:val="19"/>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类别</w:t>
                  </w:r>
                </w:p>
              </w:tc>
              <w:tc>
                <w:tcPr>
                  <w:tcW w:w="481" w:type="pct"/>
                  <w:vMerge w:val="restart"/>
                  <w:tcBorders>
                    <w:tl2br w:val="nil"/>
                    <w:tr2bl w:val="nil"/>
                  </w:tcBorders>
                  <w:noWrap w:val="0"/>
                  <w:vAlign w:val="center"/>
                </w:tcPr>
                <w:p w14:paraId="0CD9F356">
                  <w:pPr>
                    <w:pStyle w:val="19"/>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废水量</w:t>
                  </w:r>
                </w:p>
              </w:tc>
              <w:tc>
                <w:tcPr>
                  <w:tcW w:w="709" w:type="pct"/>
                  <w:vMerge w:val="restart"/>
                  <w:tcBorders>
                    <w:tl2br w:val="nil"/>
                    <w:tr2bl w:val="nil"/>
                  </w:tcBorders>
                  <w:noWrap w:val="0"/>
                  <w:vAlign w:val="center"/>
                </w:tcPr>
                <w:p w14:paraId="49426B89">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单位</w:t>
                  </w:r>
                </w:p>
              </w:tc>
              <w:tc>
                <w:tcPr>
                  <w:tcW w:w="2060" w:type="pct"/>
                  <w:gridSpan w:val="4"/>
                  <w:tcBorders>
                    <w:tl2br w:val="nil"/>
                    <w:tr2bl w:val="nil"/>
                  </w:tcBorders>
                  <w:noWrap w:val="0"/>
                  <w:vAlign w:val="center"/>
                </w:tcPr>
                <w:p w14:paraId="18EC25B7">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主要污染物</w:t>
                  </w:r>
                </w:p>
              </w:tc>
              <w:tc>
                <w:tcPr>
                  <w:tcW w:w="1194" w:type="pct"/>
                  <w:vMerge w:val="restart"/>
                  <w:tcBorders>
                    <w:tl2br w:val="nil"/>
                    <w:tr2bl w:val="nil"/>
                  </w:tcBorders>
                  <w:noWrap w:val="0"/>
                  <w:vAlign w:val="center"/>
                </w:tcPr>
                <w:p w14:paraId="33CA5401">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废水去向</w:t>
                  </w:r>
                </w:p>
              </w:tc>
            </w:tr>
            <w:tr w14:paraId="367C5F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6" w:type="pct"/>
                  <w:vMerge w:val="continue"/>
                  <w:tcBorders>
                    <w:tl2br w:val="nil"/>
                    <w:tr2bl w:val="nil"/>
                  </w:tcBorders>
                  <w:noWrap w:val="0"/>
                  <w:vAlign w:val="center"/>
                </w:tcPr>
                <w:p w14:paraId="38070A17">
                  <w:pPr>
                    <w:pStyle w:val="19"/>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center"/>
                    <w:textAlignment w:val="auto"/>
                    <w:rPr>
                      <w:rFonts w:hint="eastAsia"/>
                      <w:color w:val="auto"/>
                      <w:sz w:val="21"/>
                      <w:szCs w:val="21"/>
                      <w:highlight w:val="none"/>
                      <w:vertAlign w:val="baseline"/>
                      <w:lang w:val="en-US" w:eastAsia="zh-CN"/>
                    </w:rPr>
                  </w:pPr>
                </w:p>
              </w:tc>
              <w:tc>
                <w:tcPr>
                  <w:tcW w:w="276" w:type="pct"/>
                  <w:vMerge w:val="continue"/>
                  <w:tcBorders>
                    <w:tl2br w:val="nil"/>
                    <w:tr2bl w:val="nil"/>
                  </w:tcBorders>
                  <w:noWrap w:val="0"/>
                  <w:vAlign w:val="center"/>
                </w:tcPr>
                <w:p w14:paraId="35E1AE37">
                  <w:pPr>
                    <w:pStyle w:val="19"/>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center"/>
                    <w:textAlignment w:val="auto"/>
                    <w:rPr>
                      <w:rFonts w:hint="eastAsia"/>
                      <w:color w:val="auto"/>
                      <w:sz w:val="21"/>
                      <w:szCs w:val="21"/>
                      <w:highlight w:val="none"/>
                      <w:vertAlign w:val="baseline"/>
                      <w:lang w:val="en-US" w:eastAsia="zh-CN"/>
                    </w:rPr>
                  </w:pPr>
                </w:p>
              </w:tc>
              <w:tc>
                <w:tcPr>
                  <w:tcW w:w="481" w:type="pct"/>
                  <w:vMerge w:val="continue"/>
                  <w:tcBorders>
                    <w:tl2br w:val="nil"/>
                    <w:tr2bl w:val="nil"/>
                  </w:tcBorders>
                  <w:noWrap w:val="0"/>
                  <w:vAlign w:val="center"/>
                </w:tcPr>
                <w:p w14:paraId="24022144">
                  <w:pPr>
                    <w:pStyle w:val="19"/>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center"/>
                    <w:textAlignment w:val="auto"/>
                    <w:rPr>
                      <w:rFonts w:hint="eastAsia"/>
                      <w:color w:val="auto"/>
                      <w:sz w:val="21"/>
                      <w:szCs w:val="21"/>
                      <w:highlight w:val="none"/>
                      <w:vertAlign w:val="baseline"/>
                      <w:lang w:val="en-US" w:eastAsia="zh-CN"/>
                    </w:rPr>
                  </w:pPr>
                </w:p>
              </w:tc>
              <w:tc>
                <w:tcPr>
                  <w:tcW w:w="709" w:type="pct"/>
                  <w:vMerge w:val="continue"/>
                  <w:tcBorders>
                    <w:tl2br w:val="nil"/>
                    <w:tr2bl w:val="nil"/>
                  </w:tcBorders>
                  <w:noWrap w:val="0"/>
                  <w:vAlign w:val="center"/>
                </w:tcPr>
                <w:p w14:paraId="0FC7A4E9">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color w:val="auto"/>
                      <w:sz w:val="21"/>
                      <w:szCs w:val="21"/>
                      <w:highlight w:val="none"/>
                      <w:vertAlign w:val="baseline"/>
                      <w:lang w:val="en-US" w:eastAsia="zh-CN"/>
                    </w:rPr>
                  </w:pPr>
                </w:p>
              </w:tc>
              <w:tc>
                <w:tcPr>
                  <w:tcW w:w="493" w:type="pct"/>
                  <w:tcBorders>
                    <w:tl2br w:val="nil"/>
                    <w:tr2bl w:val="nil"/>
                  </w:tcBorders>
                  <w:noWrap w:val="0"/>
                  <w:vAlign w:val="center"/>
                </w:tcPr>
                <w:p w14:paraId="1AC59AA9">
                  <w:pPr>
                    <w:pStyle w:val="19"/>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pH</w:t>
                  </w:r>
                </w:p>
              </w:tc>
              <w:tc>
                <w:tcPr>
                  <w:tcW w:w="534" w:type="pct"/>
                  <w:tcBorders>
                    <w:tl2br w:val="nil"/>
                    <w:tr2bl w:val="nil"/>
                  </w:tcBorders>
                  <w:noWrap w:val="0"/>
                  <w:vAlign w:val="center"/>
                </w:tcPr>
                <w:p w14:paraId="67D4B3B2">
                  <w:pPr>
                    <w:pStyle w:val="19"/>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center"/>
                    <w:textAlignment w:val="auto"/>
                    <w:rPr>
                      <w:rFonts w:hint="eastAsia"/>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COD</w:t>
                  </w:r>
                </w:p>
              </w:tc>
              <w:tc>
                <w:tcPr>
                  <w:tcW w:w="515" w:type="pct"/>
                  <w:tcBorders>
                    <w:tl2br w:val="nil"/>
                    <w:tr2bl w:val="nil"/>
                  </w:tcBorders>
                  <w:noWrap w:val="0"/>
                  <w:vAlign w:val="center"/>
                </w:tcPr>
                <w:p w14:paraId="3FD5B858">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BOD</w:t>
                  </w:r>
                  <w:r>
                    <w:rPr>
                      <w:rFonts w:hint="default" w:ascii="Times New Roman" w:hAnsi="Times New Roman" w:eastAsia="宋体" w:cs="Times New Roman"/>
                      <w:b w:val="0"/>
                      <w:bCs w:val="0"/>
                      <w:color w:val="auto"/>
                      <w:sz w:val="21"/>
                      <w:szCs w:val="21"/>
                      <w:highlight w:val="none"/>
                      <w:vertAlign w:val="subscript"/>
                      <w:lang w:val="en-US" w:eastAsia="zh-CN"/>
                    </w:rPr>
                    <w:t>5</w:t>
                  </w:r>
                </w:p>
              </w:tc>
              <w:tc>
                <w:tcPr>
                  <w:tcW w:w="516" w:type="pct"/>
                  <w:tcBorders>
                    <w:tl2br w:val="nil"/>
                    <w:tr2bl w:val="nil"/>
                  </w:tcBorders>
                  <w:noWrap w:val="0"/>
                  <w:vAlign w:val="center"/>
                </w:tcPr>
                <w:p w14:paraId="4F49DA80">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lang w:val="en-US" w:eastAsia="zh-CN"/>
                    </w:rPr>
                    <w:t>SS</w:t>
                  </w:r>
                </w:p>
              </w:tc>
              <w:tc>
                <w:tcPr>
                  <w:tcW w:w="1194" w:type="pct"/>
                  <w:vMerge w:val="continue"/>
                  <w:tcBorders>
                    <w:tl2br w:val="nil"/>
                    <w:tr2bl w:val="nil"/>
                  </w:tcBorders>
                  <w:noWrap w:val="0"/>
                  <w:vAlign w:val="center"/>
                </w:tcPr>
                <w:p w14:paraId="7BFC03F4">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color w:val="auto"/>
                      <w:sz w:val="21"/>
                      <w:szCs w:val="21"/>
                      <w:highlight w:val="none"/>
                      <w:vertAlign w:val="baseline"/>
                      <w:lang w:val="en-US" w:eastAsia="zh-CN"/>
                    </w:rPr>
                  </w:pPr>
                </w:p>
              </w:tc>
            </w:tr>
            <w:tr w14:paraId="5721D1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276" w:type="pct"/>
                  <w:vMerge w:val="restart"/>
                  <w:tcBorders>
                    <w:tl2br w:val="nil"/>
                    <w:tr2bl w:val="nil"/>
                  </w:tcBorders>
                  <w:noWrap w:val="0"/>
                  <w:vAlign w:val="center"/>
                </w:tcPr>
                <w:p w14:paraId="3B97C4A2">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生活污水</w:t>
                  </w:r>
                </w:p>
              </w:tc>
              <w:tc>
                <w:tcPr>
                  <w:tcW w:w="276" w:type="pct"/>
                  <w:vMerge w:val="restart"/>
                  <w:tcBorders>
                    <w:tl2br w:val="nil"/>
                    <w:tr2bl w:val="nil"/>
                  </w:tcBorders>
                  <w:noWrap w:val="0"/>
                  <w:vAlign w:val="center"/>
                </w:tcPr>
                <w:p w14:paraId="4BB47C1D">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化粪池处理</w:t>
                  </w:r>
                </w:p>
              </w:tc>
              <w:tc>
                <w:tcPr>
                  <w:tcW w:w="481" w:type="pct"/>
                  <w:vMerge w:val="restart"/>
                  <w:tcBorders>
                    <w:tl2br w:val="nil"/>
                    <w:tr2bl w:val="nil"/>
                  </w:tcBorders>
                  <w:noWrap w:val="0"/>
                  <w:vAlign w:val="center"/>
                </w:tcPr>
                <w:p w14:paraId="191E0604">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300t/a</w:t>
                  </w:r>
                </w:p>
              </w:tc>
              <w:tc>
                <w:tcPr>
                  <w:tcW w:w="709" w:type="pct"/>
                  <w:tcBorders>
                    <w:tl2br w:val="nil"/>
                    <w:tr2bl w:val="nil"/>
                  </w:tcBorders>
                  <w:noWrap w:val="0"/>
                  <w:vAlign w:val="center"/>
                </w:tcPr>
                <w:p w14:paraId="118B6374">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lang w:val="en-US" w:eastAsia="zh-CN"/>
                    </w:rPr>
                    <w:t>浓度（mg/L）</w:t>
                  </w:r>
                </w:p>
              </w:tc>
              <w:tc>
                <w:tcPr>
                  <w:tcW w:w="493" w:type="pct"/>
                  <w:tcBorders>
                    <w:tl2br w:val="nil"/>
                    <w:tr2bl w:val="nil"/>
                  </w:tcBorders>
                  <w:noWrap w:val="0"/>
                  <w:vAlign w:val="center"/>
                </w:tcPr>
                <w:p w14:paraId="037BC8EA">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lang w:val="en-US" w:eastAsia="zh-CN"/>
                    </w:rPr>
                    <w:t>7.2(无量纲</w:t>
                  </w:r>
                </w:p>
              </w:tc>
              <w:tc>
                <w:tcPr>
                  <w:tcW w:w="534" w:type="pct"/>
                  <w:tcBorders>
                    <w:tl2br w:val="nil"/>
                    <w:tr2bl w:val="nil"/>
                  </w:tcBorders>
                  <w:noWrap w:val="0"/>
                  <w:vAlign w:val="center"/>
                </w:tcPr>
                <w:p w14:paraId="3453332F">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147.5</w:t>
                  </w:r>
                </w:p>
              </w:tc>
              <w:tc>
                <w:tcPr>
                  <w:tcW w:w="515" w:type="pct"/>
                  <w:tcBorders>
                    <w:tl2br w:val="nil"/>
                    <w:tr2bl w:val="nil"/>
                  </w:tcBorders>
                  <w:noWrap w:val="0"/>
                  <w:vAlign w:val="center"/>
                </w:tcPr>
                <w:p w14:paraId="62FB423D">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55.2</w:t>
                  </w:r>
                </w:p>
              </w:tc>
              <w:tc>
                <w:tcPr>
                  <w:tcW w:w="516" w:type="pct"/>
                  <w:tcBorders>
                    <w:tl2br w:val="nil"/>
                    <w:tr2bl w:val="nil"/>
                  </w:tcBorders>
                  <w:noWrap w:val="0"/>
                  <w:vAlign w:val="center"/>
                </w:tcPr>
                <w:p w14:paraId="0C3BC5B0">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51</w:t>
                  </w:r>
                </w:p>
              </w:tc>
              <w:tc>
                <w:tcPr>
                  <w:tcW w:w="1194" w:type="pct"/>
                  <w:vMerge w:val="restart"/>
                  <w:tcBorders>
                    <w:tl2br w:val="nil"/>
                    <w:tr2bl w:val="nil"/>
                  </w:tcBorders>
                  <w:noWrap w:val="0"/>
                  <w:vAlign w:val="center"/>
                </w:tcPr>
                <w:p w14:paraId="07B0518F">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color w:val="auto"/>
                      <w:sz w:val="21"/>
                      <w:szCs w:val="21"/>
                      <w:highlight w:val="none"/>
                      <w:vertAlign w:val="baseline"/>
                      <w:lang w:val="en-US" w:eastAsia="zh-CN"/>
                    </w:rPr>
                  </w:pPr>
                  <w:r>
                    <w:rPr>
                      <w:rFonts w:hint="default"/>
                      <w:color w:val="auto"/>
                      <w:sz w:val="21"/>
                      <w:szCs w:val="21"/>
                      <w:highlight w:val="none"/>
                      <w:vertAlign w:val="baseline"/>
                      <w:lang w:val="en-US" w:eastAsia="zh-CN"/>
                    </w:rPr>
                    <w:t>达到《农田灌溉水质标准》（GB5084-2021）后用于周边农田灌溉，不外排</w:t>
                  </w:r>
                </w:p>
              </w:tc>
            </w:tr>
            <w:tr w14:paraId="0F2254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6" w:type="pct"/>
                  <w:vMerge w:val="continue"/>
                  <w:tcBorders>
                    <w:tl2br w:val="nil"/>
                    <w:tr2bl w:val="nil"/>
                  </w:tcBorders>
                  <w:noWrap w:val="0"/>
                  <w:vAlign w:val="center"/>
                </w:tcPr>
                <w:p w14:paraId="2F590F4C">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color w:val="auto"/>
                      <w:sz w:val="21"/>
                      <w:szCs w:val="21"/>
                      <w:highlight w:val="none"/>
                      <w:vertAlign w:val="baseline"/>
                      <w:lang w:val="en-US" w:eastAsia="zh-CN"/>
                    </w:rPr>
                  </w:pPr>
                </w:p>
              </w:tc>
              <w:tc>
                <w:tcPr>
                  <w:tcW w:w="276" w:type="pct"/>
                  <w:vMerge w:val="continue"/>
                  <w:tcBorders>
                    <w:tl2br w:val="nil"/>
                    <w:tr2bl w:val="nil"/>
                  </w:tcBorders>
                  <w:noWrap w:val="0"/>
                  <w:vAlign w:val="center"/>
                </w:tcPr>
                <w:p w14:paraId="44C4A11A">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color w:val="auto"/>
                      <w:sz w:val="21"/>
                      <w:szCs w:val="21"/>
                      <w:highlight w:val="none"/>
                      <w:vertAlign w:val="baseline"/>
                      <w:lang w:val="en-US" w:eastAsia="zh-CN"/>
                    </w:rPr>
                  </w:pPr>
                </w:p>
              </w:tc>
              <w:tc>
                <w:tcPr>
                  <w:tcW w:w="481" w:type="pct"/>
                  <w:vMerge w:val="continue"/>
                  <w:tcBorders>
                    <w:tl2br w:val="nil"/>
                    <w:tr2bl w:val="nil"/>
                  </w:tcBorders>
                  <w:noWrap w:val="0"/>
                  <w:vAlign w:val="center"/>
                </w:tcPr>
                <w:p w14:paraId="03742B07">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color w:val="auto"/>
                      <w:sz w:val="21"/>
                      <w:szCs w:val="21"/>
                      <w:highlight w:val="none"/>
                      <w:vertAlign w:val="baseline"/>
                      <w:lang w:val="en-US" w:eastAsia="zh-CN"/>
                    </w:rPr>
                  </w:pPr>
                </w:p>
              </w:tc>
              <w:tc>
                <w:tcPr>
                  <w:tcW w:w="709" w:type="pct"/>
                  <w:tcBorders>
                    <w:tl2br w:val="nil"/>
                    <w:tr2bl w:val="nil"/>
                  </w:tcBorders>
                  <w:noWrap w:val="0"/>
                  <w:vAlign w:val="center"/>
                </w:tcPr>
                <w:p w14:paraId="012A3D7E">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排放</w:t>
                  </w:r>
                  <w:r>
                    <w:rPr>
                      <w:rFonts w:hint="eastAsia" w:ascii="Times New Roman" w:hAnsi="Times New Roman" w:eastAsia="宋体" w:cs="Times New Roman"/>
                      <w:b w:val="0"/>
                      <w:bCs w:val="0"/>
                      <w:color w:val="auto"/>
                      <w:sz w:val="21"/>
                      <w:szCs w:val="21"/>
                      <w:highlight w:val="none"/>
                      <w:lang w:val="en-US" w:eastAsia="zh-CN"/>
                    </w:rPr>
                    <w:t>量（t/a）</w:t>
                  </w:r>
                </w:p>
              </w:tc>
              <w:tc>
                <w:tcPr>
                  <w:tcW w:w="493" w:type="pct"/>
                  <w:tcBorders>
                    <w:tl2br w:val="nil"/>
                    <w:tr2bl w:val="nil"/>
                  </w:tcBorders>
                  <w:noWrap w:val="0"/>
                  <w:vAlign w:val="center"/>
                </w:tcPr>
                <w:p w14:paraId="00E5DCB1">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w:t>
                  </w:r>
                </w:p>
              </w:tc>
              <w:tc>
                <w:tcPr>
                  <w:tcW w:w="534" w:type="pct"/>
                  <w:tcBorders>
                    <w:tl2br w:val="nil"/>
                    <w:tr2bl w:val="nil"/>
                  </w:tcBorders>
                  <w:noWrap w:val="0"/>
                  <w:vAlign w:val="center"/>
                </w:tcPr>
                <w:p w14:paraId="23CC2638">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0.04425</w:t>
                  </w:r>
                </w:p>
              </w:tc>
              <w:tc>
                <w:tcPr>
                  <w:tcW w:w="515" w:type="pct"/>
                  <w:tcBorders>
                    <w:tl2br w:val="nil"/>
                    <w:tr2bl w:val="nil"/>
                  </w:tcBorders>
                  <w:noWrap w:val="0"/>
                  <w:vAlign w:val="center"/>
                </w:tcPr>
                <w:p w14:paraId="5F115E21">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0.01656</w:t>
                  </w:r>
                </w:p>
              </w:tc>
              <w:tc>
                <w:tcPr>
                  <w:tcW w:w="516" w:type="pct"/>
                  <w:tcBorders>
                    <w:tl2br w:val="nil"/>
                    <w:tr2bl w:val="nil"/>
                  </w:tcBorders>
                  <w:noWrap w:val="0"/>
                  <w:vAlign w:val="center"/>
                </w:tcPr>
                <w:p w14:paraId="2C21D2E6">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0.0153</w:t>
                  </w:r>
                </w:p>
              </w:tc>
              <w:tc>
                <w:tcPr>
                  <w:tcW w:w="1194" w:type="pct"/>
                  <w:vMerge w:val="continue"/>
                  <w:tcBorders>
                    <w:tl2br w:val="nil"/>
                    <w:tr2bl w:val="nil"/>
                  </w:tcBorders>
                  <w:noWrap w:val="0"/>
                  <w:vAlign w:val="center"/>
                </w:tcPr>
                <w:p w14:paraId="5C4204A0">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color w:val="auto"/>
                      <w:sz w:val="21"/>
                      <w:szCs w:val="21"/>
                      <w:highlight w:val="none"/>
                      <w:vertAlign w:val="baseline"/>
                      <w:lang w:val="en-US" w:eastAsia="zh-CN"/>
                    </w:rPr>
                  </w:pPr>
                </w:p>
              </w:tc>
            </w:tr>
            <w:tr w14:paraId="493BB2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744" w:type="pct"/>
                  <w:gridSpan w:val="4"/>
                  <w:tcBorders>
                    <w:tl2br w:val="nil"/>
                    <w:tr2bl w:val="nil"/>
                  </w:tcBorders>
                  <w:noWrap w:val="0"/>
                  <w:vAlign w:val="center"/>
                </w:tcPr>
                <w:p w14:paraId="7EEFE4E1">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排放标准限值</w:t>
                  </w:r>
                </w:p>
              </w:tc>
              <w:tc>
                <w:tcPr>
                  <w:tcW w:w="493" w:type="pct"/>
                  <w:tcBorders>
                    <w:tl2br w:val="nil"/>
                    <w:tr2bl w:val="nil"/>
                  </w:tcBorders>
                  <w:noWrap w:val="0"/>
                  <w:vAlign w:val="center"/>
                </w:tcPr>
                <w:p w14:paraId="2D462196">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color w:val="auto"/>
                      <w:sz w:val="21"/>
                      <w:szCs w:val="21"/>
                      <w:highlight w:val="none"/>
                      <w:vertAlign w:val="baseline"/>
                      <w:lang w:val="en-US" w:eastAsia="zh-CN"/>
                    </w:rPr>
                  </w:pPr>
                  <w:r>
                    <w:rPr>
                      <w:rFonts w:hint="default"/>
                      <w:color w:val="auto"/>
                      <w:sz w:val="21"/>
                      <w:szCs w:val="21"/>
                      <w:highlight w:val="none"/>
                      <w:vertAlign w:val="baseline"/>
                      <w:lang w:val="en-US" w:eastAsia="zh-CN"/>
                    </w:rPr>
                    <w:t>5.5-8.5</w:t>
                  </w:r>
                </w:p>
              </w:tc>
              <w:tc>
                <w:tcPr>
                  <w:tcW w:w="534" w:type="pct"/>
                  <w:tcBorders>
                    <w:tl2br w:val="nil"/>
                    <w:tr2bl w:val="nil"/>
                  </w:tcBorders>
                  <w:noWrap w:val="0"/>
                  <w:vAlign w:val="center"/>
                </w:tcPr>
                <w:p w14:paraId="79E29454">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color w:val="auto"/>
                      <w:sz w:val="21"/>
                      <w:szCs w:val="21"/>
                      <w:highlight w:val="none"/>
                      <w:vertAlign w:val="baseline"/>
                      <w:lang w:val="en-US" w:eastAsia="zh-CN"/>
                    </w:rPr>
                  </w:pPr>
                  <w:r>
                    <w:rPr>
                      <w:rFonts w:hint="default"/>
                      <w:color w:val="auto"/>
                      <w:sz w:val="21"/>
                      <w:szCs w:val="21"/>
                      <w:highlight w:val="none"/>
                      <w:vertAlign w:val="baseline"/>
                      <w:lang w:val="en-US" w:eastAsia="zh-CN"/>
                    </w:rPr>
                    <w:t>200</w:t>
                  </w:r>
                </w:p>
              </w:tc>
              <w:tc>
                <w:tcPr>
                  <w:tcW w:w="515" w:type="pct"/>
                  <w:tcBorders>
                    <w:tl2br w:val="nil"/>
                    <w:tr2bl w:val="nil"/>
                  </w:tcBorders>
                  <w:noWrap w:val="0"/>
                  <w:vAlign w:val="center"/>
                </w:tcPr>
                <w:p w14:paraId="6CF23C71">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100</w:t>
                  </w:r>
                </w:p>
              </w:tc>
              <w:tc>
                <w:tcPr>
                  <w:tcW w:w="516" w:type="pct"/>
                  <w:tcBorders>
                    <w:tl2br w:val="nil"/>
                    <w:tr2bl w:val="nil"/>
                  </w:tcBorders>
                  <w:noWrap w:val="0"/>
                  <w:vAlign w:val="center"/>
                </w:tcPr>
                <w:p w14:paraId="688D11F8">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100</w:t>
                  </w:r>
                </w:p>
              </w:tc>
              <w:tc>
                <w:tcPr>
                  <w:tcW w:w="1194" w:type="pct"/>
                  <w:vMerge w:val="continue"/>
                  <w:tcBorders>
                    <w:tl2br w:val="nil"/>
                    <w:tr2bl w:val="nil"/>
                  </w:tcBorders>
                  <w:noWrap w:val="0"/>
                  <w:vAlign w:val="center"/>
                </w:tcPr>
                <w:p w14:paraId="4B485E03">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color w:val="auto"/>
                      <w:sz w:val="21"/>
                      <w:szCs w:val="21"/>
                      <w:highlight w:val="none"/>
                      <w:vertAlign w:val="baseline"/>
                      <w:lang w:val="en-US" w:eastAsia="zh-CN"/>
                    </w:rPr>
                  </w:pPr>
                </w:p>
              </w:tc>
            </w:tr>
            <w:tr w14:paraId="0471B7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744" w:type="pct"/>
                  <w:gridSpan w:val="4"/>
                  <w:tcBorders>
                    <w:tl2br w:val="nil"/>
                    <w:tr2bl w:val="nil"/>
                  </w:tcBorders>
                  <w:noWrap w:val="0"/>
                  <w:vAlign w:val="center"/>
                </w:tcPr>
                <w:p w14:paraId="48DD5201">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达标</w:t>
                  </w:r>
                </w:p>
              </w:tc>
              <w:tc>
                <w:tcPr>
                  <w:tcW w:w="493" w:type="pct"/>
                  <w:tcBorders>
                    <w:tl2br w:val="nil"/>
                    <w:tr2bl w:val="nil"/>
                  </w:tcBorders>
                  <w:noWrap w:val="0"/>
                  <w:vAlign w:val="center"/>
                </w:tcPr>
                <w:p w14:paraId="75825D16">
                  <w:pPr>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达标</w:t>
                  </w:r>
                </w:p>
              </w:tc>
              <w:tc>
                <w:tcPr>
                  <w:tcW w:w="534" w:type="pct"/>
                  <w:tcBorders>
                    <w:tl2br w:val="nil"/>
                    <w:tr2bl w:val="nil"/>
                  </w:tcBorders>
                  <w:noWrap w:val="0"/>
                  <w:vAlign w:val="center"/>
                </w:tcPr>
                <w:p w14:paraId="787A6184">
                  <w:pPr>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达标</w:t>
                  </w:r>
                </w:p>
              </w:tc>
              <w:tc>
                <w:tcPr>
                  <w:tcW w:w="515" w:type="pct"/>
                  <w:tcBorders>
                    <w:tl2br w:val="nil"/>
                    <w:tr2bl w:val="nil"/>
                  </w:tcBorders>
                  <w:noWrap w:val="0"/>
                  <w:vAlign w:val="center"/>
                </w:tcPr>
                <w:p w14:paraId="1B86C6D1">
                  <w:pPr>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达标</w:t>
                  </w:r>
                </w:p>
              </w:tc>
              <w:tc>
                <w:tcPr>
                  <w:tcW w:w="516" w:type="pct"/>
                  <w:tcBorders>
                    <w:tl2br w:val="nil"/>
                    <w:tr2bl w:val="nil"/>
                  </w:tcBorders>
                  <w:noWrap w:val="0"/>
                  <w:vAlign w:val="center"/>
                </w:tcPr>
                <w:p w14:paraId="61BABC8F">
                  <w:pPr>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达标</w:t>
                  </w:r>
                </w:p>
              </w:tc>
              <w:tc>
                <w:tcPr>
                  <w:tcW w:w="1194" w:type="pct"/>
                  <w:vMerge w:val="continue"/>
                  <w:tcBorders>
                    <w:tl2br w:val="nil"/>
                    <w:tr2bl w:val="nil"/>
                  </w:tcBorders>
                  <w:noWrap w:val="0"/>
                  <w:vAlign w:val="center"/>
                </w:tcPr>
                <w:p w14:paraId="4178D0F8">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color w:val="auto"/>
                      <w:sz w:val="21"/>
                      <w:szCs w:val="21"/>
                      <w:highlight w:val="none"/>
                      <w:vertAlign w:val="baseline"/>
                      <w:lang w:val="en-US" w:eastAsia="zh-CN"/>
                    </w:rPr>
                  </w:pPr>
                </w:p>
              </w:tc>
            </w:tr>
          </w:tbl>
          <w:p w14:paraId="41680190">
            <w:pPr>
              <w:pStyle w:val="88"/>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根据上表所列数据，本项目生活污水主要污染物排放浓度符合</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《农田灌溉水质标准》（GB5084-2021）。</w:t>
            </w:r>
          </w:p>
          <w:p w14:paraId="413B5886">
            <w:pPr>
              <w:pStyle w:val="151"/>
              <w:ind w:firstLine="560"/>
              <w:rPr>
                <w:rFonts w:hint="default" w:ascii="Times New Roman" w:hAnsi="Times New Roman" w:eastAsia="宋体" w:cs="Times New Roman"/>
                <w:snapToGrid/>
                <w:color w:val="auto"/>
                <w:kern w:val="2"/>
                <w:sz w:val="24"/>
                <w:szCs w:val="24"/>
                <w:highlight w:val="none"/>
                <w:lang w:val="en-US" w:eastAsia="zh-CN" w:bidi="ar-SA"/>
              </w:rPr>
            </w:pPr>
            <w:r>
              <w:rPr>
                <w:rFonts w:hint="eastAsia" w:ascii="Times New Roman" w:hAnsi="Times New Roman" w:eastAsia="宋体" w:cs="Times New Roman"/>
                <w:snapToGrid/>
                <w:color w:val="auto"/>
                <w:kern w:val="2"/>
                <w:sz w:val="24"/>
                <w:szCs w:val="24"/>
                <w:highlight w:val="none"/>
                <w:lang w:val="en-US" w:eastAsia="zh-CN" w:bidi="ar-SA"/>
              </w:rPr>
              <w:t>（2）废气</w:t>
            </w:r>
          </w:p>
          <w:p w14:paraId="4108897E">
            <w:pPr>
              <w:pStyle w:val="43"/>
              <w:ind w:firstLine="480"/>
              <w:rPr>
                <w:color w:val="000000"/>
              </w:rPr>
            </w:pPr>
            <w:r>
              <w:rPr>
                <w:rFonts w:hint="eastAsia"/>
                <w:color w:val="000000"/>
                <w:lang w:val="en-US" w:eastAsia="zh-CN"/>
              </w:rPr>
              <w:t>现有工程</w:t>
            </w:r>
            <w:r>
              <w:rPr>
                <w:rFonts w:hint="eastAsia"/>
                <w:color w:val="000000"/>
              </w:rPr>
              <w:t>生产过程产生的废气主要为颗粒物和燃气废气。</w:t>
            </w:r>
          </w:p>
          <w:p w14:paraId="1485A378">
            <w:pPr>
              <w:pStyle w:val="88"/>
              <w:ind w:firstLine="480"/>
              <w:rPr>
                <w:rFonts w:hint="default" w:ascii="Times New Roman" w:hAnsi="Times New Roman" w:eastAsia="宋体" w:cs="Times New Roman"/>
                <w:color w:val="auto"/>
                <w:kern w:val="2"/>
                <w:sz w:val="24"/>
                <w:szCs w:val="24"/>
                <w:highlight w:val="none"/>
                <w:lang w:val="en-US" w:eastAsia="zh-CN" w:bidi="ar-SA"/>
              </w:rPr>
            </w:pPr>
            <w:r>
              <w:rPr>
                <w:rFonts w:hint="eastAsia"/>
                <w:color w:val="000000"/>
                <w:lang w:val="en-US" w:eastAsia="zh-CN"/>
              </w:rPr>
              <w:t>现有工程</w:t>
            </w:r>
            <w:r>
              <w:rPr>
                <w:rFonts w:hint="eastAsia"/>
                <w:color w:val="000000"/>
              </w:rPr>
              <w:t>蒸养燃气废气收集后由1个</w:t>
            </w:r>
            <w:r>
              <w:rPr>
                <w:rFonts w:hint="eastAsia"/>
                <w:color w:val="000000"/>
                <w:lang w:val="en-US" w:eastAsia="zh-CN"/>
              </w:rPr>
              <w:t>15</w:t>
            </w:r>
            <w:r>
              <w:rPr>
                <w:rFonts w:hint="eastAsia"/>
                <w:color w:val="000000"/>
              </w:rPr>
              <w:t>m高的DA002排气筒排放；项目料仓顶、进料搅拌系统均采用湿式除尘，粉尘经处理后无组织排放。项目废气料仓顶、进料搅拌系统应设置除尘设施，废气排放应符合《水泥工业大气污染物排放标准》（GB 4915-2013）表3无组织排放浓度限值；破碎和球磨粉尘应收集处理达到《水泥工业大气污染物排放标准》（GB4915-2013）表2中“水泥仓及其他通风生产设备”特别排放限值标准后不低于15米高的排气筒排放；锅炉使用</w:t>
            </w:r>
            <w:r>
              <w:rPr>
                <w:rFonts w:hint="eastAsia"/>
                <w:color w:val="000000"/>
                <w:lang w:val="en-US" w:eastAsia="zh-CN"/>
              </w:rPr>
              <w:t>天然气为燃料</w:t>
            </w:r>
            <w:r>
              <w:rPr>
                <w:rFonts w:hint="eastAsia"/>
                <w:color w:val="000000"/>
              </w:rPr>
              <w:t>，废气应经收集处理达到《锅炉大气污染物排放标准》（GB13271-2014）中表3中的燃气锅炉浓度限值后通过不低于</w:t>
            </w:r>
            <w:r>
              <w:rPr>
                <w:rFonts w:hint="eastAsia"/>
                <w:color w:val="auto"/>
                <w:lang w:val="en-US" w:eastAsia="zh-CN"/>
              </w:rPr>
              <w:t>8</w:t>
            </w:r>
            <w:r>
              <w:rPr>
                <w:rFonts w:hint="eastAsia"/>
                <w:color w:val="auto"/>
              </w:rPr>
              <w:t>米高的</w:t>
            </w:r>
            <w:r>
              <w:rPr>
                <w:rFonts w:hint="eastAsia"/>
                <w:color w:val="000000"/>
              </w:rPr>
              <w:t>排气筒排放。</w:t>
            </w:r>
          </w:p>
          <w:p w14:paraId="7F405D96">
            <w:pPr>
              <w:pStyle w:val="44"/>
              <w:ind w:firstLine="48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snapToGrid/>
                <w:color w:val="auto"/>
                <w:kern w:val="2"/>
                <w:sz w:val="24"/>
                <w:szCs w:val="24"/>
                <w:highlight w:val="none"/>
                <w:lang w:val="en-US" w:eastAsia="zh-CN" w:bidi="ar-SA"/>
              </w:rPr>
              <w:t>企业于202</w:t>
            </w:r>
            <w:r>
              <w:rPr>
                <w:rFonts w:hint="eastAsia" w:eastAsia="宋体" w:cs="Times New Roman"/>
                <w:snapToGrid/>
                <w:color w:val="auto"/>
                <w:kern w:val="2"/>
                <w:sz w:val="24"/>
                <w:szCs w:val="24"/>
                <w:highlight w:val="none"/>
                <w:lang w:val="en-US" w:eastAsia="zh-CN" w:bidi="ar-SA"/>
              </w:rPr>
              <w:t>5</w:t>
            </w:r>
            <w:r>
              <w:rPr>
                <w:rFonts w:hint="eastAsia" w:ascii="Times New Roman" w:hAnsi="Times New Roman" w:eastAsia="宋体" w:cs="Times New Roman"/>
                <w:snapToGrid/>
                <w:color w:val="auto"/>
                <w:kern w:val="2"/>
                <w:sz w:val="24"/>
                <w:szCs w:val="24"/>
                <w:highlight w:val="none"/>
                <w:lang w:val="en-US" w:eastAsia="zh-CN" w:bidi="ar-SA"/>
              </w:rPr>
              <w:t>年</w:t>
            </w:r>
            <w:r>
              <w:rPr>
                <w:rFonts w:hint="eastAsia" w:eastAsia="宋体" w:cs="Times New Roman"/>
                <w:snapToGrid/>
                <w:color w:val="auto"/>
                <w:kern w:val="2"/>
                <w:sz w:val="24"/>
                <w:szCs w:val="24"/>
                <w:highlight w:val="none"/>
                <w:lang w:val="en-US" w:eastAsia="zh-CN" w:bidi="ar-SA"/>
              </w:rPr>
              <w:t>6</w:t>
            </w:r>
            <w:r>
              <w:rPr>
                <w:rFonts w:hint="eastAsia" w:ascii="Times New Roman" w:hAnsi="Times New Roman" w:eastAsia="宋体" w:cs="Times New Roman"/>
                <w:snapToGrid/>
                <w:color w:val="auto"/>
                <w:kern w:val="2"/>
                <w:sz w:val="24"/>
                <w:szCs w:val="24"/>
                <w:highlight w:val="none"/>
                <w:lang w:val="en-US" w:eastAsia="zh-CN" w:bidi="ar-SA"/>
              </w:rPr>
              <w:t>月</w:t>
            </w:r>
            <w:r>
              <w:rPr>
                <w:rFonts w:hint="eastAsia" w:eastAsia="宋体" w:cs="Times New Roman"/>
                <w:snapToGrid/>
                <w:color w:val="auto"/>
                <w:kern w:val="2"/>
                <w:sz w:val="24"/>
                <w:szCs w:val="24"/>
                <w:highlight w:val="none"/>
                <w:lang w:val="en-US" w:eastAsia="zh-CN" w:bidi="ar-SA"/>
              </w:rPr>
              <w:t>11</w:t>
            </w:r>
            <w:r>
              <w:rPr>
                <w:rFonts w:hint="eastAsia" w:ascii="Times New Roman" w:hAnsi="Times New Roman" w:eastAsia="宋体" w:cs="Times New Roman"/>
                <w:snapToGrid/>
                <w:color w:val="auto"/>
                <w:kern w:val="2"/>
                <w:sz w:val="24"/>
                <w:szCs w:val="24"/>
                <w:highlight w:val="none"/>
                <w:lang w:val="en-US" w:eastAsia="zh-CN" w:bidi="ar-SA"/>
              </w:rPr>
              <w:t>日~202</w:t>
            </w:r>
            <w:r>
              <w:rPr>
                <w:rFonts w:hint="eastAsia" w:eastAsia="宋体" w:cs="Times New Roman"/>
                <w:snapToGrid/>
                <w:color w:val="auto"/>
                <w:kern w:val="2"/>
                <w:sz w:val="24"/>
                <w:szCs w:val="24"/>
                <w:highlight w:val="none"/>
                <w:lang w:val="en-US" w:eastAsia="zh-CN" w:bidi="ar-SA"/>
              </w:rPr>
              <w:t>5</w:t>
            </w:r>
            <w:r>
              <w:rPr>
                <w:rFonts w:hint="eastAsia" w:ascii="Times New Roman" w:hAnsi="Times New Roman" w:eastAsia="宋体" w:cs="Times New Roman"/>
                <w:snapToGrid/>
                <w:color w:val="auto"/>
                <w:kern w:val="2"/>
                <w:sz w:val="24"/>
                <w:szCs w:val="24"/>
                <w:highlight w:val="none"/>
                <w:lang w:val="en-US" w:eastAsia="zh-CN" w:bidi="ar-SA"/>
              </w:rPr>
              <w:t>年</w:t>
            </w:r>
            <w:r>
              <w:rPr>
                <w:rFonts w:hint="eastAsia" w:eastAsia="宋体" w:cs="Times New Roman"/>
                <w:snapToGrid/>
                <w:color w:val="auto"/>
                <w:kern w:val="2"/>
                <w:sz w:val="24"/>
                <w:szCs w:val="24"/>
                <w:highlight w:val="none"/>
                <w:lang w:val="en-US" w:eastAsia="zh-CN" w:bidi="ar-SA"/>
              </w:rPr>
              <w:t>6</w:t>
            </w:r>
            <w:r>
              <w:rPr>
                <w:rFonts w:hint="eastAsia" w:ascii="Times New Roman" w:hAnsi="Times New Roman" w:eastAsia="宋体" w:cs="Times New Roman"/>
                <w:snapToGrid/>
                <w:color w:val="auto"/>
                <w:kern w:val="2"/>
                <w:sz w:val="24"/>
                <w:szCs w:val="24"/>
                <w:highlight w:val="none"/>
                <w:lang w:val="en-US" w:eastAsia="zh-CN" w:bidi="ar-SA"/>
              </w:rPr>
              <w:t>月</w:t>
            </w:r>
            <w:r>
              <w:rPr>
                <w:rFonts w:hint="eastAsia" w:eastAsia="宋体" w:cs="Times New Roman"/>
                <w:snapToGrid/>
                <w:color w:val="auto"/>
                <w:kern w:val="2"/>
                <w:sz w:val="24"/>
                <w:szCs w:val="24"/>
                <w:highlight w:val="none"/>
                <w:lang w:val="en-US" w:eastAsia="zh-CN" w:bidi="ar-SA"/>
              </w:rPr>
              <w:t>12</w:t>
            </w:r>
            <w:r>
              <w:rPr>
                <w:rFonts w:hint="eastAsia" w:ascii="Times New Roman" w:hAnsi="Times New Roman" w:eastAsia="宋体" w:cs="Times New Roman"/>
                <w:snapToGrid/>
                <w:color w:val="auto"/>
                <w:kern w:val="2"/>
                <w:sz w:val="24"/>
                <w:szCs w:val="24"/>
                <w:highlight w:val="none"/>
                <w:lang w:val="en-US" w:eastAsia="zh-CN" w:bidi="ar-SA"/>
              </w:rPr>
              <w:t>日委托福建华远检测有限公司对企业现有工程验收期间的废气排放口进行监测，根据检测报告（报告编号：HYJC2</w:t>
            </w:r>
            <w:r>
              <w:rPr>
                <w:rFonts w:hint="eastAsia" w:eastAsia="宋体" w:cs="Times New Roman"/>
                <w:snapToGrid/>
                <w:color w:val="auto"/>
                <w:kern w:val="2"/>
                <w:sz w:val="24"/>
                <w:szCs w:val="24"/>
                <w:highlight w:val="none"/>
                <w:lang w:val="en-US" w:eastAsia="zh-CN" w:bidi="ar-SA"/>
              </w:rPr>
              <w:t>5</w:t>
            </w:r>
            <w:r>
              <w:rPr>
                <w:rFonts w:hint="eastAsia" w:ascii="Times New Roman" w:hAnsi="Times New Roman" w:eastAsia="宋体" w:cs="Times New Roman"/>
                <w:snapToGrid/>
                <w:color w:val="auto"/>
                <w:kern w:val="2"/>
                <w:sz w:val="24"/>
                <w:szCs w:val="24"/>
                <w:highlight w:val="none"/>
                <w:lang w:val="en-US" w:eastAsia="zh-CN" w:bidi="ar-SA"/>
              </w:rPr>
              <w:t>0609001，具体详见附件9</w:t>
            </w:r>
            <w:r>
              <w:rPr>
                <w:rFonts w:hint="eastAsia" w:ascii="Times New Roman" w:hAnsi="Times New Roman" w:eastAsia="宋体" w:cs="Times New Roman"/>
                <w:snapToGrid/>
                <w:color w:val="auto"/>
                <w:kern w:val="2"/>
                <w:sz w:val="24"/>
                <w:szCs w:val="24"/>
                <w:highlight w:val="none"/>
                <w:lang w:val="en-US" w:eastAsia="zh-CN" w:bidi="ar-SA"/>
              </w:rPr>
              <w:t>）结果可知</w:t>
            </w:r>
            <w:r>
              <w:rPr>
                <w:rFonts w:hint="eastAsia" w:eastAsia="宋体" w:cs="Times New Roman"/>
                <w:snapToGrid/>
                <w:color w:val="auto"/>
                <w:kern w:val="2"/>
                <w:sz w:val="24"/>
                <w:szCs w:val="24"/>
                <w:highlight w:val="none"/>
                <w:lang w:val="en-US" w:eastAsia="zh-CN" w:bidi="ar-SA"/>
              </w:rPr>
              <w:t>：</w:t>
            </w:r>
          </w:p>
          <w:p w14:paraId="27DA9AE3">
            <w:pPr>
              <w:pStyle w:val="43"/>
              <w:ind w:firstLine="480"/>
            </w:pPr>
            <w:r>
              <w:rPr>
                <w:rFonts w:hint="eastAsia"/>
              </w:rPr>
              <w:t>①有组织排放</w:t>
            </w:r>
          </w:p>
          <w:p w14:paraId="0874B170">
            <w:pPr>
              <w:pStyle w:val="43"/>
              <w:ind w:firstLine="480"/>
            </w:pPr>
            <w:bookmarkStart w:id="23" w:name="_Toc14231"/>
            <w:r>
              <w:rPr>
                <w:rFonts w:hint="eastAsia"/>
              </w:rPr>
              <w:t>燃气锅炉排气筒出口（DA002）G1</w:t>
            </w:r>
            <w:bookmarkEnd w:id="23"/>
          </w:p>
          <w:p w14:paraId="7FC7C749">
            <w:pPr>
              <w:pStyle w:val="43"/>
              <w:ind w:firstLine="480"/>
            </w:pPr>
            <w:r>
              <w:rPr>
                <w:rFonts w:hint="eastAsia"/>
              </w:rPr>
              <w:t>DA002为燃气锅炉排气筒，根据检测结果DA002中颗粒物最大排放浓度为8.6mg/m</w:t>
            </w:r>
            <w:r>
              <w:rPr>
                <w:rFonts w:hint="eastAsia"/>
                <w:vertAlign w:val="superscript"/>
              </w:rPr>
              <w:t>3</w:t>
            </w:r>
            <w:r>
              <w:rPr>
                <w:rFonts w:hint="eastAsia"/>
              </w:rPr>
              <w:t>，排放速率为0.034～0.0766kg/h；二氧化硫最大排放浓度为</w:t>
            </w:r>
            <w:r>
              <w:rPr>
                <w:rFonts w:hint="eastAsia" w:eastAsia="仿宋" w:cs="Times New Roman"/>
                <w:kern w:val="0"/>
                <w:sz w:val="21"/>
                <w:szCs w:val="21"/>
                <w:lang w:bidi="ar"/>
              </w:rPr>
              <w:t>&lt;</w:t>
            </w:r>
            <w:r>
              <w:rPr>
                <w:rFonts w:hint="eastAsia"/>
              </w:rPr>
              <w:t>4mg/m</w:t>
            </w:r>
            <w:r>
              <w:rPr>
                <w:rFonts w:hint="eastAsia"/>
                <w:vertAlign w:val="superscript"/>
              </w:rPr>
              <w:t>3</w:t>
            </w:r>
            <w:r>
              <w:rPr>
                <w:rFonts w:hint="eastAsia"/>
              </w:rPr>
              <w:t>，排放速率为&lt;0.02kg/h，即二氧化硫排放总量为0.096t/a小于</w:t>
            </w:r>
            <w:r>
              <w:rPr>
                <w:spacing w:val="2"/>
              </w:rPr>
              <w:t>0.3t/a</w:t>
            </w:r>
            <w:r>
              <w:rPr>
                <w:rFonts w:hint="eastAsia"/>
              </w:rPr>
              <w:t>（批复要求）；氮氧化物最大排放浓度为65mg/m</w:t>
            </w:r>
            <w:r>
              <w:rPr>
                <w:rFonts w:hint="eastAsia"/>
                <w:vertAlign w:val="superscript"/>
              </w:rPr>
              <w:t>3</w:t>
            </w:r>
            <w:r>
              <w:rPr>
                <w:rFonts w:hint="eastAsia"/>
              </w:rPr>
              <w:t>，排放速率为0.35～0.37kg/h，即氮氧化物的排放总量为1.776t/a(0.37*300*2/1000）小于2.807t/a（批复要求）；烟气黑度（级）</w:t>
            </w:r>
            <w:r>
              <w:rPr>
                <w:rFonts w:hint="eastAsia" w:eastAsia="仿宋" w:cs="Times New Roman"/>
                <w:kern w:val="0"/>
                <w:sz w:val="21"/>
                <w:szCs w:val="21"/>
                <w:lang w:bidi="ar"/>
              </w:rPr>
              <w:t>&lt;</w:t>
            </w:r>
            <w:r>
              <w:rPr>
                <w:rFonts w:hint="eastAsia"/>
              </w:rPr>
              <w:t>1。颗粒物、二氧化硫、氮氧化物以及烟气黑度符合《锅炉大气污染物排放标准》（GB13271-2014）中表3标准（颗粒物浓度≤20mg/m</w:t>
            </w:r>
            <w:r>
              <w:rPr>
                <w:rFonts w:hint="eastAsia"/>
                <w:vertAlign w:val="superscript"/>
              </w:rPr>
              <w:t>3</w:t>
            </w:r>
            <w:r>
              <w:rPr>
                <w:rFonts w:hint="eastAsia"/>
              </w:rPr>
              <w:t>，二氧化硫浓度≤50mg/m</w:t>
            </w:r>
            <w:r>
              <w:rPr>
                <w:rFonts w:hint="eastAsia"/>
                <w:vertAlign w:val="superscript"/>
              </w:rPr>
              <w:t>3</w:t>
            </w:r>
            <w:r>
              <w:rPr>
                <w:rFonts w:hint="eastAsia"/>
              </w:rPr>
              <w:t>，氮氧化物浓度≤150mg/m</w:t>
            </w:r>
            <w:r>
              <w:rPr>
                <w:rFonts w:hint="eastAsia"/>
                <w:vertAlign w:val="superscript"/>
              </w:rPr>
              <w:t>3，</w:t>
            </w:r>
            <w:r>
              <w:rPr>
                <w:rFonts w:hint="eastAsia"/>
              </w:rPr>
              <w:t>烟气黑度（级）</w:t>
            </w:r>
            <w:r>
              <w:rPr>
                <w:rFonts w:hint="eastAsia" w:eastAsia="仿宋" w:cs="Times New Roman"/>
                <w:kern w:val="0"/>
                <w:sz w:val="21"/>
                <w:szCs w:val="21"/>
                <w:lang w:bidi="ar"/>
              </w:rPr>
              <w:t>&lt;</w:t>
            </w:r>
            <w:r>
              <w:rPr>
                <w:rFonts w:hint="eastAsia"/>
              </w:rPr>
              <w:t>1）。</w:t>
            </w:r>
          </w:p>
          <w:p w14:paraId="2E35452A">
            <w:pPr>
              <w:pStyle w:val="43"/>
              <w:ind w:firstLine="480"/>
            </w:pPr>
            <w:bookmarkStart w:id="24" w:name="_Toc6325"/>
            <w:r>
              <w:rPr>
                <w:rFonts w:hint="eastAsia"/>
              </w:rPr>
              <w:t>②无组织废气</w:t>
            </w:r>
            <w:bookmarkEnd w:id="24"/>
          </w:p>
          <w:p w14:paraId="4CAB29A9">
            <w:pPr>
              <w:pStyle w:val="43"/>
              <w:ind w:firstLine="480"/>
              <w:rPr>
                <w:color w:val="auto"/>
              </w:rPr>
            </w:pPr>
            <w:r>
              <w:rPr>
                <w:rFonts w:hint="eastAsia"/>
              </w:rPr>
              <w:t>监测结果表明：厂界颗粒物浓度最大值为0.215mg/m</w:t>
            </w:r>
            <w:r>
              <w:rPr>
                <w:rFonts w:hint="eastAsia"/>
                <w:vertAlign w:val="superscript"/>
              </w:rPr>
              <w:t>3</w:t>
            </w:r>
            <w:r>
              <w:rPr>
                <w:rFonts w:hint="eastAsia"/>
              </w:rPr>
              <w:t>，颗粒物排放符合《水泥工业大气污染物排放标准》（GB 4915-2013）表3标准（颗粒物≤0.5</w:t>
            </w:r>
            <w:r>
              <w:rPr>
                <w:rFonts w:hint="eastAsia"/>
                <w:lang w:val="en-US" w:eastAsia="zh-CN"/>
              </w:rPr>
              <w:t>*</w:t>
            </w:r>
            <w:r>
              <w:rPr>
                <w:rFonts w:hint="eastAsia"/>
              </w:rPr>
              <w:t>mg/m</w:t>
            </w:r>
            <w:r>
              <w:rPr>
                <w:rFonts w:hint="eastAsia"/>
                <w:vertAlign w:val="superscript"/>
              </w:rPr>
              <w:t>3</w:t>
            </w:r>
            <w:r>
              <w:rPr>
                <w:rStyle w:val="39"/>
                <w:rFonts w:hint="eastAsia" w:asciiTheme="minorHAnsi" w:hAnsiTheme="minorHAnsi" w:eastAsiaTheme="minorEastAsia" w:cstheme="minorBidi"/>
                <w:lang w:eastAsia="zh-CN"/>
              </w:rPr>
              <w:t>，</w:t>
            </w:r>
            <w:r>
              <w:rPr>
                <w:rStyle w:val="39"/>
                <w:rFonts w:hint="eastAsia" w:asciiTheme="minorHAnsi" w:hAnsiTheme="minorHAnsi" w:eastAsiaTheme="minorEastAsia" w:cstheme="minorBidi"/>
                <w:lang w:val="en-US" w:eastAsia="zh-CN"/>
              </w:rPr>
              <w:t>*注：</w:t>
            </w:r>
            <w:r>
              <w:rPr>
                <w:rFonts w:hint="eastAsia"/>
                <w:color w:val="auto"/>
                <w:lang w:val="en-US" w:eastAsia="zh-CN"/>
              </w:rPr>
              <w:t>监控点与参照点总悬浮颗粒物（TSP）1小时浓度值的差值，厂界外20m处上风向设参照点，下风向设监控点</w:t>
            </w:r>
            <w:r>
              <w:rPr>
                <w:rFonts w:hint="eastAsia"/>
                <w:color w:val="auto"/>
              </w:rPr>
              <w:t>）。</w:t>
            </w:r>
            <w:r>
              <w:rPr>
                <w:rFonts w:hint="eastAsia" w:ascii="Times New Roman" w:hAnsi="Times New Roman" w:cs="Times New Roman"/>
                <w:color w:val="auto"/>
                <w:highlight w:val="none"/>
                <w:lang w:val="en-US" w:eastAsia="zh-CN"/>
              </w:rPr>
              <w:t>现有工程废气排放情况详</w:t>
            </w:r>
            <w:r>
              <w:rPr>
                <w:rFonts w:hint="default" w:ascii="Times New Roman" w:hAnsi="Times New Roman" w:cs="Times New Roman"/>
                <w:color w:val="auto"/>
                <w:highlight w:val="none"/>
                <w:lang w:eastAsia="zh-CN"/>
              </w:rPr>
              <w:t>见表</w:t>
            </w:r>
            <w:r>
              <w:rPr>
                <w:rFonts w:hint="eastAsia" w:ascii="Times New Roman" w:hAnsi="Times New Roman" w:eastAsia="宋体" w:cs="Times New Roman"/>
                <w:color w:val="auto"/>
                <w:kern w:val="2"/>
                <w:sz w:val="24"/>
                <w:szCs w:val="24"/>
                <w:highlight w:val="none"/>
                <w:lang w:val="en-US" w:eastAsia="zh-CN" w:bidi="ar-SA"/>
              </w:rPr>
              <w:t>2.</w:t>
            </w:r>
            <w:r>
              <w:rPr>
                <w:rFonts w:hint="eastAsia" w:eastAsia="宋体" w:cs="Times New Roman"/>
                <w:color w:val="auto"/>
                <w:kern w:val="2"/>
                <w:sz w:val="24"/>
                <w:szCs w:val="24"/>
                <w:highlight w:val="none"/>
                <w:lang w:val="en-US" w:eastAsia="zh-CN" w:bidi="ar-SA"/>
              </w:rPr>
              <w:t>8</w:t>
            </w:r>
            <w:r>
              <w:rPr>
                <w:rFonts w:hint="eastAsia" w:ascii="Times New Roman" w:hAnsi="Times New Roman" w:eastAsia="宋体" w:cs="Times New Roman"/>
                <w:color w:val="auto"/>
                <w:kern w:val="2"/>
                <w:sz w:val="24"/>
                <w:szCs w:val="24"/>
                <w:highlight w:val="none"/>
                <w:lang w:val="en-US" w:eastAsia="zh-CN" w:bidi="ar-SA"/>
              </w:rPr>
              <w:t>-6。</w:t>
            </w:r>
          </w:p>
          <w:p w14:paraId="007BBAF4">
            <w:pPr>
              <w:pStyle w:val="42"/>
              <w:tabs>
                <w:tab w:val="left" w:pos="0"/>
                <w:tab w:val="clear" w:pos="420"/>
              </w:tabs>
              <w:bidi w:val="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highlight w:val="none"/>
                <w:u w:val="none" w:color="auto"/>
                <w:lang w:val="en-US" w:eastAsia="zh-CN"/>
              </w:rPr>
              <w:t>废气检测结果</w:t>
            </w:r>
          </w:p>
          <w:tbl>
            <w:tblPr>
              <w:tblStyle w:val="32"/>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473"/>
              <w:gridCol w:w="426"/>
              <w:gridCol w:w="1195"/>
              <w:gridCol w:w="980"/>
              <w:gridCol w:w="980"/>
              <w:gridCol w:w="980"/>
              <w:gridCol w:w="980"/>
              <w:gridCol w:w="1065"/>
              <w:gridCol w:w="1066"/>
            </w:tblGrid>
            <w:tr w14:paraId="120BBD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357" w:type="pct"/>
                  <w:vMerge w:val="restart"/>
                  <w:vAlign w:val="center"/>
                </w:tcPr>
                <w:p w14:paraId="164B306B">
                  <w:pPr>
                    <w:jc w:val="center"/>
                    <w:rPr>
                      <w:rFonts w:ascii="Times New Roman" w:hAnsi="Times New Roman" w:eastAsia="宋体" w:cs="Times New Roman"/>
                      <w:szCs w:val="21"/>
                    </w:rPr>
                  </w:pPr>
                  <w:r>
                    <w:rPr>
                      <w:rFonts w:ascii="Times New Roman" w:hAnsi="Times New Roman" w:eastAsia="宋体" w:cs="Times New Roman"/>
                      <w:szCs w:val="21"/>
                    </w:rPr>
                    <w:t>采样日期</w:t>
                  </w:r>
                </w:p>
              </w:tc>
              <w:tc>
                <w:tcPr>
                  <w:tcW w:w="265" w:type="pct"/>
                  <w:vMerge w:val="restart"/>
                  <w:vAlign w:val="center"/>
                </w:tcPr>
                <w:p w14:paraId="5D8D35A3">
                  <w:pPr>
                    <w:jc w:val="center"/>
                    <w:rPr>
                      <w:rFonts w:ascii="Times New Roman" w:hAnsi="Times New Roman" w:eastAsia="宋体" w:cs="Times New Roman"/>
                      <w:szCs w:val="21"/>
                    </w:rPr>
                  </w:pPr>
                  <w:r>
                    <w:rPr>
                      <w:rFonts w:ascii="Times New Roman" w:hAnsi="Times New Roman" w:eastAsia="宋体" w:cs="Times New Roman"/>
                      <w:szCs w:val="21"/>
                    </w:rPr>
                    <w:t>检测点位</w:t>
                  </w:r>
                </w:p>
              </w:tc>
              <w:tc>
                <w:tcPr>
                  <w:tcW w:w="910" w:type="pct"/>
                  <w:gridSpan w:val="2"/>
                  <w:vMerge w:val="restart"/>
                  <w:vAlign w:val="center"/>
                </w:tcPr>
                <w:p w14:paraId="0D4F93F9">
                  <w:pPr>
                    <w:jc w:val="center"/>
                    <w:rPr>
                      <w:rFonts w:ascii="Times New Roman" w:hAnsi="Times New Roman" w:eastAsia="宋体" w:cs="Times New Roman"/>
                      <w:szCs w:val="21"/>
                    </w:rPr>
                  </w:pPr>
                  <w:r>
                    <w:rPr>
                      <w:rFonts w:ascii="Times New Roman" w:hAnsi="Times New Roman" w:eastAsia="宋体" w:cs="Times New Roman"/>
                      <w:szCs w:val="21"/>
                    </w:rPr>
                    <w:t>检测项目</w:t>
                  </w:r>
                </w:p>
              </w:tc>
              <w:tc>
                <w:tcPr>
                  <w:tcW w:w="2202" w:type="pct"/>
                  <w:gridSpan w:val="4"/>
                  <w:vAlign w:val="center"/>
                </w:tcPr>
                <w:p w14:paraId="40EC5E32">
                  <w:pPr>
                    <w:tabs>
                      <w:tab w:val="left" w:pos="990"/>
                    </w:tabs>
                    <w:jc w:val="center"/>
                    <w:rPr>
                      <w:rFonts w:ascii="Times New Roman" w:hAnsi="Times New Roman" w:eastAsia="宋体" w:cs="Times New Roman"/>
                      <w:szCs w:val="21"/>
                    </w:rPr>
                  </w:pPr>
                  <w:r>
                    <w:rPr>
                      <w:rFonts w:ascii="Times New Roman" w:hAnsi="Times New Roman" w:eastAsia="宋体" w:cs="Times New Roman"/>
                      <w:szCs w:val="21"/>
                    </w:rPr>
                    <w:t>检测频次及结果</w:t>
                  </w:r>
                </w:p>
              </w:tc>
              <w:tc>
                <w:tcPr>
                  <w:tcW w:w="632" w:type="pct"/>
                  <w:vMerge w:val="restart"/>
                  <w:vAlign w:val="center"/>
                </w:tcPr>
                <w:p w14:paraId="7EFCCA9B">
                  <w:pPr>
                    <w:tabs>
                      <w:tab w:val="left" w:pos="990"/>
                    </w:tabs>
                    <w:jc w:val="center"/>
                    <w:rPr>
                      <w:rFonts w:ascii="Times New Roman" w:hAnsi="Times New Roman" w:eastAsia="宋体" w:cs="Times New Roman"/>
                      <w:szCs w:val="21"/>
                    </w:rPr>
                  </w:pPr>
                  <w:r>
                    <w:rPr>
                      <w:rFonts w:hint="default" w:ascii="Times New Roman" w:hAnsi="Times New Roman" w:cs="Times New Roman"/>
                      <w:color w:val="auto"/>
                      <w:highlight w:val="none"/>
                    </w:rPr>
                    <w:t>排放浓度限值</w:t>
                  </w:r>
                  <w:r>
                    <w:rPr>
                      <w:rFonts w:hint="default" w:ascii="Times New Roman" w:hAnsi="Times New Roman" w:cs="Times New Roman"/>
                      <w:color w:val="auto"/>
                      <w:highlight w:val="none"/>
                      <w:lang w:val="en-US" w:eastAsia="en-US"/>
                    </w:rPr>
                    <w:t>(mg/m</w:t>
                  </w:r>
                  <w:r>
                    <w:rPr>
                      <w:rFonts w:hint="default" w:ascii="Times New Roman" w:hAnsi="Times New Roman" w:cs="Times New Roman"/>
                      <w:color w:val="auto"/>
                      <w:highlight w:val="none"/>
                      <w:vertAlign w:val="superscript"/>
                      <w:lang w:val="en-US" w:eastAsia="en-US"/>
                    </w:rPr>
                    <w:t>3</w:t>
                  </w:r>
                  <w:r>
                    <w:rPr>
                      <w:rFonts w:hint="default" w:ascii="Times New Roman" w:hAnsi="Times New Roman" w:cs="Times New Roman"/>
                      <w:color w:val="auto"/>
                      <w:highlight w:val="none"/>
                      <w:lang w:val="en-US" w:eastAsia="en-US"/>
                    </w:rPr>
                    <w:t>)</w:t>
                  </w:r>
                </w:p>
              </w:tc>
              <w:tc>
                <w:tcPr>
                  <w:tcW w:w="632" w:type="pct"/>
                  <w:vMerge w:val="restart"/>
                  <w:vAlign w:val="center"/>
                </w:tcPr>
                <w:p w14:paraId="7796429B">
                  <w:pPr>
                    <w:tabs>
                      <w:tab w:val="left" w:pos="990"/>
                    </w:tabs>
                    <w:jc w:val="center"/>
                    <w:rPr>
                      <w:rFonts w:ascii="Times New Roman" w:hAnsi="Times New Roman" w:eastAsia="宋体" w:cs="Times New Roman"/>
                      <w:szCs w:val="21"/>
                    </w:rPr>
                  </w:pPr>
                  <w:r>
                    <w:rPr>
                      <w:rFonts w:hint="eastAsia" w:ascii="Times New Roman" w:hAnsi="Times New Roman" w:cs="Times New Roman"/>
                      <w:color w:val="auto"/>
                      <w:highlight w:val="none"/>
                      <w:lang w:val="en-US" w:eastAsia="zh-CN"/>
                    </w:rPr>
                    <w:t>排放速率限值（kg/h）</w:t>
                  </w:r>
                </w:p>
              </w:tc>
            </w:tr>
            <w:tr w14:paraId="585445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357" w:type="pct"/>
                  <w:vMerge w:val="continue"/>
                  <w:vAlign w:val="center"/>
                </w:tcPr>
                <w:p w14:paraId="12F5A41E">
                  <w:pPr>
                    <w:jc w:val="center"/>
                    <w:rPr>
                      <w:rFonts w:ascii="Times New Roman" w:hAnsi="Times New Roman" w:eastAsia="宋体" w:cs="Times New Roman"/>
                      <w:szCs w:val="21"/>
                    </w:rPr>
                  </w:pPr>
                </w:p>
              </w:tc>
              <w:tc>
                <w:tcPr>
                  <w:tcW w:w="265" w:type="pct"/>
                  <w:vMerge w:val="continue"/>
                  <w:vAlign w:val="center"/>
                </w:tcPr>
                <w:p w14:paraId="74A5C7CC">
                  <w:pPr>
                    <w:jc w:val="center"/>
                    <w:rPr>
                      <w:rFonts w:ascii="Times New Roman" w:hAnsi="Times New Roman" w:eastAsia="宋体" w:cs="Times New Roman"/>
                      <w:szCs w:val="21"/>
                    </w:rPr>
                  </w:pPr>
                </w:p>
              </w:tc>
              <w:tc>
                <w:tcPr>
                  <w:tcW w:w="910" w:type="pct"/>
                  <w:gridSpan w:val="2"/>
                  <w:vMerge w:val="continue"/>
                  <w:vAlign w:val="center"/>
                </w:tcPr>
                <w:p w14:paraId="16EEC018">
                  <w:pPr>
                    <w:jc w:val="center"/>
                    <w:rPr>
                      <w:rFonts w:ascii="Times New Roman" w:hAnsi="Times New Roman" w:eastAsia="宋体" w:cs="Times New Roman"/>
                      <w:szCs w:val="21"/>
                    </w:rPr>
                  </w:pPr>
                </w:p>
              </w:tc>
              <w:tc>
                <w:tcPr>
                  <w:tcW w:w="550" w:type="pct"/>
                  <w:vAlign w:val="center"/>
                </w:tcPr>
                <w:p w14:paraId="604C0A3F">
                  <w:pPr>
                    <w:tabs>
                      <w:tab w:val="left" w:pos="990"/>
                    </w:tabs>
                    <w:jc w:val="center"/>
                    <w:rPr>
                      <w:rFonts w:ascii="Times New Roman" w:hAnsi="Times New Roman" w:eastAsia="宋体" w:cs="Times New Roman"/>
                      <w:szCs w:val="21"/>
                    </w:rPr>
                  </w:pPr>
                  <w:r>
                    <w:rPr>
                      <w:rFonts w:ascii="Times New Roman" w:hAnsi="Times New Roman" w:eastAsia="宋体" w:cs="Times New Roman"/>
                      <w:szCs w:val="21"/>
                    </w:rPr>
                    <w:t>1</w:t>
                  </w:r>
                </w:p>
              </w:tc>
              <w:tc>
                <w:tcPr>
                  <w:tcW w:w="550" w:type="pct"/>
                  <w:vAlign w:val="center"/>
                </w:tcPr>
                <w:p w14:paraId="6031EF32">
                  <w:pPr>
                    <w:tabs>
                      <w:tab w:val="left" w:pos="990"/>
                    </w:tabs>
                    <w:jc w:val="center"/>
                    <w:rPr>
                      <w:rFonts w:ascii="Times New Roman" w:hAnsi="Times New Roman" w:eastAsia="宋体" w:cs="Times New Roman"/>
                      <w:szCs w:val="21"/>
                    </w:rPr>
                  </w:pPr>
                  <w:r>
                    <w:rPr>
                      <w:rFonts w:ascii="Times New Roman" w:hAnsi="Times New Roman" w:eastAsia="宋体" w:cs="Times New Roman"/>
                      <w:szCs w:val="21"/>
                    </w:rPr>
                    <w:t>2</w:t>
                  </w:r>
                </w:p>
              </w:tc>
              <w:tc>
                <w:tcPr>
                  <w:tcW w:w="550" w:type="pct"/>
                  <w:vAlign w:val="center"/>
                </w:tcPr>
                <w:p w14:paraId="76B248F9">
                  <w:pPr>
                    <w:tabs>
                      <w:tab w:val="left" w:pos="990"/>
                    </w:tabs>
                    <w:jc w:val="center"/>
                    <w:rPr>
                      <w:rFonts w:ascii="Times New Roman" w:hAnsi="Times New Roman" w:eastAsia="宋体" w:cs="Times New Roman"/>
                      <w:szCs w:val="21"/>
                    </w:rPr>
                  </w:pPr>
                  <w:r>
                    <w:rPr>
                      <w:rFonts w:ascii="Times New Roman" w:hAnsi="Times New Roman" w:eastAsia="宋体" w:cs="Times New Roman"/>
                      <w:szCs w:val="21"/>
                    </w:rPr>
                    <w:t>3</w:t>
                  </w:r>
                </w:p>
              </w:tc>
              <w:tc>
                <w:tcPr>
                  <w:tcW w:w="551" w:type="pct"/>
                  <w:vAlign w:val="center"/>
                </w:tcPr>
                <w:p w14:paraId="30A6634E">
                  <w:pPr>
                    <w:tabs>
                      <w:tab w:val="left" w:pos="990"/>
                    </w:tabs>
                    <w:jc w:val="center"/>
                    <w:rPr>
                      <w:rFonts w:ascii="Times New Roman" w:hAnsi="Times New Roman" w:eastAsia="宋体" w:cs="Times New Roman"/>
                      <w:szCs w:val="21"/>
                    </w:rPr>
                  </w:pPr>
                  <w:r>
                    <w:rPr>
                      <w:rFonts w:ascii="Times New Roman" w:hAnsi="Times New Roman" w:eastAsia="宋体" w:cs="Times New Roman"/>
                      <w:szCs w:val="21"/>
                    </w:rPr>
                    <w:t>平均值</w:t>
                  </w:r>
                </w:p>
              </w:tc>
              <w:tc>
                <w:tcPr>
                  <w:tcW w:w="632" w:type="pct"/>
                  <w:vMerge w:val="continue"/>
                  <w:vAlign w:val="center"/>
                </w:tcPr>
                <w:p w14:paraId="2D8C0A0A">
                  <w:pPr>
                    <w:tabs>
                      <w:tab w:val="left" w:pos="990"/>
                    </w:tabs>
                    <w:jc w:val="center"/>
                    <w:rPr>
                      <w:rFonts w:ascii="Times New Roman" w:hAnsi="Times New Roman" w:eastAsia="宋体" w:cs="Times New Roman"/>
                      <w:szCs w:val="21"/>
                    </w:rPr>
                  </w:pPr>
                </w:p>
              </w:tc>
              <w:tc>
                <w:tcPr>
                  <w:tcW w:w="632" w:type="pct"/>
                  <w:vMerge w:val="continue"/>
                  <w:vAlign w:val="center"/>
                </w:tcPr>
                <w:p w14:paraId="377B613F">
                  <w:pPr>
                    <w:tabs>
                      <w:tab w:val="left" w:pos="990"/>
                    </w:tabs>
                    <w:jc w:val="center"/>
                    <w:rPr>
                      <w:rFonts w:ascii="Times New Roman" w:hAnsi="Times New Roman" w:eastAsia="宋体" w:cs="Times New Roman"/>
                      <w:szCs w:val="21"/>
                    </w:rPr>
                  </w:pPr>
                </w:p>
              </w:tc>
            </w:tr>
            <w:tr w14:paraId="7D4E02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7" w:type="pct"/>
                  <w:vMerge w:val="restart"/>
                  <w:vAlign w:val="center"/>
                </w:tcPr>
                <w:p w14:paraId="7E56EB77">
                  <w:pPr>
                    <w:widowControl/>
                    <w:jc w:val="center"/>
                    <w:textAlignment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2025年</w:t>
                  </w:r>
                </w:p>
                <w:p w14:paraId="6794290B">
                  <w:pPr>
                    <w:jc w:val="center"/>
                    <w:rPr>
                      <w:rFonts w:ascii="Times New Roman" w:hAnsi="Times New Roman" w:eastAsia="宋体" w:cs="Times New Roman"/>
                      <w:szCs w:val="21"/>
                    </w:rPr>
                  </w:pPr>
                  <w:r>
                    <w:rPr>
                      <w:rFonts w:hint="eastAsia" w:ascii="Times New Roman" w:hAnsi="Times New Roman" w:eastAsia="宋体" w:cs="Times New Roman"/>
                      <w:szCs w:val="21"/>
                    </w:rPr>
                    <w:t>6月11日</w:t>
                  </w:r>
                </w:p>
              </w:tc>
              <w:tc>
                <w:tcPr>
                  <w:tcW w:w="265" w:type="pct"/>
                  <w:vMerge w:val="restart"/>
                  <w:vAlign w:val="center"/>
                </w:tcPr>
                <w:p w14:paraId="39F76BBB">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燃气锅炉排气筒出口G1</w:t>
                  </w:r>
                </w:p>
              </w:tc>
              <w:tc>
                <w:tcPr>
                  <w:tcW w:w="910" w:type="pct"/>
                  <w:gridSpan w:val="2"/>
                  <w:vAlign w:val="center"/>
                </w:tcPr>
                <w:p w14:paraId="63ECAB84">
                  <w:pPr>
                    <w:jc w:val="center"/>
                    <w:rPr>
                      <w:rFonts w:ascii="Times New Roman" w:hAnsi="Times New Roman" w:eastAsia="宋体" w:cs="Times New Roman"/>
                      <w:szCs w:val="21"/>
                    </w:rPr>
                  </w:pPr>
                  <w:r>
                    <w:rPr>
                      <w:rFonts w:ascii="Times New Roman" w:hAnsi="Times New Roman" w:eastAsia="宋体" w:cs="Times New Roman"/>
                      <w:szCs w:val="21"/>
                    </w:rPr>
                    <w:t>标干排气量（m</w:t>
                  </w:r>
                  <w:r>
                    <w:rPr>
                      <w:rFonts w:ascii="Times New Roman" w:hAnsi="Times New Roman" w:eastAsia="宋体" w:cs="Times New Roman"/>
                      <w:szCs w:val="21"/>
                      <w:vertAlign w:val="superscript"/>
                    </w:rPr>
                    <w:t>3</w:t>
                  </w:r>
                  <w:r>
                    <w:rPr>
                      <w:rFonts w:ascii="Times New Roman" w:hAnsi="Times New Roman" w:eastAsia="宋体" w:cs="Times New Roman"/>
                      <w:szCs w:val="21"/>
                    </w:rPr>
                    <w:t>/h）</w:t>
                  </w:r>
                </w:p>
              </w:tc>
              <w:tc>
                <w:tcPr>
                  <w:tcW w:w="550" w:type="pct"/>
                  <w:vAlign w:val="center"/>
                </w:tcPr>
                <w:p w14:paraId="097CC4D8">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7.44</w:t>
                  </w:r>
                  <w:r>
                    <w:rPr>
                      <w:rFonts w:ascii="Times New Roman" w:hAnsi="Times New Roman" w:eastAsia="宋体" w:cs="Times New Roman"/>
                      <w:kern w:val="0"/>
                      <w:szCs w:val="21"/>
                      <w:lang w:bidi="ar"/>
                    </w:rPr>
                    <w:t>×10</w:t>
                  </w:r>
                  <w:r>
                    <w:rPr>
                      <w:rFonts w:hint="eastAsia" w:ascii="Times New Roman" w:hAnsi="Times New Roman" w:eastAsia="宋体" w:cs="Times New Roman"/>
                      <w:kern w:val="0"/>
                      <w:szCs w:val="21"/>
                      <w:vertAlign w:val="superscript"/>
                      <w:lang w:bidi="ar"/>
                    </w:rPr>
                    <w:t>3</w:t>
                  </w:r>
                </w:p>
              </w:tc>
              <w:tc>
                <w:tcPr>
                  <w:tcW w:w="550" w:type="pct"/>
                  <w:vAlign w:val="center"/>
                </w:tcPr>
                <w:p w14:paraId="12983670">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6.90</w:t>
                  </w:r>
                  <w:r>
                    <w:rPr>
                      <w:rFonts w:ascii="Times New Roman" w:hAnsi="Times New Roman" w:eastAsia="宋体" w:cs="Times New Roman"/>
                      <w:kern w:val="0"/>
                      <w:szCs w:val="21"/>
                      <w:lang w:bidi="ar"/>
                    </w:rPr>
                    <w:t>×10</w:t>
                  </w:r>
                  <w:r>
                    <w:rPr>
                      <w:rFonts w:hint="eastAsia" w:ascii="Times New Roman" w:hAnsi="Times New Roman" w:eastAsia="宋体" w:cs="Times New Roman"/>
                      <w:kern w:val="0"/>
                      <w:szCs w:val="21"/>
                      <w:vertAlign w:val="superscript"/>
                      <w:lang w:bidi="ar"/>
                    </w:rPr>
                    <w:t>3</w:t>
                  </w:r>
                </w:p>
              </w:tc>
              <w:tc>
                <w:tcPr>
                  <w:tcW w:w="550" w:type="pct"/>
                  <w:vAlign w:val="center"/>
                </w:tcPr>
                <w:p w14:paraId="746D215A">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7.11</w:t>
                  </w:r>
                  <w:r>
                    <w:rPr>
                      <w:rFonts w:ascii="Times New Roman" w:hAnsi="Times New Roman" w:eastAsia="宋体" w:cs="Times New Roman"/>
                      <w:kern w:val="0"/>
                      <w:szCs w:val="21"/>
                      <w:lang w:bidi="ar"/>
                    </w:rPr>
                    <w:t>×10</w:t>
                  </w:r>
                  <w:r>
                    <w:rPr>
                      <w:rFonts w:hint="eastAsia" w:ascii="Times New Roman" w:hAnsi="Times New Roman" w:eastAsia="宋体" w:cs="Times New Roman"/>
                      <w:kern w:val="0"/>
                      <w:szCs w:val="21"/>
                      <w:vertAlign w:val="superscript"/>
                      <w:lang w:bidi="ar"/>
                    </w:rPr>
                    <w:t>3</w:t>
                  </w:r>
                </w:p>
              </w:tc>
              <w:tc>
                <w:tcPr>
                  <w:tcW w:w="551" w:type="pct"/>
                  <w:vAlign w:val="center"/>
                </w:tcPr>
                <w:p w14:paraId="19A58284">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7.15</w:t>
                  </w:r>
                  <w:r>
                    <w:rPr>
                      <w:rFonts w:ascii="Times New Roman" w:hAnsi="Times New Roman" w:eastAsia="宋体" w:cs="Times New Roman"/>
                      <w:kern w:val="0"/>
                      <w:szCs w:val="21"/>
                      <w:lang w:bidi="ar"/>
                    </w:rPr>
                    <w:t>×10</w:t>
                  </w:r>
                  <w:r>
                    <w:rPr>
                      <w:rFonts w:hint="eastAsia" w:ascii="Times New Roman" w:hAnsi="Times New Roman" w:eastAsia="宋体" w:cs="Times New Roman"/>
                      <w:kern w:val="0"/>
                      <w:szCs w:val="21"/>
                      <w:vertAlign w:val="superscript"/>
                      <w:lang w:bidi="ar"/>
                    </w:rPr>
                    <w:t>3</w:t>
                  </w:r>
                </w:p>
              </w:tc>
              <w:tc>
                <w:tcPr>
                  <w:tcW w:w="632" w:type="pct"/>
                  <w:vAlign w:val="center"/>
                </w:tcPr>
                <w:p w14:paraId="7D0116DB">
                  <w:pPr>
                    <w:jc w:val="center"/>
                    <w:rPr>
                      <w:rFonts w:hint="eastAsia" w:ascii="Times New Roman" w:hAnsi="Times New Roman" w:eastAsia="宋体" w:cs="Times New Roman"/>
                      <w:kern w:val="0"/>
                      <w:szCs w:val="21"/>
                      <w:lang w:val="en-US" w:eastAsia="zh-CN" w:bidi="ar"/>
                    </w:rPr>
                  </w:pPr>
                  <w:r>
                    <w:rPr>
                      <w:rFonts w:hint="eastAsia" w:ascii="Times New Roman" w:hAnsi="Times New Roman" w:cs="Times New Roman"/>
                      <w:kern w:val="0"/>
                      <w:szCs w:val="21"/>
                      <w:lang w:val="en-US" w:eastAsia="zh-CN" w:bidi="ar"/>
                    </w:rPr>
                    <w:t>/</w:t>
                  </w:r>
                </w:p>
              </w:tc>
              <w:tc>
                <w:tcPr>
                  <w:tcW w:w="632" w:type="pct"/>
                  <w:vAlign w:val="center"/>
                </w:tcPr>
                <w:p w14:paraId="085B4F8A">
                  <w:pPr>
                    <w:jc w:val="center"/>
                    <w:rPr>
                      <w:rFonts w:hint="eastAsia" w:ascii="Times New Roman" w:hAnsi="Times New Roman" w:eastAsia="宋体" w:cs="Times New Roman"/>
                      <w:kern w:val="0"/>
                      <w:szCs w:val="21"/>
                      <w:lang w:val="en-US" w:eastAsia="zh-CN" w:bidi="ar"/>
                    </w:rPr>
                  </w:pPr>
                  <w:r>
                    <w:rPr>
                      <w:rFonts w:hint="eastAsia" w:ascii="Times New Roman" w:hAnsi="Times New Roman" w:cs="Times New Roman"/>
                      <w:kern w:val="0"/>
                      <w:szCs w:val="21"/>
                      <w:lang w:val="en-US" w:eastAsia="zh-CN" w:bidi="ar"/>
                    </w:rPr>
                    <w:t>/</w:t>
                  </w:r>
                </w:p>
              </w:tc>
            </w:tr>
            <w:tr w14:paraId="052E07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7" w:type="pct"/>
                  <w:vMerge w:val="continue"/>
                  <w:vAlign w:val="center"/>
                </w:tcPr>
                <w:p w14:paraId="1E0161A1">
                  <w:pPr>
                    <w:jc w:val="center"/>
                    <w:rPr>
                      <w:rFonts w:ascii="Times New Roman" w:hAnsi="Times New Roman" w:eastAsia="宋体" w:cs="Times New Roman"/>
                      <w:szCs w:val="21"/>
                    </w:rPr>
                  </w:pPr>
                </w:p>
              </w:tc>
              <w:tc>
                <w:tcPr>
                  <w:tcW w:w="265" w:type="pct"/>
                  <w:vMerge w:val="continue"/>
                  <w:vAlign w:val="center"/>
                </w:tcPr>
                <w:p w14:paraId="360B2858">
                  <w:pPr>
                    <w:widowControl/>
                    <w:jc w:val="center"/>
                    <w:textAlignment w:val="center"/>
                    <w:rPr>
                      <w:rFonts w:ascii="Times New Roman" w:hAnsi="Times New Roman" w:eastAsia="宋体" w:cs="Times New Roman"/>
                      <w:szCs w:val="21"/>
                    </w:rPr>
                  </w:pPr>
                </w:p>
              </w:tc>
              <w:tc>
                <w:tcPr>
                  <w:tcW w:w="910" w:type="pct"/>
                  <w:gridSpan w:val="2"/>
                  <w:vAlign w:val="center"/>
                </w:tcPr>
                <w:p w14:paraId="65177D0D">
                  <w:pPr>
                    <w:jc w:val="center"/>
                    <w:rPr>
                      <w:rFonts w:ascii="Times New Roman" w:hAnsi="Times New Roman" w:eastAsia="宋体" w:cs="Times New Roman"/>
                      <w:szCs w:val="21"/>
                    </w:rPr>
                  </w:pPr>
                  <w:r>
                    <w:rPr>
                      <w:rFonts w:hint="eastAsia" w:ascii="Times New Roman" w:hAnsi="Times New Roman" w:eastAsia="宋体" w:cs="Times New Roman"/>
                      <w:szCs w:val="21"/>
                    </w:rPr>
                    <w:t>含氧量（%）</w:t>
                  </w:r>
                </w:p>
              </w:tc>
              <w:tc>
                <w:tcPr>
                  <w:tcW w:w="550" w:type="pct"/>
                  <w:vAlign w:val="center"/>
                </w:tcPr>
                <w:p w14:paraId="512547B2">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6.4</w:t>
                  </w:r>
                </w:p>
              </w:tc>
              <w:tc>
                <w:tcPr>
                  <w:tcW w:w="550" w:type="pct"/>
                  <w:vAlign w:val="center"/>
                </w:tcPr>
                <w:p w14:paraId="1E3C47B1">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6.7</w:t>
                  </w:r>
                </w:p>
              </w:tc>
              <w:tc>
                <w:tcPr>
                  <w:tcW w:w="550" w:type="pct"/>
                  <w:vAlign w:val="center"/>
                </w:tcPr>
                <w:p w14:paraId="0997047B">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6.5</w:t>
                  </w:r>
                </w:p>
              </w:tc>
              <w:tc>
                <w:tcPr>
                  <w:tcW w:w="551" w:type="pct"/>
                  <w:vAlign w:val="center"/>
                </w:tcPr>
                <w:p w14:paraId="0193987C">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6.5</w:t>
                  </w:r>
                </w:p>
              </w:tc>
              <w:tc>
                <w:tcPr>
                  <w:tcW w:w="632" w:type="pct"/>
                  <w:vAlign w:val="center"/>
                </w:tcPr>
                <w:p w14:paraId="2C1AA535">
                  <w:pPr>
                    <w:jc w:val="center"/>
                    <w:rPr>
                      <w:rFonts w:hint="eastAsia" w:ascii="Times New Roman" w:hAnsi="Times New Roman" w:eastAsia="宋体" w:cs="Times New Roman"/>
                      <w:kern w:val="0"/>
                      <w:szCs w:val="21"/>
                      <w:lang w:val="en-US" w:eastAsia="zh-CN" w:bidi="ar"/>
                    </w:rPr>
                  </w:pPr>
                  <w:r>
                    <w:rPr>
                      <w:rFonts w:hint="eastAsia" w:ascii="Times New Roman" w:hAnsi="Times New Roman" w:cs="Times New Roman"/>
                      <w:kern w:val="0"/>
                      <w:szCs w:val="21"/>
                      <w:lang w:val="en-US" w:eastAsia="zh-CN" w:bidi="ar"/>
                    </w:rPr>
                    <w:t>/</w:t>
                  </w:r>
                </w:p>
              </w:tc>
              <w:tc>
                <w:tcPr>
                  <w:tcW w:w="632" w:type="pct"/>
                  <w:vAlign w:val="center"/>
                </w:tcPr>
                <w:p w14:paraId="3F202025">
                  <w:pPr>
                    <w:jc w:val="center"/>
                    <w:rPr>
                      <w:rFonts w:hint="eastAsia" w:ascii="Times New Roman" w:hAnsi="Times New Roman" w:eastAsia="宋体" w:cs="Times New Roman"/>
                      <w:kern w:val="0"/>
                      <w:szCs w:val="21"/>
                      <w:lang w:val="en-US" w:eastAsia="zh-CN" w:bidi="ar"/>
                    </w:rPr>
                  </w:pPr>
                  <w:r>
                    <w:rPr>
                      <w:rFonts w:hint="eastAsia" w:ascii="Times New Roman" w:hAnsi="Times New Roman" w:cs="Times New Roman"/>
                      <w:kern w:val="0"/>
                      <w:szCs w:val="21"/>
                      <w:lang w:val="en-US" w:eastAsia="zh-CN" w:bidi="ar"/>
                    </w:rPr>
                    <w:t>/</w:t>
                  </w:r>
                </w:p>
              </w:tc>
            </w:tr>
            <w:tr w14:paraId="33C3F3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7" w:type="pct"/>
                  <w:vMerge w:val="continue"/>
                  <w:vAlign w:val="center"/>
                </w:tcPr>
                <w:p w14:paraId="38AF8AAE">
                  <w:pPr>
                    <w:jc w:val="center"/>
                    <w:rPr>
                      <w:rFonts w:ascii="Times New Roman" w:hAnsi="Times New Roman" w:eastAsia="宋体" w:cs="Times New Roman"/>
                      <w:szCs w:val="21"/>
                    </w:rPr>
                  </w:pPr>
                </w:p>
              </w:tc>
              <w:tc>
                <w:tcPr>
                  <w:tcW w:w="265" w:type="pct"/>
                  <w:vMerge w:val="continue"/>
                  <w:vAlign w:val="center"/>
                </w:tcPr>
                <w:p w14:paraId="4167F430">
                  <w:pPr>
                    <w:jc w:val="center"/>
                    <w:rPr>
                      <w:rFonts w:ascii="Times New Roman" w:hAnsi="Times New Roman" w:eastAsia="宋体" w:cs="Times New Roman"/>
                      <w:szCs w:val="21"/>
                    </w:rPr>
                  </w:pPr>
                </w:p>
              </w:tc>
              <w:tc>
                <w:tcPr>
                  <w:tcW w:w="239" w:type="pct"/>
                  <w:vMerge w:val="restart"/>
                  <w:vAlign w:val="center"/>
                </w:tcPr>
                <w:p w14:paraId="4C0FB5CB">
                  <w:pPr>
                    <w:jc w:val="center"/>
                    <w:rPr>
                      <w:rFonts w:ascii="Times New Roman" w:hAnsi="Times New Roman" w:eastAsia="宋体" w:cs="Times New Roman"/>
                      <w:szCs w:val="21"/>
                    </w:rPr>
                  </w:pPr>
                  <w:r>
                    <w:rPr>
                      <w:rFonts w:hint="eastAsia" w:ascii="Times New Roman" w:hAnsi="Times New Roman" w:eastAsia="宋体" w:cs="Times New Roman"/>
                      <w:szCs w:val="21"/>
                    </w:rPr>
                    <w:t>颗粒物</w:t>
                  </w:r>
                </w:p>
              </w:tc>
              <w:tc>
                <w:tcPr>
                  <w:tcW w:w="670" w:type="pct"/>
                  <w:vAlign w:val="center"/>
                </w:tcPr>
                <w:p w14:paraId="11BE1D37">
                  <w:pPr>
                    <w:jc w:val="center"/>
                    <w:rPr>
                      <w:rFonts w:ascii="Times New Roman" w:hAnsi="Times New Roman" w:eastAsia="宋体" w:cs="Times New Roman"/>
                      <w:szCs w:val="21"/>
                    </w:rPr>
                  </w:pPr>
                  <w:r>
                    <w:rPr>
                      <w:rFonts w:ascii="Times New Roman" w:hAnsi="Times New Roman" w:eastAsia="宋体" w:cs="Times New Roman"/>
                      <w:szCs w:val="21"/>
                    </w:rPr>
                    <w:t>实测值（mg/m</w:t>
                  </w:r>
                  <w:r>
                    <w:rPr>
                      <w:rFonts w:ascii="Times New Roman" w:hAnsi="Times New Roman" w:eastAsia="宋体" w:cs="Times New Roman"/>
                      <w:szCs w:val="21"/>
                      <w:vertAlign w:val="superscript"/>
                    </w:rPr>
                    <w:t>3</w:t>
                  </w:r>
                  <w:r>
                    <w:rPr>
                      <w:rFonts w:ascii="Times New Roman" w:hAnsi="Times New Roman" w:eastAsia="宋体" w:cs="Times New Roman"/>
                      <w:szCs w:val="21"/>
                    </w:rPr>
                    <w:t>）</w:t>
                  </w:r>
                </w:p>
              </w:tc>
              <w:tc>
                <w:tcPr>
                  <w:tcW w:w="550" w:type="pct"/>
                  <w:vAlign w:val="center"/>
                </w:tcPr>
                <w:p w14:paraId="4573931C">
                  <w:pPr>
                    <w:tabs>
                      <w:tab w:val="left" w:pos="990"/>
                    </w:tabs>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10.3</w:t>
                  </w:r>
                </w:p>
              </w:tc>
              <w:tc>
                <w:tcPr>
                  <w:tcW w:w="550" w:type="pct"/>
                  <w:vAlign w:val="center"/>
                </w:tcPr>
                <w:p w14:paraId="7DDF61A0">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5.9</w:t>
                  </w:r>
                </w:p>
              </w:tc>
              <w:tc>
                <w:tcPr>
                  <w:tcW w:w="550" w:type="pct"/>
                  <w:vAlign w:val="center"/>
                </w:tcPr>
                <w:p w14:paraId="7DB129C3">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5.2</w:t>
                  </w:r>
                </w:p>
              </w:tc>
              <w:tc>
                <w:tcPr>
                  <w:tcW w:w="551" w:type="pct"/>
                  <w:vAlign w:val="center"/>
                </w:tcPr>
                <w:p w14:paraId="109C1AC0">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7.1</w:t>
                  </w:r>
                </w:p>
              </w:tc>
              <w:tc>
                <w:tcPr>
                  <w:tcW w:w="632" w:type="pct"/>
                  <w:vMerge w:val="restart"/>
                  <w:vAlign w:val="center"/>
                </w:tcPr>
                <w:p w14:paraId="7F1B22F3">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20</w:t>
                  </w:r>
                </w:p>
              </w:tc>
              <w:tc>
                <w:tcPr>
                  <w:tcW w:w="632" w:type="pct"/>
                  <w:vMerge w:val="restart"/>
                  <w:vAlign w:val="center"/>
                </w:tcPr>
                <w:p w14:paraId="2642BA70">
                  <w:pPr>
                    <w:widowControl/>
                    <w:jc w:val="center"/>
                    <w:textAlignment w:val="center"/>
                    <w:rPr>
                      <w:rFonts w:hint="eastAsia" w:ascii="Times New Roman" w:hAnsi="Times New Roman" w:eastAsia="宋体" w:cs="Times New Roman"/>
                      <w:szCs w:val="21"/>
                      <w:lang w:eastAsia="zh-CN"/>
                    </w:rPr>
                  </w:pPr>
                  <w:r>
                    <w:rPr>
                      <w:rFonts w:hint="eastAsia" w:ascii="Times New Roman" w:hAnsi="Times New Roman" w:cs="Times New Roman"/>
                      <w:kern w:val="0"/>
                      <w:szCs w:val="21"/>
                      <w:lang w:val="en-US" w:eastAsia="zh-CN" w:bidi="ar"/>
                    </w:rPr>
                    <w:t>/</w:t>
                  </w:r>
                </w:p>
              </w:tc>
            </w:tr>
            <w:tr w14:paraId="5BAF8F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7" w:type="pct"/>
                  <w:vMerge w:val="continue"/>
                  <w:vAlign w:val="center"/>
                </w:tcPr>
                <w:p w14:paraId="4FB3EF31">
                  <w:pPr>
                    <w:jc w:val="center"/>
                    <w:rPr>
                      <w:rFonts w:ascii="Times New Roman" w:hAnsi="Times New Roman" w:eastAsia="宋体" w:cs="Times New Roman"/>
                      <w:szCs w:val="21"/>
                    </w:rPr>
                  </w:pPr>
                </w:p>
              </w:tc>
              <w:tc>
                <w:tcPr>
                  <w:tcW w:w="265" w:type="pct"/>
                  <w:vMerge w:val="continue"/>
                  <w:vAlign w:val="center"/>
                </w:tcPr>
                <w:p w14:paraId="44EC0AC9">
                  <w:pPr>
                    <w:jc w:val="center"/>
                    <w:rPr>
                      <w:rFonts w:ascii="Times New Roman" w:hAnsi="Times New Roman" w:eastAsia="宋体" w:cs="Times New Roman"/>
                      <w:szCs w:val="21"/>
                    </w:rPr>
                  </w:pPr>
                </w:p>
              </w:tc>
              <w:tc>
                <w:tcPr>
                  <w:tcW w:w="239" w:type="pct"/>
                  <w:vMerge w:val="continue"/>
                  <w:vAlign w:val="center"/>
                </w:tcPr>
                <w:p w14:paraId="2E668EA6">
                  <w:pPr>
                    <w:jc w:val="center"/>
                    <w:rPr>
                      <w:rFonts w:ascii="Times New Roman" w:hAnsi="Times New Roman" w:eastAsia="宋体" w:cs="Times New Roman"/>
                      <w:szCs w:val="21"/>
                    </w:rPr>
                  </w:pPr>
                </w:p>
              </w:tc>
              <w:tc>
                <w:tcPr>
                  <w:tcW w:w="670" w:type="pct"/>
                  <w:vAlign w:val="center"/>
                </w:tcPr>
                <w:p w14:paraId="2F7B30AD">
                  <w:pPr>
                    <w:jc w:val="center"/>
                    <w:rPr>
                      <w:rFonts w:ascii="Times New Roman" w:hAnsi="Times New Roman" w:eastAsia="宋体" w:cs="Times New Roman"/>
                      <w:szCs w:val="21"/>
                    </w:rPr>
                  </w:pPr>
                  <w:r>
                    <w:rPr>
                      <w:rFonts w:hint="eastAsia" w:ascii="Times New Roman" w:hAnsi="Times New Roman" w:eastAsia="宋体" w:cs="Times New Roman"/>
                      <w:szCs w:val="21"/>
                    </w:rPr>
                    <w:t>折算</w:t>
                  </w:r>
                  <w:r>
                    <w:rPr>
                      <w:rFonts w:ascii="Times New Roman" w:hAnsi="Times New Roman" w:eastAsia="宋体" w:cs="Times New Roman"/>
                      <w:szCs w:val="21"/>
                    </w:rPr>
                    <w:t>值（mg/m</w:t>
                  </w:r>
                  <w:r>
                    <w:rPr>
                      <w:rFonts w:ascii="Times New Roman" w:hAnsi="Times New Roman" w:eastAsia="宋体" w:cs="Times New Roman"/>
                      <w:szCs w:val="21"/>
                      <w:vertAlign w:val="superscript"/>
                    </w:rPr>
                    <w:t>3</w:t>
                  </w:r>
                  <w:r>
                    <w:rPr>
                      <w:rFonts w:ascii="Times New Roman" w:hAnsi="Times New Roman" w:eastAsia="宋体" w:cs="Times New Roman"/>
                      <w:szCs w:val="21"/>
                    </w:rPr>
                    <w:t>）</w:t>
                  </w:r>
                </w:p>
              </w:tc>
              <w:tc>
                <w:tcPr>
                  <w:tcW w:w="550" w:type="pct"/>
                  <w:vAlign w:val="center"/>
                </w:tcPr>
                <w:p w14:paraId="2407236F">
                  <w:pPr>
                    <w:tabs>
                      <w:tab w:val="left" w:pos="990"/>
                    </w:tabs>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12.3</w:t>
                  </w:r>
                </w:p>
              </w:tc>
              <w:tc>
                <w:tcPr>
                  <w:tcW w:w="550" w:type="pct"/>
                  <w:vAlign w:val="center"/>
                </w:tcPr>
                <w:p w14:paraId="40E710D9">
                  <w:pPr>
                    <w:tabs>
                      <w:tab w:val="left" w:pos="990"/>
                    </w:tabs>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7.2</w:t>
                  </w:r>
                </w:p>
              </w:tc>
              <w:tc>
                <w:tcPr>
                  <w:tcW w:w="550" w:type="pct"/>
                  <w:vAlign w:val="center"/>
                </w:tcPr>
                <w:p w14:paraId="7B7E1F28">
                  <w:pPr>
                    <w:tabs>
                      <w:tab w:val="left" w:pos="990"/>
                    </w:tabs>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6.</w:t>
                  </w:r>
                  <w:r>
                    <w:rPr>
                      <w:rFonts w:hint="eastAsia" w:ascii="Times New Roman" w:hAnsi="Times New Roman" w:eastAsia="宋体" w:cs="Times New Roman"/>
                      <w:kern w:val="0"/>
                      <w:szCs w:val="21"/>
                      <w:lang w:bidi="ar"/>
                    </w:rPr>
                    <w:t>3</w:t>
                  </w:r>
                </w:p>
              </w:tc>
              <w:tc>
                <w:tcPr>
                  <w:tcW w:w="551" w:type="pct"/>
                  <w:vAlign w:val="center"/>
                </w:tcPr>
                <w:p w14:paraId="307E48EE">
                  <w:pPr>
                    <w:tabs>
                      <w:tab w:val="left" w:pos="990"/>
                    </w:tabs>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8.6</w:t>
                  </w:r>
                </w:p>
              </w:tc>
              <w:tc>
                <w:tcPr>
                  <w:tcW w:w="632" w:type="pct"/>
                  <w:vMerge w:val="continue"/>
                  <w:vAlign w:val="center"/>
                </w:tcPr>
                <w:p w14:paraId="32AD63C8">
                  <w:pPr>
                    <w:tabs>
                      <w:tab w:val="left" w:pos="990"/>
                    </w:tabs>
                    <w:jc w:val="center"/>
                    <w:rPr>
                      <w:rFonts w:ascii="Times New Roman" w:hAnsi="Times New Roman" w:eastAsia="宋体" w:cs="Times New Roman"/>
                      <w:kern w:val="0"/>
                      <w:szCs w:val="21"/>
                      <w:lang w:bidi="ar"/>
                    </w:rPr>
                  </w:pPr>
                </w:p>
              </w:tc>
              <w:tc>
                <w:tcPr>
                  <w:tcW w:w="632" w:type="pct"/>
                  <w:vMerge w:val="continue"/>
                  <w:vAlign w:val="center"/>
                </w:tcPr>
                <w:p w14:paraId="198F5E30">
                  <w:pPr>
                    <w:tabs>
                      <w:tab w:val="left" w:pos="990"/>
                    </w:tabs>
                    <w:jc w:val="center"/>
                    <w:rPr>
                      <w:rFonts w:ascii="Times New Roman" w:hAnsi="Times New Roman" w:eastAsia="宋体" w:cs="Times New Roman"/>
                      <w:kern w:val="0"/>
                      <w:szCs w:val="21"/>
                      <w:lang w:bidi="ar"/>
                    </w:rPr>
                  </w:pPr>
                </w:p>
              </w:tc>
            </w:tr>
            <w:tr w14:paraId="6277FF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7" w:type="pct"/>
                  <w:vMerge w:val="continue"/>
                  <w:vAlign w:val="center"/>
                </w:tcPr>
                <w:p w14:paraId="312C8ADC">
                  <w:pPr>
                    <w:tabs>
                      <w:tab w:val="left" w:pos="990"/>
                    </w:tabs>
                    <w:jc w:val="center"/>
                    <w:rPr>
                      <w:rFonts w:ascii="Times New Roman" w:hAnsi="Times New Roman" w:eastAsia="宋体" w:cs="Times New Roman"/>
                      <w:kern w:val="0"/>
                      <w:szCs w:val="21"/>
                      <w:lang w:bidi="ar"/>
                    </w:rPr>
                  </w:pPr>
                </w:p>
              </w:tc>
              <w:tc>
                <w:tcPr>
                  <w:tcW w:w="265" w:type="pct"/>
                  <w:vMerge w:val="continue"/>
                  <w:vAlign w:val="center"/>
                </w:tcPr>
                <w:p w14:paraId="14D7E1C8">
                  <w:pPr>
                    <w:tabs>
                      <w:tab w:val="left" w:pos="990"/>
                    </w:tabs>
                    <w:jc w:val="center"/>
                    <w:rPr>
                      <w:rFonts w:ascii="Times New Roman" w:hAnsi="Times New Roman" w:eastAsia="宋体" w:cs="Times New Roman"/>
                      <w:kern w:val="0"/>
                      <w:szCs w:val="21"/>
                      <w:lang w:bidi="ar"/>
                    </w:rPr>
                  </w:pPr>
                </w:p>
              </w:tc>
              <w:tc>
                <w:tcPr>
                  <w:tcW w:w="239" w:type="pct"/>
                  <w:vMerge w:val="continue"/>
                  <w:vAlign w:val="center"/>
                </w:tcPr>
                <w:p w14:paraId="38FD708D">
                  <w:pPr>
                    <w:tabs>
                      <w:tab w:val="left" w:pos="990"/>
                    </w:tabs>
                    <w:jc w:val="center"/>
                    <w:rPr>
                      <w:rFonts w:ascii="Times New Roman" w:hAnsi="Times New Roman" w:eastAsia="宋体" w:cs="Times New Roman"/>
                      <w:kern w:val="0"/>
                      <w:szCs w:val="21"/>
                      <w:lang w:bidi="ar"/>
                    </w:rPr>
                  </w:pPr>
                </w:p>
              </w:tc>
              <w:tc>
                <w:tcPr>
                  <w:tcW w:w="670" w:type="pct"/>
                  <w:vAlign w:val="center"/>
                </w:tcPr>
                <w:p w14:paraId="6DD3A238">
                  <w:pPr>
                    <w:tabs>
                      <w:tab w:val="left" w:pos="990"/>
                    </w:tabs>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排放速率（kg/h）</w:t>
                  </w:r>
                </w:p>
              </w:tc>
              <w:tc>
                <w:tcPr>
                  <w:tcW w:w="550" w:type="pct"/>
                  <w:vAlign w:val="center"/>
                </w:tcPr>
                <w:p w14:paraId="6B0325BE">
                  <w:pPr>
                    <w:tabs>
                      <w:tab w:val="left" w:pos="990"/>
                    </w:tabs>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0.0766</w:t>
                  </w:r>
                </w:p>
              </w:tc>
              <w:tc>
                <w:tcPr>
                  <w:tcW w:w="550" w:type="pct"/>
                  <w:vAlign w:val="center"/>
                </w:tcPr>
                <w:p w14:paraId="72CBDD56">
                  <w:pPr>
                    <w:tabs>
                      <w:tab w:val="left" w:pos="990"/>
                    </w:tabs>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0.04</w:t>
                  </w:r>
                  <w:r>
                    <w:rPr>
                      <w:rFonts w:hint="eastAsia" w:ascii="Times New Roman" w:hAnsi="Times New Roman" w:eastAsia="宋体" w:cs="Times New Roman"/>
                      <w:kern w:val="0"/>
                      <w:szCs w:val="21"/>
                      <w:lang w:bidi="ar"/>
                    </w:rPr>
                    <w:t>1</w:t>
                  </w:r>
                </w:p>
              </w:tc>
              <w:tc>
                <w:tcPr>
                  <w:tcW w:w="550" w:type="pct"/>
                  <w:vAlign w:val="center"/>
                </w:tcPr>
                <w:p w14:paraId="11F71B10">
                  <w:pPr>
                    <w:tabs>
                      <w:tab w:val="left" w:pos="990"/>
                    </w:tabs>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0.03</w:t>
                  </w:r>
                  <w:r>
                    <w:rPr>
                      <w:rFonts w:hint="eastAsia" w:ascii="Times New Roman" w:hAnsi="Times New Roman" w:eastAsia="宋体" w:cs="Times New Roman"/>
                      <w:kern w:val="0"/>
                      <w:szCs w:val="21"/>
                      <w:lang w:bidi="ar"/>
                    </w:rPr>
                    <w:t>7</w:t>
                  </w:r>
                </w:p>
              </w:tc>
              <w:tc>
                <w:tcPr>
                  <w:tcW w:w="551" w:type="pct"/>
                  <w:vAlign w:val="center"/>
                </w:tcPr>
                <w:p w14:paraId="4FD6012A">
                  <w:pPr>
                    <w:tabs>
                      <w:tab w:val="left" w:pos="990"/>
                    </w:tabs>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0.051</w:t>
                  </w:r>
                </w:p>
              </w:tc>
              <w:tc>
                <w:tcPr>
                  <w:tcW w:w="632" w:type="pct"/>
                  <w:vMerge w:val="continue"/>
                  <w:vAlign w:val="center"/>
                </w:tcPr>
                <w:p w14:paraId="5C0357B2">
                  <w:pPr>
                    <w:tabs>
                      <w:tab w:val="left" w:pos="990"/>
                    </w:tabs>
                    <w:jc w:val="center"/>
                    <w:rPr>
                      <w:rFonts w:ascii="Times New Roman" w:hAnsi="Times New Roman" w:eastAsia="宋体" w:cs="Times New Roman"/>
                      <w:kern w:val="0"/>
                      <w:szCs w:val="21"/>
                      <w:lang w:bidi="ar"/>
                    </w:rPr>
                  </w:pPr>
                </w:p>
              </w:tc>
              <w:tc>
                <w:tcPr>
                  <w:tcW w:w="632" w:type="pct"/>
                  <w:vMerge w:val="continue"/>
                  <w:vAlign w:val="center"/>
                </w:tcPr>
                <w:p w14:paraId="2D8F1F0F">
                  <w:pPr>
                    <w:tabs>
                      <w:tab w:val="left" w:pos="990"/>
                    </w:tabs>
                    <w:jc w:val="center"/>
                    <w:rPr>
                      <w:rFonts w:ascii="Times New Roman" w:hAnsi="Times New Roman" w:eastAsia="宋体" w:cs="Times New Roman"/>
                      <w:kern w:val="0"/>
                      <w:szCs w:val="21"/>
                      <w:lang w:bidi="ar"/>
                    </w:rPr>
                  </w:pPr>
                </w:p>
              </w:tc>
            </w:tr>
            <w:tr w14:paraId="4EE1F5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7" w:type="pct"/>
                  <w:vMerge w:val="continue"/>
                  <w:vAlign w:val="center"/>
                </w:tcPr>
                <w:p w14:paraId="35CDE4AD">
                  <w:pPr>
                    <w:jc w:val="center"/>
                    <w:rPr>
                      <w:rFonts w:ascii="Times New Roman" w:hAnsi="Times New Roman" w:eastAsia="宋体" w:cs="Times New Roman"/>
                      <w:szCs w:val="21"/>
                    </w:rPr>
                  </w:pPr>
                </w:p>
              </w:tc>
              <w:tc>
                <w:tcPr>
                  <w:tcW w:w="265" w:type="pct"/>
                  <w:vMerge w:val="continue"/>
                  <w:vAlign w:val="center"/>
                </w:tcPr>
                <w:p w14:paraId="36CA985D">
                  <w:pPr>
                    <w:jc w:val="center"/>
                    <w:rPr>
                      <w:rFonts w:ascii="Times New Roman" w:hAnsi="Times New Roman" w:eastAsia="宋体" w:cs="Times New Roman"/>
                      <w:szCs w:val="21"/>
                    </w:rPr>
                  </w:pPr>
                </w:p>
              </w:tc>
              <w:tc>
                <w:tcPr>
                  <w:tcW w:w="239" w:type="pct"/>
                  <w:vMerge w:val="restart"/>
                  <w:vAlign w:val="center"/>
                </w:tcPr>
                <w:p w14:paraId="1544079F">
                  <w:pPr>
                    <w:jc w:val="center"/>
                    <w:rPr>
                      <w:rFonts w:ascii="Times New Roman" w:hAnsi="Times New Roman" w:eastAsia="宋体" w:cs="Times New Roman"/>
                      <w:szCs w:val="21"/>
                    </w:rPr>
                  </w:pPr>
                  <w:r>
                    <w:rPr>
                      <w:rFonts w:hint="eastAsia" w:ascii="Times New Roman" w:hAnsi="Times New Roman" w:eastAsia="宋体" w:cs="Times New Roman"/>
                      <w:szCs w:val="21"/>
                    </w:rPr>
                    <w:t>二氧</w:t>
                  </w:r>
                </w:p>
                <w:p w14:paraId="6DE51E73">
                  <w:pPr>
                    <w:jc w:val="center"/>
                    <w:rPr>
                      <w:rFonts w:ascii="Times New Roman" w:hAnsi="Times New Roman" w:eastAsia="宋体" w:cs="Times New Roman"/>
                      <w:szCs w:val="21"/>
                    </w:rPr>
                  </w:pPr>
                  <w:r>
                    <w:rPr>
                      <w:rFonts w:hint="eastAsia" w:ascii="Times New Roman" w:hAnsi="Times New Roman" w:eastAsia="宋体" w:cs="Times New Roman"/>
                      <w:szCs w:val="21"/>
                    </w:rPr>
                    <w:t>化硫</w:t>
                  </w:r>
                </w:p>
              </w:tc>
              <w:tc>
                <w:tcPr>
                  <w:tcW w:w="670" w:type="pct"/>
                  <w:vAlign w:val="center"/>
                </w:tcPr>
                <w:p w14:paraId="09CE0AC1">
                  <w:pPr>
                    <w:jc w:val="center"/>
                    <w:rPr>
                      <w:rFonts w:ascii="Times New Roman" w:hAnsi="Times New Roman" w:eastAsia="宋体" w:cs="Times New Roman"/>
                      <w:szCs w:val="21"/>
                    </w:rPr>
                  </w:pPr>
                  <w:r>
                    <w:rPr>
                      <w:rFonts w:ascii="Times New Roman" w:hAnsi="Times New Roman" w:eastAsia="宋体" w:cs="Times New Roman"/>
                      <w:szCs w:val="21"/>
                    </w:rPr>
                    <w:t>实测值（mg/m</w:t>
                  </w:r>
                  <w:r>
                    <w:rPr>
                      <w:rFonts w:ascii="Times New Roman" w:hAnsi="Times New Roman" w:eastAsia="宋体" w:cs="Times New Roman"/>
                      <w:szCs w:val="21"/>
                      <w:vertAlign w:val="superscript"/>
                    </w:rPr>
                    <w:t>3</w:t>
                  </w:r>
                  <w:r>
                    <w:rPr>
                      <w:rFonts w:ascii="Times New Roman" w:hAnsi="Times New Roman" w:eastAsia="宋体" w:cs="Times New Roman"/>
                      <w:szCs w:val="21"/>
                    </w:rPr>
                    <w:t>）</w:t>
                  </w:r>
                </w:p>
              </w:tc>
              <w:tc>
                <w:tcPr>
                  <w:tcW w:w="550" w:type="pct"/>
                  <w:vAlign w:val="center"/>
                </w:tcPr>
                <w:p w14:paraId="407F5406">
                  <w:pPr>
                    <w:tabs>
                      <w:tab w:val="left" w:pos="990"/>
                    </w:tabs>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&lt;3</w:t>
                  </w:r>
                </w:p>
              </w:tc>
              <w:tc>
                <w:tcPr>
                  <w:tcW w:w="550" w:type="pct"/>
                  <w:vAlign w:val="center"/>
                </w:tcPr>
                <w:p w14:paraId="6FC72FB6">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&lt;3</w:t>
                  </w:r>
                </w:p>
              </w:tc>
              <w:tc>
                <w:tcPr>
                  <w:tcW w:w="550" w:type="pct"/>
                  <w:vAlign w:val="center"/>
                </w:tcPr>
                <w:p w14:paraId="477E4889">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&lt;3</w:t>
                  </w:r>
                </w:p>
              </w:tc>
              <w:tc>
                <w:tcPr>
                  <w:tcW w:w="551" w:type="pct"/>
                  <w:vAlign w:val="center"/>
                </w:tcPr>
                <w:p w14:paraId="52B18D81">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kern w:val="0"/>
                      <w:szCs w:val="21"/>
                      <w:lang w:bidi="ar"/>
                    </w:rPr>
                    <w:t>&lt;3</w:t>
                  </w:r>
                </w:p>
              </w:tc>
              <w:tc>
                <w:tcPr>
                  <w:tcW w:w="632" w:type="pct"/>
                  <w:vMerge w:val="restart"/>
                  <w:vAlign w:val="center"/>
                </w:tcPr>
                <w:p w14:paraId="6F71894E">
                  <w:pPr>
                    <w:widowControl/>
                    <w:jc w:val="center"/>
                    <w:textAlignment w:val="center"/>
                    <w:rPr>
                      <w:rFonts w:hint="default" w:ascii="Times New Roman" w:hAnsi="Times New Roman" w:eastAsia="宋体" w:cs="Times New Roman"/>
                      <w:kern w:val="0"/>
                      <w:szCs w:val="21"/>
                      <w:lang w:val="en-US" w:eastAsia="zh-CN" w:bidi="ar"/>
                    </w:rPr>
                  </w:pPr>
                  <w:r>
                    <w:rPr>
                      <w:rFonts w:hint="eastAsia" w:ascii="Times New Roman" w:hAnsi="Times New Roman" w:cs="Times New Roman"/>
                      <w:kern w:val="0"/>
                      <w:szCs w:val="21"/>
                      <w:lang w:val="en-US" w:eastAsia="zh-CN" w:bidi="ar"/>
                    </w:rPr>
                    <w:t>50</w:t>
                  </w:r>
                </w:p>
              </w:tc>
              <w:tc>
                <w:tcPr>
                  <w:tcW w:w="632" w:type="pct"/>
                  <w:vMerge w:val="restart"/>
                  <w:vAlign w:val="center"/>
                </w:tcPr>
                <w:p w14:paraId="6EC8EE02">
                  <w:pPr>
                    <w:widowControl/>
                    <w:jc w:val="center"/>
                    <w:textAlignment w:val="center"/>
                    <w:rPr>
                      <w:rFonts w:hint="eastAsia" w:ascii="Times New Roman" w:hAnsi="Times New Roman" w:eastAsia="宋体" w:cs="Times New Roman"/>
                      <w:kern w:val="0"/>
                      <w:szCs w:val="21"/>
                      <w:lang w:bidi="ar"/>
                    </w:rPr>
                  </w:pPr>
                  <w:r>
                    <w:rPr>
                      <w:rFonts w:hint="eastAsia" w:ascii="Times New Roman" w:hAnsi="Times New Roman" w:cs="Times New Roman"/>
                      <w:kern w:val="0"/>
                      <w:szCs w:val="21"/>
                      <w:lang w:val="en-US" w:eastAsia="zh-CN" w:bidi="ar"/>
                    </w:rPr>
                    <w:t>/</w:t>
                  </w:r>
                </w:p>
              </w:tc>
            </w:tr>
            <w:tr w14:paraId="46DE8E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7" w:type="pct"/>
                  <w:vMerge w:val="continue"/>
                  <w:vAlign w:val="center"/>
                </w:tcPr>
                <w:p w14:paraId="738346AB">
                  <w:pPr>
                    <w:jc w:val="center"/>
                    <w:rPr>
                      <w:rFonts w:ascii="Times New Roman" w:hAnsi="Times New Roman" w:eastAsia="宋体" w:cs="Times New Roman"/>
                      <w:szCs w:val="21"/>
                    </w:rPr>
                  </w:pPr>
                </w:p>
              </w:tc>
              <w:tc>
                <w:tcPr>
                  <w:tcW w:w="265" w:type="pct"/>
                  <w:vMerge w:val="continue"/>
                  <w:vAlign w:val="center"/>
                </w:tcPr>
                <w:p w14:paraId="0E3B1632">
                  <w:pPr>
                    <w:jc w:val="center"/>
                    <w:rPr>
                      <w:rFonts w:ascii="Times New Roman" w:hAnsi="Times New Roman" w:eastAsia="宋体" w:cs="Times New Roman"/>
                      <w:szCs w:val="21"/>
                    </w:rPr>
                  </w:pPr>
                </w:p>
              </w:tc>
              <w:tc>
                <w:tcPr>
                  <w:tcW w:w="239" w:type="pct"/>
                  <w:vMerge w:val="continue"/>
                  <w:vAlign w:val="center"/>
                </w:tcPr>
                <w:p w14:paraId="0BCF35CA">
                  <w:pPr>
                    <w:jc w:val="center"/>
                    <w:rPr>
                      <w:rFonts w:ascii="Times New Roman" w:hAnsi="Times New Roman" w:eastAsia="宋体" w:cs="Times New Roman"/>
                      <w:szCs w:val="21"/>
                    </w:rPr>
                  </w:pPr>
                </w:p>
              </w:tc>
              <w:tc>
                <w:tcPr>
                  <w:tcW w:w="670" w:type="pct"/>
                  <w:vAlign w:val="center"/>
                </w:tcPr>
                <w:p w14:paraId="274F2DA6">
                  <w:pPr>
                    <w:jc w:val="center"/>
                    <w:rPr>
                      <w:rFonts w:ascii="Times New Roman" w:hAnsi="Times New Roman" w:eastAsia="宋体" w:cs="Times New Roman"/>
                      <w:szCs w:val="21"/>
                    </w:rPr>
                  </w:pPr>
                  <w:r>
                    <w:rPr>
                      <w:rFonts w:hint="eastAsia" w:ascii="Times New Roman" w:hAnsi="Times New Roman" w:eastAsia="宋体" w:cs="Times New Roman"/>
                      <w:szCs w:val="21"/>
                    </w:rPr>
                    <w:t>折算</w:t>
                  </w:r>
                  <w:r>
                    <w:rPr>
                      <w:rFonts w:ascii="Times New Roman" w:hAnsi="Times New Roman" w:eastAsia="宋体" w:cs="Times New Roman"/>
                      <w:szCs w:val="21"/>
                    </w:rPr>
                    <w:t>值（mg/m</w:t>
                  </w:r>
                  <w:r>
                    <w:rPr>
                      <w:rFonts w:ascii="Times New Roman" w:hAnsi="Times New Roman" w:eastAsia="宋体" w:cs="Times New Roman"/>
                      <w:szCs w:val="21"/>
                      <w:vertAlign w:val="superscript"/>
                    </w:rPr>
                    <w:t>3</w:t>
                  </w:r>
                  <w:r>
                    <w:rPr>
                      <w:rFonts w:ascii="Times New Roman" w:hAnsi="Times New Roman" w:eastAsia="宋体" w:cs="Times New Roman"/>
                      <w:szCs w:val="21"/>
                    </w:rPr>
                    <w:t>）</w:t>
                  </w:r>
                </w:p>
              </w:tc>
              <w:tc>
                <w:tcPr>
                  <w:tcW w:w="550" w:type="pct"/>
                  <w:vAlign w:val="center"/>
                </w:tcPr>
                <w:p w14:paraId="2396F3AD">
                  <w:pPr>
                    <w:tabs>
                      <w:tab w:val="left" w:pos="990"/>
                    </w:tabs>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&lt;4</w:t>
                  </w:r>
                </w:p>
              </w:tc>
              <w:tc>
                <w:tcPr>
                  <w:tcW w:w="550" w:type="pct"/>
                  <w:vAlign w:val="center"/>
                </w:tcPr>
                <w:p w14:paraId="710EFA6D">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&lt;4</w:t>
                  </w:r>
                </w:p>
              </w:tc>
              <w:tc>
                <w:tcPr>
                  <w:tcW w:w="550" w:type="pct"/>
                  <w:vAlign w:val="center"/>
                </w:tcPr>
                <w:p w14:paraId="66AA2BD8">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&lt;4</w:t>
                  </w:r>
                </w:p>
              </w:tc>
              <w:tc>
                <w:tcPr>
                  <w:tcW w:w="551" w:type="pct"/>
                  <w:vAlign w:val="center"/>
                </w:tcPr>
                <w:p w14:paraId="2960EE3D">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kern w:val="0"/>
                      <w:szCs w:val="21"/>
                      <w:lang w:bidi="ar"/>
                    </w:rPr>
                    <w:t>&lt;4</w:t>
                  </w:r>
                </w:p>
              </w:tc>
              <w:tc>
                <w:tcPr>
                  <w:tcW w:w="632" w:type="pct"/>
                  <w:vMerge w:val="continue"/>
                  <w:vAlign w:val="center"/>
                </w:tcPr>
                <w:p w14:paraId="65B230D3">
                  <w:pPr>
                    <w:widowControl/>
                    <w:jc w:val="center"/>
                    <w:textAlignment w:val="center"/>
                    <w:rPr>
                      <w:rFonts w:hint="eastAsia" w:ascii="Times New Roman" w:hAnsi="Times New Roman" w:eastAsia="宋体" w:cs="Times New Roman"/>
                      <w:kern w:val="0"/>
                      <w:szCs w:val="21"/>
                      <w:lang w:bidi="ar"/>
                    </w:rPr>
                  </w:pPr>
                </w:p>
              </w:tc>
              <w:tc>
                <w:tcPr>
                  <w:tcW w:w="632" w:type="pct"/>
                  <w:vMerge w:val="continue"/>
                  <w:vAlign w:val="center"/>
                </w:tcPr>
                <w:p w14:paraId="3081DC9B">
                  <w:pPr>
                    <w:widowControl/>
                    <w:jc w:val="center"/>
                    <w:textAlignment w:val="center"/>
                    <w:rPr>
                      <w:rFonts w:hint="eastAsia" w:ascii="Times New Roman" w:hAnsi="Times New Roman" w:eastAsia="宋体" w:cs="Times New Roman"/>
                      <w:kern w:val="0"/>
                      <w:szCs w:val="21"/>
                      <w:lang w:bidi="ar"/>
                    </w:rPr>
                  </w:pPr>
                </w:p>
              </w:tc>
            </w:tr>
            <w:tr w14:paraId="18B559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7" w:type="pct"/>
                  <w:vMerge w:val="continue"/>
                  <w:vAlign w:val="center"/>
                </w:tcPr>
                <w:p w14:paraId="50EE7F72">
                  <w:pPr>
                    <w:jc w:val="center"/>
                    <w:rPr>
                      <w:rFonts w:ascii="Times New Roman" w:hAnsi="Times New Roman" w:eastAsia="宋体" w:cs="Times New Roman"/>
                      <w:szCs w:val="21"/>
                    </w:rPr>
                  </w:pPr>
                </w:p>
              </w:tc>
              <w:tc>
                <w:tcPr>
                  <w:tcW w:w="265" w:type="pct"/>
                  <w:vMerge w:val="continue"/>
                  <w:vAlign w:val="center"/>
                </w:tcPr>
                <w:p w14:paraId="689C0630">
                  <w:pPr>
                    <w:jc w:val="center"/>
                    <w:rPr>
                      <w:rFonts w:ascii="Times New Roman" w:hAnsi="Times New Roman" w:eastAsia="宋体" w:cs="Times New Roman"/>
                      <w:szCs w:val="21"/>
                    </w:rPr>
                  </w:pPr>
                </w:p>
              </w:tc>
              <w:tc>
                <w:tcPr>
                  <w:tcW w:w="239" w:type="pct"/>
                  <w:vMerge w:val="continue"/>
                  <w:vAlign w:val="center"/>
                </w:tcPr>
                <w:p w14:paraId="44A64E1B">
                  <w:pPr>
                    <w:jc w:val="center"/>
                    <w:rPr>
                      <w:rFonts w:ascii="Times New Roman" w:hAnsi="Times New Roman" w:eastAsia="宋体" w:cs="Times New Roman"/>
                      <w:szCs w:val="21"/>
                    </w:rPr>
                  </w:pPr>
                </w:p>
              </w:tc>
              <w:tc>
                <w:tcPr>
                  <w:tcW w:w="670" w:type="pct"/>
                  <w:vAlign w:val="center"/>
                </w:tcPr>
                <w:p w14:paraId="3B0F4683">
                  <w:pPr>
                    <w:jc w:val="center"/>
                    <w:rPr>
                      <w:rFonts w:ascii="Times New Roman" w:hAnsi="Times New Roman" w:eastAsia="宋体" w:cs="Times New Roman"/>
                      <w:szCs w:val="21"/>
                    </w:rPr>
                  </w:pPr>
                  <w:r>
                    <w:rPr>
                      <w:rFonts w:ascii="Times New Roman" w:hAnsi="Times New Roman" w:eastAsia="宋体" w:cs="Times New Roman"/>
                      <w:szCs w:val="21"/>
                    </w:rPr>
                    <w:t>排放速率（kg/h）</w:t>
                  </w:r>
                </w:p>
              </w:tc>
              <w:tc>
                <w:tcPr>
                  <w:tcW w:w="550" w:type="pct"/>
                  <w:vAlign w:val="center"/>
                </w:tcPr>
                <w:p w14:paraId="5410EE39">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&lt;0.02</w:t>
                  </w:r>
                </w:p>
              </w:tc>
              <w:tc>
                <w:tcPr>
                  <w:tcW w:w="550" w:type="pct"/>
                  <w:vAlign w:val="center"/>
                </w:tcPr>
                <w:p w14:paraId="288FEA5C">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&lt;0.02</w:t>
                  </w:r>
                </w:p>
              </w:tc>
              <w:tc>
                <w:tcPr>
                  <w:tcW w:w="550" w:type="pct"/>
                  <w:vAlign w:val="center"/>
                </w:tcPr>
                <w:p w14:paraId="341E833F">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&lt;0.02</w:t>
                  </w:r>
                </w:p>
              </w:tc>
              <w:tc>
                <w:tcPr>
                  <w:tcW w:w="551" w:type="pct"/>
                  <w:vAlign w:val="center"/>
                </w:tcPr>
                <w:p w14:paraId="119DC7BB">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&lt;0.02</w:t>
                  </w:r>
                </w:p>
              </w:tc>
              <w:tc>
                <w:tcPr>
                  <w:tcW w:w="632" w:type="pct"/>
                  <w:vMerge w:val="continue"/>
                  <w:vAlign w:val="center"/>
                </w:tcPr>
                <w:p w14:paraId="316AB45C">
                  <w:pPr>
                    <w:widowControl/>
                    <w:jc w:val="center"/>
                    <w:textAlignment w:val="center"/>
                    <w:rPr>
                      <w:rFonts w:hint="eastAsia" w:ascii="Times New Roman" w:hAnsi="Times New Roman" w:eastAsia="宋体" w:cs="Times New Roman"/>
                      <w:kern w:val="0"/>
                      <w:szCs w:val="21"/>
                      <w:lang w:bidi="ar"/>
                    </w:rPr>
                  </w:pPr>
                </w:p>
              </w:tc>
              <w:tc>
                <w:tcPr>
                  <w:tcW w:w="632" w:type="pct"/>
                  <w:vMerge w:val="continue"/>
                  <w:vAlign w:val="center"/>
                </w:tcPr>
                <w:p w14:paraId="4B1D96C4">
                  <w:pPr>
                    <w:widowControl/>
                    <w:jc w:val="center"/>
                    <w:textAlignment w:val="center"/>
                    <w:rPr>
                      <w:rFonts w:hint="eastAsia" w:ascii="Times New Roman" w:hAnsi="Times New Roman" w:eastAsia="宋体" w:cs="Times New Roman"/>
                      <w:kern w:val="0"/>
                      <w:szCs w:val="21"/>
                      <w:lang w:bidi="ar"/>
                    </w:rPr>
                  </w:pPr>
                </w:p>
              </w:tc>
            </w:tr>
            <w:tr w14:paraId="2DB30A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7" w:type="pct"/>
                  <w:vMerge w:val="continue"/>
                  <w:vAlign w:val="center"/>
                </w:tcPr>
                <w:p w14:paraId="4CC591DA">
                  <w:pPr>
                    <w:jc w:val="center"/>
                    <w:rPr>
                      <w:rFonts w:ascii="Times New Roman" w:hAnsi="Times New Roman" w:eastAsia="宋体" w:cs="Times New Roman"/>
                      <w:szCs w:val="21"/>
                    </w:rPr>
                  </w:pPr>
                </w:p>
              </w:tc>
              <w:tc>
                <w:tcPr>
                  <w:tcW w:w="265" w:type="pct"/>
                  <w:vMerge w:val="continue"/>
                  <w:vAlign w:val="center"/>
                </w:tcPr>
                <w:p w14:paraId="52793E06">
                  <w:pPr>
                    <w:jc w:val="center"/>
                    <w:rPr>
                      <w:rFonts w:ascii="Times New Roman" w:hAnsi="Times New Roman" w:eastAsia="宋体" w:cs="Times New Roman"/>
                      <w:szCs w:val="21"/>
                    </w:rPr>
                  </w:pPr>
                </w:p>
              </w:tc>
              <w:tc>
                <w:tcPr>
                  <w:tcW w:w="239" w:type="pct"/>
                  <w:vMerge w:val="restart"/>
                  <w:vAlign w:val="center"/>
                </w:tcPr>
                <w:p w14:paraId="104D4041">
                  <w:pPr>
                    <w:jc w:val="center"/>
                    <w:rPr>
                      <w:rFonts w:ascii="Times New Roman" w:hAnsi="Times New Roman" w:eastAsia="宋体" w:cs="Times New Roman"/>
                      <w:szCs w:val="21"/>
                    </w:rPr>
                  </w:pPr>
                  <w:r>
                    <w:rPr>
                      <w:rFonts w:hint="eastAsia" w:ascii="Times New Roman" w:hAnsi="Times New Roman" w:eastAsia="宋体" w:cs="Times New Roman"/>
                      <w:szCs w:val="21"/>
                    </w:rPr>
                    <w:t>氮氧</w:t>
                  </w:r>
                </w:p>
                <w:p w14:paraId="7EA6A971">
                  <w:pPr>
                    <w:jc w:val="center"/>
                    <w:rPr>
                      <w:rFonts w:ascii="Times New Roman" w:hAnsi="Times New Roman" w:eastAsia="宋体" w:cs="Times New Roman"/>
                      <w:szCs w:val="21"/>
                    </w:rPr>
                  </w:pPr>
                  <w:r>
                    <w:rPr>
                      <w:rFonts w:hint="eastAsia" w:ascii="Times New Roman" w:hAnsi="Times New Roman" w:eastAsia="宋体" w:cs="Times New Roman"/>
                      <w:szCs w:val="21"/>
                    </w:rPr>
                    <w:t>化物</w:t>
                  </w:r>
                </w:p>
              </w:tc>
              <w:tc>
                <w:tcPr>
                  <w:tcW w:w="670" w:type="pct"/>
                  <w:vAlign w:val="center"/>
                </w:tcPr>
                <w:p w14:paraId="5ABF5E38">
                  <w:pPr>
                    <w:jc w:val="center"/>
                    <w:rPr>
                      <w:rFonts w:ascii="Times New Roman" w:hAnsi="Times New Roman" w:eastAsia="宋体" w:cs="Times New Roman"/>
                      <w:szCs w:val="21"/>
                    </w:rPr>
                  </w:pPr>
                  <w:r>
                    <w:rPr>
                      <w:rFonts w:ascii="Times New Roman" w:hAnsi="Times New Roman" w:eastAsia="宋体" w:cs="Times New Roman"/>
                      <w:szCs w:val="21"/>
                    </w:rPr>
                    <w:t>实测值（mg/m</w:t>
                  </w:r>
                  <w:r>
                    <w:rPr>
                      <w:rFonts w:ascii="Times New Roman" w:hAnsi="Times New Roman" w:eastAsia="宋体" w:cs="Times New Roman"/>
                      <w:szCs w:val="21"/>
                      <w:vertAlign w:val="superscript"/>
                    </w:rPr>
                    <w:t>3</w:t>
                  </w:r>
                  <w:r>
                    <w:rPr>
                      <w:rFonts w:ascii="Times New Roman" w:hAnsi="Times New Roman" w:eastAsia="宋体" w:cs="Times New Roman"/>
                      <w:szCs w:val="21"/>
                    </w:rPr>
                    <w:t>）</w:t>
                  </w:r>
                </w:p>
              </w:tc>
              <w:tc>
                <w:tcPr>
                  <w:tcW w:w="550" w:type="pct"/>
                  <w:vAlign w:val="center"/>
                </w:tcPr>
                <w:p w14:paraId="7A8E6215">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47</w:t>
                  </w:r>
                </w:p>
              </w:tc>
              <w:tc>
                <w:tcPr>
                  <w:tcW w:w="550" w:type="pct"/>
                  <w:vAlign w:val="center"/>
                </w:tcPr>
                <w:p w14:paraId="4355B45E">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53</w:t>
                  </w:r>
                </w:p>
              </w:tc>
              <w:tc>
                <w:tcPr>
                  <w:tcW w:w="550" w:type="pct"/>
                  <w:vAlign w:val="center"/>
                </w:tcPr>
                <w:p w14:paraId="49F553FD">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49</w:t>
                  </w:r>
                </w:p>
              </w:tc>
              <w:tc>
                <w:tcPr>
                  <w:tcW w:w="551" w:type="pct"/>
                  <w:vAlign w:val="center"/>
                </w:tcPr>
                <w:p w14:paraId="63A3E295">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50</w:t>
                  </w:r>
                </w:p>
              </w:tc>
              <w:tc>
                <w:tcPr>
                  <w:tcW w:w="632" w:type="pct"/>
                  <w:vMerge w:val="restart"/>
                  <w:vAlign w:val="center"/>
                </w:tcPr>
                <w:p w14:paraId="0D760A23">
                  <w:pPr>
                    <w:jc w:val="center"/>
                    <w:rPr>
                      <w:rFonts w:hint="default" w:ascii="Times New Roman" w:hAnsi="Times New Roman" w:eastAsia="宋体" w:cs="Times New Roman"/>
                      <w:kern w:val="0"/>
                      <w:szCs w:val="21"/>
                      <w:lang w:val="en-US" w:eastAsia="zh-CN" w:bidi="ar"/>
                    </w:rPr>
                  </w:pPr>
                  <w:r>
                    <w:rPr>
                      <w:rFonts w:hint="eastAsia" w:ascii="Times New Roman" w:hAnsi="Times New Roman" w:cs="Times New Roman"/>
                      <w:kern w:val="0"/>
                      <w:szCs w:val="21"/>
                      <w:lang w:val="en-US" w:eastAsia="zh-CN" w:bidi="ar"/>
                    </w:rPr>
                    <w:t>150</w:t>
                  </w:r>
                </w:p>
              </w:tc>
              <w:tc>
                <w:tcPr>
                  <w:tcW w:w="632" w:type="pct"/>
                  <w:vMerge w:val="restart"/>
                  <w:vAlign w:val="center"/>
                </w:tcPr>
                <w:p w14:paraId="79193D00">
                  <w:pPr>
                    <w:jc w:val="center"/>
                    <w:rPr>
                      <w:rFonts w:hint="eastAsia" w:ascii="Times New Roman" w:hAnsi="Times New Roman" w:eastAsia="宋体" w:cs="Times New Roman"/>
                      <w:kern w:val="0"/>
                      <w:szCs w:val="21"/>
                      <w:lang w:bidi="ar"/>
                    </w:rPr>
                  </w:pPr>
                  <w:r>
                    <w:rPr>
                      <w:rFonts w:hint="eastAsia" w:ascii="Times New Roman" w:hAnsi="Times New Roman" w:cs="Times New Roman"/>
                      <w:kern w:val="0"/>
                      <w:szCs w:val="21"/>
                      <w:lang w:val="en-US" w:eastAsia="zh-CN" w:bidi="ar"/>
                    </w:rPr>
                    <w:t>/</w:t>
                  </w:r>
                </w:p>
              </w:tc>
            </w:tr>
            <w:tr w14:paraId="7088AD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7" w:type="pct"/>
                  <w:vMerge w:val="continue"/>
                  <w:vAlign w:val="center"/>
                </w:tcPr>
                <w:p w14:paraId="071C878C">
                  <w:pPr>
                    <w:jc w:val="center"/>
                    <w:rPr>
                      <w:rFonts w:ascii="Times New Roman" w:hAnsi="Times New Roman" w:eastAsia="宋体" w:cs="Times New Roman"/>
                      <w:szCs w:val="21"/>
                    </w:rPr>
                  </w:pPr>
                </w:p>
              </w:tc>
              <w:tc>
                <w:tcPr>
                  <w:tcW w:w="265" w:type="pct"/>
                  <w:vMerge w:val="continue"/>
                  <w:vAlign w:val="center"/>
                </w:tcPr>
                <w:p w14:paraId="6C88AB3F">
                  <w:pPr>
                    <w:jc w:val="center"/>
                    <w:rPr>
                      <w:rFonts w:ascii="Times New Roman" w:hAnsi="Times New Roman" w:eastAsia="宋体" w:cs="Times New Roman"/>
                      <w:szCs w:val="21"/>
                    </w:rPr>
                  </w:pPr>
                </w:p>
              </w:tc>
              <w:tc>
                <w:tcPr>
                  <w:tcW w:w="239" w:type="pct"/>
                  <w:vMerge w:val="continue"/>
                  <w:vAlign w:val="center"/>
                </w:tcPr>
                <w:p w14:paraId="521E823A">
                  <w:pPr>
                    <w:jc w:val="center"/>
                    <w:rPr>
                      <w:rFonts w:ascii="Times New Roman" w:hAnsi="Times New Roman" w:eastAsia="宋体" w:cs="Times New Roman"/>
                      <w:szCs w:val="21"/>
                    </w:rPr>
                  </w:pPr>
                </w:p>
              </w:tc>
              <w:tc>
                <w:tcPr>
                  <w:tcW w:w="670" w:type="pct"/>
                  <w:vAlign w:val="center"/>
                </w:tcPr>
                <w:p w14:paraId="7776CC19">
                  <w:pPr>
                    <w:jc w:val="center"/>
                    <w:rPr>
                      <w:rFonts w:ascii="Times New Roman" w:hAnsi="Times New Roman" w:eastAsia="宋体" w:cs="Times New Roman"/>
                      <w:szCs w:val="21"/>
                    </w:rPr>
                  </w:pPr>
                  <w:r>
                    <w:rPr>
                      <w:rFonts w:hint="eastAsia" w:ascii="Times New Roman" w:hAnsi="Times New Roman" w:eastAsia="宋体" w:cs="Times New Roman"/>
                      <w:szCs w:val="21"/>
                    </w:rPr>
                    <w:t>折算</w:t>
                  </w:r>
                  <w:r>
                    <w:rPr>
                      <w:rFonts w:ascii="Times New Roman" w:hAnsi="Times New Roman" w:eastAsia="宋体" w:cs="Times New Roman"/>
                      <w:szCs w:val="21"/>
                    </w:rPr>
                    <w:t>值（mg/m</w:t>
                  </w:r>
                  <w:r>
                    <w:rPr>
                      <w:rFonts w:ascii="Times New Roman" w:hAnsi="Times New Roman" w:eastAsia="宋体" w:cs="Times New Roman"/>
                      <w:szCs w:val="21"/>
                      <w:vertAlign w:val="superscript"/>
                    </w:rPr>
                    <w:t>3</w:t>
                  </w:r>
                  <w:r>
                    <w:rPr>
                      <w:rFonts w:ascii="Times New Roman" w:hAnsi="Times New Roman" w:eastAsia="宋体" w:cs="Times New Roman"/>
                      <w:szCs w:val="21"/>
                    </w:rPr>
                    <w:t>）</w:t>
                  </w:r>
                </w:p>
              </w:tc>
              <w:tc>
                <w:tcPr>
                  <w:tcW w:w="550" w:type="pct"/>
                  <w:vAlign w:val="center"/>
                </w:tcPr>
                <w:p w14:paraId="2380E3E7">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56</w:t>
                  </w:r>
                </w:p>
              </w:tc>
              <w:tc>
                <w:tcPr>
                  <w:tcW w:w="550" w:type="pct"/>
                  <w:vAlign w:val="center"/>
                </w:tcPr>
                <w:p w14:paraId="22B3E279">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65</w:t>
                  </w:r>
                </w:p>
              </w:tc>
              <w:tc>
                <w:tcPr>
                  <w:tcW w:w="550" w:type="pct"/>
                  <w:vAlign w:val="center"/>
                </w:tcPr>
                <w:p w14:paraId="6A03EF5B">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59</w:t>
                  </w:r>
                </w:p>
              </w:tc>
              <w:tc>
                <w:tcPr>
                  <w:tcW w:w="551" w:type="pct"/>
                  <w:vAlign w:val="center"/>
                </w:tcPr>
                <w:p w14:paraId="34026720">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60</w:t>
                  </w:r>
                </w:p>
              </w:tc>
              <w:tc>
                <w:tcPr>
                  <w:tcW w:w="632" w:type="pct"/>
                  <w:vMerge w:val="continue"/>
                  <w:vAlign w:val="center"/>
                </w:tcPr>
                <w:p w14:paraId="63189AF7">
                  <w:pPr>
                    <w:jc w:val="center"/>
                    <w:rPr>
                      <w:rFonts w:hint="eastAsia" w:ascii="Times New Roman" w:hAnsi="Times New Roman" w:eastAsia="宋体" w:cs="Times New Roman"/>
                      <w:kern w:val="0"/>
                      <w:szCs w:val="21"/>
                      <w:lang w:bidi="ar"/>
                    </w:rPr>
                  </w:pPr>
                </w:p>
              </w:tc>
              <w:tc>
                <w:tcPr>
                  <w:tcW w:w="632" w:type="pct"/>
                  <w:vMerge w:val="continue"/>
                  <w:vAlign w:val="center"/>
                </w:tcPr>
                <w:p w14:paraId="703B5C43">
                  <w:pPr>
                    <w:jc w:val="center"/>
                    <w:rPr>
                      <w:rFonts w:hint="eastAsia" w:ascii="Times New Roman" w:hAnsi="Times New Roman" w:eastAsia="宋体" w:cs="Times New Roman"/>
                      <w:kern w:val="0"/>
                      <w:szCs w:val="21"/>
                      <w:lang w:bidi="ar"/>
                    </w:rPr>
                  </w:pPr>
                </w:p>
              </w:tc>
            </w:tr>
            <w:tr w14:paraId="281F8A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7" w:type="pct"/>
                  <w:vMerge w:val="continue"/>
                  <w:vAlign w:val="center"/>
                </w:tcPr>
                <w:p w14:paraId="04805092">
                  <w:pPr>
                    <w:jc w:val="center"/>
                    <w:rPr>
                      <w:rFonts w:ascii="Times New Roman" w:hAnsi="Times New Roman" w:eastAsia="宋体" w:cs="Times New Roman"/>
                      <w:szCs w:val="21"/>
                    </w:rPr>
                  </w:pPr>
                </w:p>
              </w:tc>
              <w:tc>
                <w:tcPr>
                  <w:tcW w:w="265" w:type="pct"/>
                  <w:vMerge w:val="continue"/>
                  <w:vAlign w:val="center"/>
                </w:tcPr>
                <w:p w14:paraId="499F99F3">
                  <w:pPr>
                    <w:jc w:val="center"/>
                    <w:rPr>
                      <w:rFonts w:ascii="Times New Roman" w:hAnsi="Times New Roman" w:eastAsia="宋体" w:cs="Times New Roman"/>
                      <w:szCs w:val="21"/>
                    </w:rPr>
                  </w:pPr>
                </w:p>
              </w:tc>
              <w:tc>
                <w:tcPr>
                  <w:tcW w:w="239" w:type="pct"/>
                  <w:vMerge w:val="continue"/>
                  <w:vAlign w:val="center"/>
                </w:tcPr>
                <w:p w14:paraId="0AE1DFDD">
                  <w:pPr>
                    <w:jc w:val="center"/>
                    <w:rPr>
                      <w:rFonts w:ascii="Times New Roman" w:hAnsi="Times New Roman" w:eastAsia="宋体" w:cs="Times New Roman"/>
                      <w:szCs w:val="21"/>
                    </w:rPr>
                  </w:pPr>
                </w:p>
              </w:tc>
              <w:tc>
                <w:tcPr>
                  <w:tcW w:w="670" w:type="pct"/>
                  <w:vAlign w:val="center"/>
                </w:tcPr>
                <w:p w14:paraId="1655D9EF">
                  <w:pPr>
                    <w:jc w:val="center"/>
                    <w:rPr>
                      <w:rFonts w:ascii="Times New Roman" w:hAnsi="Times New Roman" w:eastAsia="宋体" w:cs="Times New Roman"/>
                      <w:szCs w:val="21"/>
                    </w:rPr>
                  </w:pPr>
                  <w:r>
                    <w:rPr>
                      <w:rFonts w:ascii="Times New Roman" w:hAnsi="Times New Roman" w:eastAsia="宋体" w:cs="Times New Roman"/>
                      <w:szCs w:val="21"/>
                    </w:rPr>
                    <w:t>排放速率（kg/h）</w:t>
                  </w:r>
                </w:p>
              </w:tc>
              <w:tc>
                <w:tcPr>
                  <w:tcW w:w="550" w:type="pct"/>
                  <w:vAlign w:val="center"/>
                </w:tcPr>
                <w:p w14:paraId="76966596">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0.35</w:t>
                  </w:r>
                </w:p>
              </w:tc>
              <w:tc>
                <w:tcPr>
                  <w:tcW w:w="550" w:type="pct"/>
                  <w:vAlign w:val="center"/>
                </w:tcPr>
                <w:p w14:paraId="02C41B70">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0.37</w:t>
                  </w:r>
                </w:p>
              </w:tc>
              <w:tc>
                <w:tcPr>
                  <w:tcW w:w="550" w:type="pct"/>
                  <w:vAlign w:val="center"/>
                </w:tcPr>
                <w:p w14:paraId="385D598D">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0.35</w:t>
                  </w:r>
                </w:p>
              </w:tc>
              <w:tc>
                <w:tcPr>
                  <w:tcW w:w="551" w:type="pct"/>
                  <w:vAlign w:val="center"/>
                </w:tcPr>
                <w:p w14:paraId="70414319">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0.35</w:t>
                  </w:r>
                </w:p>
              </w:tc>
              <w:tc>
                <w:tcPr>
                  <w:tcW w:w="632" w:type="pct"/>
                  <w:vMerge w:val="continue"/>
                  <w:vAlign w:val="center"/>
                </w:tcPr>
                <w:p w14:paraId="50EA872B">
                  <w:pPr>
                    <w:widowControl/>
                    <w:jc w:val="center"/>
                    <w:textAlignment w:val="center"/>
                    <w:rPr>
                      <w:rFonts w:hint="eastAsia" w:ascii="Times New Roman" w:hAnsi="Times New Roman" w:eastAsia="宋体" w:cs="Times New Roman"/>
                      <w:kern w:val="0"/>
                      <w:szCs w:val="21"/>
                      <w:lang w:bidi="ar"/>
                    </w:rPr>
                  </w:pPr>
                </w:p>
              </w:tc>
              <w:tc>
                <w:tcPr>
                  <w:tcW w:w="632" w:type="pct"/>
                  <w:vMerge w:val="continue"/>
                  <w:vAlign w:val="center"/>
                </w:tcPr>
                <w:p w14:paraId="3C754D50">
                  <w:pPr>
                    <w:widowControl/>
                    <w:jc w:val="center"/>
                    <w:textAlignment w:val="center"/>
                    <w:rPr>
                      <w:rFonts w:hint="eastAsia" w:ascii="Times New Roman" w:hAnsi="Times New Roman" w:eastAsia="宋体" w:cs="Times New Roman"/>
                      <w:kern w:val="0"/>
                      <w:szCs w:val="21"/>
                      <w:lang w:bidi="ar"/>
                    </w:rPr>
                  </w:pPr>
                </w:p>
              </w:tc>
            </w:tr>
            <w:tr w14:paraId="22A4CC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7" w:type="pct"/>
                  <w:vMerge w:val="continue"/>
                  <w:vAlign w:val="center"/>
                </w:tcPr>
                <w:p w14:paraId="3B0522A6">
                  <w:pPr>
                    <w:jc w:val="center"/>
                    <w:rPr>
                      <w:rFonts w:ascii="Times New Roman" w:hAnsi="Times New Roman" w:eastAsia="宋体" w:cs="Times New Roman"/>
                      <w:szCs w:val="21"/>
                    </w:rPr>
                  </w:pPr>
                </w:p>
              </w:tc>
              <w:tc>
                <w:tcPr>
                  <w:tcW w:w="265" w:type="pct"/>
                  <w:vMerge w:val="continue"/>
                  <w:vAlign w:val="center"/>
                </w:tcPr>
                <w:p w14:paraId="4F0F1544">
                  <w:pPr>
                    <w:jc w:val="center"/>
                    <w:rPr>
                      <w:rFonts w:ascii="Times New Roman" w:hAnsi="Times New Roman" w:eastAsia="宋体" w:cs="Times New Roman"/>
                      <w:szCs w:val="21"/>
                    </w:rPr>
                  </w:pPr>
                </w:p>
              </w:tc>
              <w:tc>
                <w:tcPr>
                  <w:tcW w:w="910" w:type="pct"/>
                  <w:gridSpan w:val="2"/>
                  <w:vAlign w:val="center"/>
                </w:tcPr>
                <w:p w14:paraId="10AFBF2D">
                  <w:pPr>
                    <w:jc w:val="center"/>
                    <w:rPr>
                      <w:rFonts w:ascii="Times New Roman" w:hAnsi="Times New Roman" w:eastAsia="宋体" w:cs="Times New Roman"/>
                      <w:szCs w:val="21"/>
                    </w:rPr>
                  </w:pPr>
                  <w:r>
                    <w:rPr>
                      <w:rFonts w:hint="eastAsia" w:ascii="Times New Roman" w:hAnsi="Times New Roman" w:eastAsia="宋体" w:cs="Times New Roman"/>
                      <w:szCs w:val="21"/>
                    </w:rPr>
                    <w:t>烟气黑度（级）</w:t>
                  </w:r>
                </w:p>
              </w:tc>
              <w:tc>
                <w:tcPr>
                  <w:tcW w:w="550" w:type="pct"/>
                  <w:vAlign w:val="center"/>
                </w:tcPr>
                <w:p w14:paraId="4145E349">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&lt;1</w:t>
                  </w:r>
                </w:p>
              </w:tc>
              <w:tc>
                <w:tcPr>
                  <w:tcW w:w="550" w:type="pct"/>
                  <w:vAlign w:val="center"/>
                </w:tcPr>
                <w:p w14:paraId="312D3B5E">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&lt;1</w:t>
                  </w:r>
                </w:p>
              </w:tc>
              <w:tc>
                <w:tcPr>
                  <w:tcW w:w="550" w:type="pct"/>
                  <w:vAlign w:val="center"/>
                </w:tcPr>
                <w:p w14:paraId="2F4B4271">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&lt;1</w:t>
                  </w:r>
                </w:p>
              </w:tc>
              <w:tc>
                <w:tcPr>
                  <w:tcW w:w="551" w:type="pct"/>
                  <w:vAlign w:val="center"/>
                </w:tcPr>
                <w:p w14:paraId="7540B2DA">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&lt;1</w:t>
                  </w:r>
                </w:p>
              </w:tc>
              <w:tc>
                <w:tcPr>
                  <w:tcW w:w="632" w:type="pct"/>
                  <w:vAlign w:val="center"/>
                </w:tcPr>
                <w:p w14:paraId="681A5AD7">
                  <w:pPr>
                    <w:jc w:val="center"/>
                    <w:rPr>
                      <w:rFonts w:hint="eastAsia" w:ascii="Times New Roman" w:hAnsi="Times New Roman" w:eastAsia="宋体" w:cs="Times New Roman"/>
                      <w:kern w:val="0"/>
                      <w:szCs w:val="21"/>
                      <w:lang w:val="en-US" w:eastAsia="zh-CN" w:bidi="ar"/>
                    </w:rPr>
                  </w:pPr>
                  <w:r>
                    <w:rPr>
                      <w:rFonts w:hint="eastAsia" w:ascii="Times New Roman" w:hAnsi="Times New Roman" w:cs="Times New Roman"/>
                      <w:kern w:val="0"/>
                      <w:szCs w:val="21"/>
                      <w:lang w:val="en-US" w:eastAsia="zh-CN" w:bidi="ar"/>
                    </w:rPr>
                    <w:t>1</w:t>
                  </w:r>
                </w:p>
              </w:tc>
              <w:tc>
                <w:tcPr>
                  <w:tcW w:w="632" w:type="pct"/>
                  <w:vAlign w:val="center"/>
                </w:tcPr>
                <w:p w14:paraId="24949727">
                  <w:pPr>
                    <w:jc w:val="center"/>
                    <w:rPr>
                      <w:rFonts w:hint="eastAsia" w:ascii="Times New Roman" w:hAnsi="Times New Roman" w:eastAsia="宋体" w:cs="Times New Roman"/>
                      <w:kern w:val="0"/>
                      <w:szCs w:val="21"/>
                      <w:lang w:val="en-US" w:eastAsia="zh-CN" w:bidi="ar"/>
                    </w:rPr>
                  </w:pPr>
                  <w:r>
                    <w:rPr>
                      <w:rFonts w:hint="eastAsia" w:ascii="Times New Roman" w:hAnsi="Times New Roman" w:cs="Times New Roman"/>
                      <w:kern w:val="0"/>
                      <w:szCs w:val="21"/>
                      <w:lang w:val="en-US" w:eastAsia="zh-CN" w:bidi="ar"/>
                    </w:rPr>
                    <w:t>/</w:t>
                  </w:r>
                </w:p>
              </w:tc>
            </w:tr>
            <w:tr w14:paraId="6DDD79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7" w:type="pct"/>
                  <w:vMerge w:val="restart"/>
                  <w:vAlign w:val="center"/>
                </w:tcPr>
                <w:p w14:paraId="62CF6149">
                  <w:pPr>
                    <w:widowControl/>
                    <w:jc w:val="center"/>
                    <w:textAlignment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2025年</w:t>
                  </w:r>
                </w:p>
                <w:p w14:paraId="48D41EA9">
                  <w:pPr>
                    <w:jc w:val="center"/>
                    <w:rPr>
                      <w:rFonts w:ascii="Times New Roman" w:hAnsi="Times New Roman" w:eastAsia="宋体" w:cs="Times New Roman"/>
                      <w:szCs w:val="21"/>
                    </w:rPr>
                  </w:pPr>
                  <w:r>
                    <w:rPr>
                      <w:rFonts w:hint="eastAsia" w:ascii="Times New Roman" w:hAnsi="Times New Roman" w:eastAsia="宋体" w:cs="Times New Roman"/>
                      <w:szCs w:val="21"/>
                    </w:rPr>
                    <w:t>6月12日</w:t>
                  </w:r>
                </w:p>
              </w:tc>
              <w:tc>
                <w:tcPr>
                  <w:tcW w:w="265" w:type="pct"/>
                  <w:vMerge w:val="restart"/>
                  <w:vAlign w:val="center"/>
                </w:tcPr>
                <w:p w14:paraId="0CA91DE0">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燃气锅炉排气筒出口G1</w:t>
                  </w:r>
                </w:p>
              </w:tc>
              <w:tc>
                <w:tcPr>
                  <w:tcW w:w="910" w:type="pct"/>
                  <w:gridSpan w:val="2"/>
                  <w:vAlign w:val="center"/>
                </w:tcPr>
                <w:p w14:paraId="4EEBE41B">
                  <w:pPr>
                    <w:jc w:val="center"/>
                    <w:rPr>
                      <w:rFonts w:ascii="Times New Roman" w:hAnsi="Times New Roman" w:eastAsia="宋体" w:cs="Times New Roman"/>
                      <w:szCs w:val="21"/>
                    </w:rPr>
                  </w:pPr>
                  <w:r>
                    <w:rPr>
                      <w:rFonts w:ascii="Times New Roman" w:hAnsi="Times New Roman" w:eastAsia="宋体" w:cs="Times New Roman"/>
                      <w:szCs w:val="21"/>
                    </w:rPr>
                    <w:t>标干排气量（m</w:t>
                  </w:r>
                  <w:r>
                    <w:rPr>
                      <w:rFonts w:ascii="Times New Roman" w:hAnsi="Times New Roman" w:eastAsia="宋体" w:cs="Times New Roman"/>
                      <w:szCs w:val="21"/>
                      <w:vertAlign w:val="superscript"/>
                    </w:rPr>
                    <w:t>3</w:t>
                  </w:r>
                  <w:r>
                    <w:rPr>
                      <w:rFonts w:ascii="Times New Roman" w:hAnsi="Times New Roman" w:eastAsia="宋体" w:cs="Times New Roman"/>
                      <w:szCs w:val="21"/>
                    </w:rPr>
                    <w:t>/h）</w:t>
                  </w:r>
                </w:p>
              </w:tc>
              <w:tc>
                <w:tcPr>
                  <w:tcW w:w="550" w:type="pct"/>
                  <w:vAlign w:val="center"/>
                </w:tcPr>
                <w:p w14:paraId="4A9AAF75">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7.21</w:t>
                  </w:r>
                  <w:r>
                    <w:rPr>
                      <w:rFonts w:ascii="Times New Roman" w:hAnsi="Times New Roman" w:eastAsia="宋体" w:cs="Times New Roman"/>
                      <w:kern w:val="0"/>
                      <w:szCs w:val="21"/>
                      <w:lang w:bidi="ar"/>
                    </w:rPr>
                    <w:t>×10</w:t>
                  </w:r>
                  <w:r>
                    <w:rPr>
                      <w:rFonts w:hint="eastAsia" w:ascii="Times New Roman" w:hAnsi="Times New Roman" w:eastAsia="宋体" w:cs="Times New Roman"/>
                      <w:kern w:val="0"/>
                      <w:szCs w:val="21"/>
                      <w:vertAlign w:val="superscript"/>
                      <w:lang w:bidi="ar"/>
                    </w:rPr>
                    <w:t>3</w:t>
                  </w:r>
                </w:p>
              </w:tc>
              <w:tc>
                <w:tcPr>
                  <w:tcW w:w="550" w:type="pct"/>
                  <w:vAlign w:val="center"/>
                </w:tcPr>
                <w:p w14:paraId="2B49F891">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7.39</w:t>
                  </w:r>
                  <w:r>
                    <w:rPr>
                      <w:rFonts w:ascii="Times New Roman" w:hAnsi="Times New Roman" w:eastAsia="宋体" w:cs="Times New Roman"/>
                      <w:kern w:val="0"/>
                      <w:szCs w:val="21"/>
                      <w:lang w:bidi="ar"/>
                    </w:rPr>
                    <w:t>×10</w:t>
                  </w:r>
                  <w:r>
                    <w:rPr>
                      <w:rFonts w:hint="eastAsia" w:ascii="Times New Roman" w:hAnsi="Times New Roman" w:eastAsia="宋体" w:cs="Times New Roman"/>
                      <w:kern w:val="0"/>
                      <w:szCs w:val="21"/>
                      <w:vertAlign w:val="superscript"/>
                      <w:lang w:bidi="ar"/>
                    </w:rPr>
                    <w:t>3</w:t>
                  </w:r>
                </w:p>
              </w:tc>
              <w:tc>
                <w:tcPr>
                  <w:tcW w:w="550" w:type="pct"/>
                  <w:vAlign w:val="center"/>
                </w:tcPr>
                <w:p w14:paraId="4FD19D14">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7.09</w:t>
                  </w:r>
                  <w:r>
                    <w:rPr>
                      <w:rFonts w:ascii="Times New Roman" w:hAnsi="Times New Roman" w:eastAsia="宋体" w:cs="Times New Roman"/>
                      <w:kern w:val="0"/>
                      <w:szCs w:val="21"/>
                      <w:lang w:bidi="ar"/>
                    </w:rPr>
                    <w:t>×10</w:t>
                  </w:r>
                  <w:r>
                    <w:rPr>
                      <w:rFonts w:hint="eastAsia" w:ascii="Times New Roman" w:hAnsi="Times New Roman" w:eastAsia="宋体" w:cs="Times New Roman"/>
                      <w:kern w:val="0"/>
                      <w:szCs w:val="21"/>
                      <w:vertAlign w:val="superscript"/>
                      <w:lang w:bidi="ar"/>
                    </w:rPr>
                    <w:t>3</w:t>
                  </w:r>
                </w:p>
              </w:tc>
              <w:tc>
                <w:tcPr>
                  <w:tcW w:w="551" w:type="pct"/>
                  <w:vAlign w:val="center"/>
                </w:tcPr>
                <w:p w14:paraId="3783F044">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7.23</w:t>
                  </w:r>
                  <w:r>
                    <w:rPr>
                      <w:rFonts w:ascii="Times New Roman" w:hAnsi="Times New Roman" w:eastAsia="宋体" w:cs="Times New Roman"/>
                      <w:kern w:val="0"/>
                      <w:szCs w:val="21"/>
                      <w:lang w:bidi="ar"/>
                    </w:rPr>
                    <w:t>×10</w:t>
                  </w:r>
                  <w:r>
                    <w:rPr>
                      <w:rFonts w:hint="eastAsia" w:ascii="Times New Roman" w:hAnsi="Times New Roman" w:eastAsia="宋体" w:cs="Times New Roman"/>
                      <w:kern w:val="0"/>
                      <w:szCs w:val="21"/>
                      <w:vertAlign w:val="superscript"/>
                      <w:lang w:bidi="ar"/>
                    </w:rPr>
                    <w:t>3</w:t>
                  </w:r>
                </w:p>
              </w:tc>
              <w:tc>
                <w:tcPr>
                  <w:tcW w:w="632" w:type="pct"/>
                  <w:vAlign w:val="center"/>
                </w:tcPr>
                <w:p w14:paraId="230B2D6B">
                  <w:pPr>
                    <w:jc w:val="center"/>
                    <w:rPr>
                      <w:rFonts w:hint="eastAsia" w:ascii="Times New Roman" w:hAnsi="Times New Roman" w:eastAsia="宋体" w:cs="Times New Roman"/>
                      <w:kern w:val="0"/>
                      <w:szCs w:val="21"/>
                      <w:lang w:val="en-US" w:eastAsia="zh-CN" w:bidi="ar"/>
                    </w:rPr>
                  </w:pPr>
                  <w:r>
                    <w:rPr>
                      <w:rFonts w:hint="eastAsia" w:ascii="Times New Roman" w:hAnsi="Times New Roman" w:cs="Times New Roman"/>
                      <w:kern w:val="0"/>
                      <w:szCs w:val="21"/>
                      <w:lang w:val="en-US" w:eastAsia="zh-CN" w:bidi="ar"/>
                    </w:rPr>
                    <w:t>/</w:t>
                  </w:r>
                </w:p>
              </w:tc>
              <w:tc>
                <w:tcPr>
                  <w:tcW w:w="632" w:type="pct"/>
                  <w:vAlign w:val="center"/>
                </w:tcPr>
                <w:p w14:paraId="6C52B2FC">
                  <w:pPr>
                    <w:jc w:val="center"/>
                    <w:rPr>
                      <w:rFonts w:hint="eastAsia" w:ascii="Times New Roman" w:hAnsi="Times New Roman" w:eastAsia="宋体" w:cs="Times New Roman"/>
                      <w:kern w:val="0"/>
                      <w:szCs w:val="21"/>
                      <w:lang w:val="en-US" w:eastAsia="zh-CN" w:bidi="ar"/>
                    </w:rPr>
                  </w:pPr>
                  <w:r>
                    <w:rPr>
                      <w:rFonts w:hint="eastAsia" w:ascii="Times New Roman" w:hAnsi="Times New Roman" w:cs="Times New Roman"/>
                      <w:kern w:val="0"/>
                      <w:szCs w:val="21"/>
                      <w:lang w:val="en-US" w:eastAsia="zh-CN" w:bidi="ar"/>
                    </w:rPr>
                    <w:t>/</w:t>
                  </w:r>
                </w:p>
              </w:tc>
            </w:tr>
            <w:tr w14:paraId="640CD2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7" w:type="pct"/>
                  <w:vMerge w:val="continue"/>
                  <w:vAlign w:val="center"/>
                </w:tcPr>
                <w:p w14:paraId="6D703068">
                  <w:pPr>
                    <w:jc w:val="center"/>
                    <w:rPr>
                      <w:rFonts w:ascii="Times New Roman" w:hAnsi="Times New Roman" w:eastAsia="宋体" w:cs="Times New Roman"/>
                      <w:szCs w:val="21"/>
                    </w:rPr>
                  </w:pPr>
                </w:p>
              </w:tc>
              <w:tc>
                <w:tcPr>
                  <w:tcW w:w="265" w:type="pct"/>
                  <w:vMerge w:val="continue"/>
                  <w:vAlign w:val="center"/>
                </w:tcPr>
                <w:p w14:paraId="03FDF474">
                  <w:pPr>
                    <w:widowControl/>
                    <w:jc w:val="center"/>
                    <w:textAlignment w:val="center"/>
                    <w:rPr>
                      <w:rFonts w:ascii="Times New Roman" w:hAnsi="Times New Roman" w:eastAsia="宋体" w:cs="Times New Roman"/>
                      <w:szCs w:val="21"/>
                    </w:rPr>
                  </w:pPr>
                </w:p>
              </w:tc>
              <w:tc>
                <w:tcPr>
                  <w:tcW w:w="910" w:type="pct"/>
                  <w:gridSpan w:val="2"/>
                  <w:vAlign w:val="center"/>
                </w:tcPr>
                <w:p w14:paraId="4097C48E">
                  <w:pPr>
                    <w:jc w:val="center"/>
                    <w:rPr>
                      <w:rFonts w:ascii="Times New Roman" w:hAnsi="Times New Roman" w:eastAsia="宋体" w:cs="Times New Roman"/>
                      <w:szCs w:val="21"/>
                    </w:rPr>
                  </w:pPr>
                  <w:r>
                    <w:rPr>
                      <w:rFonts w:hint="eastAsia" w:ascii="Times New Roman" w:hAnsi="Times New Roman" w:eastAsia="宋体" w:cs="Times New Roman"/>
                      <w:szCs w:val="21"/>
                    </w:rPr>
                    <w:t>含氧量（%）</w:t>
                  </w:r>
                </w:p>
              </w:tc>
              <w:tc>
                <w:tcPr>
                  <w:tcW w:w="550" w:type="pct"/>
                  <w:vAlign w:val="center"/>
                </w:tcPr>
                <w:p w14:paraId="195C6131">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6.4</w:t>
                  </w:r>
                </w:p>
              </w:tc>
              <w:tc>
                <w:tcPr>
                  <w:tcW w:w="550" w:type="pct"/>
                  <w:vAlign w:val="center"/>
                </w:tcPr>
                <w:p w14:paraId="080953F8">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6.5</w:t>
                  </w:r>
                </w:p>
              </w:tc>
              <w:tc>
                <w:tcPr>
                  <w:tcW w:w="550" w:type="pct"/>
                  <w:vAlign w:val="center"/>
                </w:tcPr>
                <w:p w14:paraId="68E7094A">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6.7</w:t>
                  </w:r>
                </w:p>
              </w:tc>
              <w:tc>
                <w:tcPr>
                  <w:tcW w:w="551" w:type="pct"/>
                  <w:vAlign w:val="center"/>
                </w:tcPr>
                <w:p w14:paraId="025C3E91">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6.5</w:t>
                  </w:r>
                </w:p>
              </w:tc>
              <w:tc>
                <w:tcPr>
                  <w:tcW w:w="632" w:type="pct"/>
                  <w:vAlign w:val="center"/>
                </w:tcPr>
                <w:p w14:paraId="32A5BDF5">
                  <w:pPr>
                    <w:jc w:val="center"/>
                    <w:rPr>
                      <w:rFonts w:hint="eastAsia" w:ascii="Times New Roman" w:hAnsi="Times New Roman" w:eastAsia="宋体" w:cs="Times New Roman"/>
                      <w:kern w:val="0"/>
                      <w:szCs w:val="21"/>
                      <w:lang w:val="en-US" w:eastAsia="zh-CN" w:bidi="ar"/>
                    </w:rPr>
                  </w:pPr>
                  <w:r>
                    <w:rPr>
                      <w:rFonts w:hint="eastAsia" w:ascii="Times New Roman" w:hAnsi="Times New Roman" w:cs="Times New Roman"/>
                      <w:kern w:val="0"/>
                      <w:szCs w:val="21"/>
                      <w:lang w:val="en-US" w:eastAsia="zh-CN" w:bidi="ar"/>
                    </w:rPr>
                    <w:t>/</w:t>
                  </w:r>
                </w:p>
              </w:tc>
              <w:tc>
                <w:tcPr>
                  <w:tcW w:w="632" w:type="pct"/>
                  <w:vAlign w:val="center"/>
                </w:tcPr>
                <w:p w14:paraId="3191B962">
                  <w:pPr>
                    <w:jc w:val="center"/>
                    <w:rPr>
                      <w:rFonts w:hint="eastAsia" w:ascii="Times New Roman" w:hAnsi="Times New Roman" w:eastAsia="宋体" w:cs="Times New Roman"/>
                      <w:kern w:val="0"/>
                      <w:szCs w:val="21"/>
                      <w:lang w:val="en-US" w:eastAsia="zh-CN" w:bidi="ar"/>
                    </w:rPr>
                  </w:pPr>
                  <w:r>
                    <w:rPr>
                      <w:rFonts w:hint="eastAsia" w:ascii="Times New Roman" w:hAnsi="Times New Roman" w:cs="Times New Roman"/>
                      <w:kern w:val="0"/>
                      <w:szCs w:val="21"/>
                      <w:lang w:val="en-US" w:eastAsia="zh-CN" w:bidi="ar"/>
                    </w:rPr>
                    <w:t>/</w:t>
                  </w:r>
                </w:p>
              </w:tc>
            </w:tr>
            <w:tr w14:paraId="396C8E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7" w:type="pct"/>
                  <w:vMerge w:val="continue"/>
                  <w:vAlign w:val="center"/>
                </w:tcPr>
                <w:p w14:paraId="4A601F3A">
                  <w:pPr>
                    <w:jc w:val="center"/>
                    <w:rPr>
                      <w:rFonts w:ascii="Times New Roman" w:hAnsi="Times New Roman" w:eastAsia="宋体" w:cs="Times New Roman"/>
                      <w:szCs w:val="21"/>
                    </w:rPr>
                  </w:pPr>
                </w:p>
              </w:tc>
              <w:tc>
                <w:tcPr>
                  <w:tcW w:w="265" w:type="pct"/>
                  <w:vMerge w:val="continue"/>
                  <w:vAlign w:val="center"/>
                </w:tcPr>
                <w:p w14:paraId="649ADF24">
                  <w:pPr>
                    <w:jc w:val="center"/>
                    <w:rPr>
                      <w:rFonts w:ascii="Times New Roman" w:hAnsi="Times New Roman" w:eastAsia="宋体" w:cs="Times New Roman"/>
                      <w:szCs w:val="21"/>
                    </w:rPr>
                  </w:pPr>
                </w:p>
              </w:tc>
              <w:tc>
                <w:tcPr>
                  <w:tcW w:w="239" w:type="pct"/>
                  <w:vMerge w:val="restart"/>
                  <w:vAlign w:val="center"/>
                </w:tcPr>
                <w:p w14:paraId="246F5793">
                  <w:pPr>
                    <w:jc w:val="center"/>
                    <w:rPr>
                      <w:rFonts w:ascii="Times New Roman" w:hAnsi="Times New Roman" w:eastAsia="宋体" w:cs="Times New Roman"/>
                      <w:szCs w:val="21"/>
                    </w:rPr>
                  </w:pPr>
                  <w:r>
                    <w:rPr>
                      <w:rFonts w:hint="eastAsia" w:ascii="Times New Roman" w:hAnsi="Times New Roman" w:eastAsia="宋体" w:cs="Times New Roman"/>
                      <w:szCs w:val="21"/>
                    </w:rPr>
                    <w:t>颗粒物</w:t>
                  </w:r>
                </w:p>
              </w:tc>
              <w:tc>
                <w:tcPr>
                  <w:tcW w:w="670" w:type="pct"/>
                  <w:vAlign w:val="center"/>
                </w:tcPr>
                <w:p w14:paraId="5E7F60AB">
                  <w:pPr>
                    <w:jc w:val="center"/>
                    <w:rPr>
                      <w:rFonts w:ascii="Times New Roman" w:hAnsi="Times New Roman" w:eastAsia="宋体" w:cs="Times New Roman"/>
                      <w:szCs w:val="21"/>
                    </w:rPr>
                  </w:pPr>
                  <w:r>
                    <w:rPr>
                      <w:rFonts w:ascii="Times New Roman" w:hAnsi="Times New Roman" w:eastAsia="宋体" w:cs="Times New Roman"/>
                      <w:szCs w:val="21"/>
                    </w:rPr>
                    <w:t>实测值（mg/m</w:t>
                  </w:r>
                  <w:r>
                    <w:rPr>
                      <w:rFonts w:ascii="Times New Roman" w:hAnsi="Times New Roman" w:eastAsia="宋体" w:cs="Times New Roman"/>
                      <w:szCs w:val="21"/>
                      <w:vertAlign w:val="superscript"/>
                    </w:rPr>
                    <w:t>3</w:t>
                  </w:r>
                  <w:r>
                    <w:rPr>
                      <w:rFonts w:ascii="Times New Roman" w:hAnsi="Times New Roman" w:eastAsia="宋体" w:cs="Times New Roman"/>
                      <w:szCs w:val="21"/>
                    </w:rPr>
                    <w:t>）</w:t>
                  </w:r>
                </w:p>
              </w:tc>
              <w:tc>
                <w:tcPr>
                  <w:tcW w:w="550" w:type="pct"/>
                  <w:vAlign w:val="center"/>
                </w:tcPr>
                <w:p w14:paraId="57AC57C9">
                  <w:pPr>
                    <w:tabs>
                      <w:tab w:val="left" w:pos="990"/>
                    </w:tabs>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4.7</w:t>
                  </w:r>
                </w:p>
              </w:tc>
              <w:tc>
                <w:tcPr>
                  <w:tcW w:w="550" w:type="pct"/>
                  <w:vAlign w:val="center"/>
                </w:tcPr>
                <w:p w14:paraId="09B0A7CB">
                  <w:pPr>
                    <w:tabs>
                      <w:tab w:val="left" w:pos="990"/>
                    </w:tabs>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8.8</w:t>
                  </w:r>
                </w:p>
              </w:tc>
              <w:tc>
                <w:tcPr>
                  <w:tcW w:w="550" w:type="pct"/>
                  <w:vAlign w:val="center"/>
                </w:tcPr>
                <w:p w14:paraId="5921CE31">
                  <w:pPr>
                    <w:tabs>
                      <w:tab w:val="left" w:pos="990"/>
                    </w:tabs>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5.8</w:t>
                  </w:r>
                </w:p>
              </w:tc>
              <w:tc>
                <w:tcPr>
                  <w:tcW w:w="551" w:type="pct"/>
                  <w:vAlign w:val="center"/>
                </w:tcPr>
                <w:p w14:paraId="00F01787">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6.4</w:t>
                  </w:r>
                </w:p>
              </w:tc>
              <w:tc>
                <w:tcPr>
                  <w:tcW w:w="632" w:type="pct"/>
                  <w:vMerge w:val="restart"/>
                  <w:vAlign w:val="center"/>
                </w:tcPr>
                <w:p w14:paraId="16567644">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20</w:t>
                  </w:r>
                </w:p>
              </w:tc>
              <w:tc>
                <w:tcPr>
                  <w:tcW w:w="632" w:type="pct"/>
                  <w:vMerge w:val="restart"/>
                  <w:vAlign w:val="center"/>
                </w:tcPr>
                <w:p w14:paraId="36953A92">
                  <w:pPr>
                    <w:widowControl/>
                    <w:jc w:val="center"/>
                    <w:textAlignment w:val="center"/>
                    <w:rPr>
                      <w:rFonts w:hint="eastAsia" w:ascii="Times New Roman" w:hAnsi="Times New Roman" w:eastAsia="宋体" w:cs="Times New Roman"/>
                      <w:szCs w:val="21"/>
                    </w:rPr>
                  </w:pPr>
                  <w:r>
                    <w:rPr>
                      <w:rFonts w:hint="eastAsia" w:ascii="Times New Roman" w:hAnsi="Times New Roman" w:cs="Times New Roman"/>
                      <w:kern w:val="0"/>
                      <w:szCs w:val="21"/>
                      <w:lang w:val="en-US" w:eastAsia="zh-CN" w:bidi="ar"/>
                    </w:rPr>
                    <w:t>/</w:t>
                  </w:r>
                </w:p>
              </w:tc>
            </w:tr>
            <w:tr w14:paraId="22C169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7" w:type="pct"/>
                  <w:vMerge w:val="continue"/>
                  <w:vAlign w:val="center"/>
                </w:tcPr>
                <w:p w14:paraId="019A5177">
                  <w:pPr>
                    <w:jc w:val="center"/>
                    <w:rPr>
                      <w:rFonts w:ascii="Times New Roman" w:hAnsi="Times New Roman" w:eastAsia="宋体" w:cs="Times New Roman"/>
                      <w:szCs w:val="21"/>
                    </w:rPr>
                  </w:pPr>
                </w:p>
              </w:tc>
              <w:tc>
                <w:tcPr>
                  <w:tcW w:w="265" w:type="pct"/>
                  <w:vMerge w:val="continue"/>
                  <w:vAlign w:val="center"/>
                </w:tcPr>
                <w:p w14:paraId="1833F84B">
                  <w:pPr>
                    <w:jc w:val="center"/>
                    <w:rPr>
                      <w:rFonts w:ascii="Times New Roman" w:hAnsi="Times New Roman" w:eastAsia="宋体" w:cs="Times New Roman"/>
                      <w:szCs w:val="21"/>
                    </w:rPr>
                  </w:pPr>
                </w:p>
              </w:tc>
              <w:tc>
                <w:tcPr>
                  <w:tcW w:w="239" w:type="pct"/>
                  <w:vMerge w:val="continue"/>
                  <w:vAlign w:val="center"/>
                </w:tcPr>
                <w:p w14:paraId="1CC91DF8">
                  <w:pPr>
                    <w:jc w:val="center"/>
                    <w:rPr>
                      <w:rFonts w:ascii="Times New Roman" w:hAnsi="Times New Roman" w:eastAsia="宋体" w:cs="Times New Roman"/>
                      <w:szCs w:val="21"/>
                    </w:rPr>
                  </w:pPr>
                </w:p>
              </w:tc>
              <w:tc>
                <w:tcPr>
                  <w:tcW w:w="670" w:type="pct"/>
                  <w:vAlign w:val="center"/>
                </w:tcPr>
                <w:p w14:paraId="6A8F69B7">
                  <w:pPr>
                    <w:jc w:val="center"/>
                    <w:rPr>
                      <w:rFonts w:ascii="Times New Roman" w:hAnsi="Times New Roman" w:eastAsia="宋体" w:cs="Times New Roman"/>
                      <w:szCs w:val="21"/>
                    </w:rPr>
                  </w:pPr>
                  <w:r>
                    <w:rPr>
                      <w:rFonts w:hint="eastAsia" w:ascii="Times New Roman" w:hAnsi="Times New Roman" w:eastAsia="宋体" w:cs="Times New Roman"/>
                      <w:szCs w:val="21"/>
                    </w:rPr>
                    <w:t>折算</w:t>
                  </w:r>
                  <w:r>
                    <w:rPr>
                      <w:rFonts w:ascii="Times New Roman" w:hAnsi="Times New Roman" w:eastAsia="宋体" w:cs="Times New Roman"/>
                      <w:szCs w:val="21"/>
                    </w:rPr>
                    <w:t>值（mg/m</w:t>
                  </w:r>
                  <w:r>
                    <w:rPr>
                      <w:rFonts w:ascii="Times New Roman" w:hAnsi="Times New Roman" w:eastAsia="宋体" w:cs="Times New Roman"/>
                      <w:szCs w:val="21"/>
                      <w:vertAlign w:val="superscript"/>
                    </w:rPr>
                    <w:t>3</w:t>
                  </w:r>
                  <w:r>
                    <w:rPr>
                      <w:rFonts w:ascii="Times New Roman" w:hAnsi="Times New Roman" w:eastAsia="宋体" w:cs="Times New Roman"/>
                      <w:szCs w:val="21"/>
                    </w:rPr>
                    <w:t>）</w:t>
                  </w:r>
                </w:p>
              </w:tc>
              <w:tc>
                <w:tcPr>
                  <w:tcW w:w="550" w:type="pct"/>
                  <w:vAlign w:val="center"/>
                </w:tcPr>
                <w:p w14:paraId="1AD77B48">
                  <w:pPr>
                    <w:tabs>
                      <w:tab w:val="left" w:pos="990"/>
                    </w:tabs>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5.6</w:t>
                  </w:r>
                </w:p>
              </w:tc>
              <w:tc>
                <w:tcPr>
                  <w:tcW w:w="550" w:type="pct"/>
                  <w:vAlign w:val="center"/>
                </w:tcPr>
                <w:p w14:paraId="57A13EEA">
                  <w:pPr>
                    <w:tabs>
                      <w:tab w:val="left" w:pos="990"/>
                    </w:tabs>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10.6</w:t>
                  </w:r>
                </w:p>
              </w:tc>
              <w:tc>
                <w:tcPr>
                  <w:tcW w:w="550" w:type="pct"/>
                  <w:vAlign w:val="center"/>
                </w:tcPr>
                <w:p w14:paraId="5FF774F7">
                  <w:pPr>
                    <w:tabs>
                      <w:tab w:val="left" w:pos="990"/>
                    </w:tabs>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7.</w:t>
                  </w:r>
                  <w:r>
                    <w:rPr>
                      <w:rFonts w:hint="eastAsia" w:ascii="Times New Roman" w:hAnsi="Times New Roman" w:eastAsia="宋体" w:cs="Times New Roman"/>
                      <w:kern w:val="0"/>
                      <w:szCs w:val="21"/>
                      <w:lang w:bidi="ar"/>
                    </w:rPr>
                    <w:t>1</w:t>
                  </w:r>
                </w:p>
              </w:tc>
              <w:tc>
                <w:tcPr>
                  <w:tcW w:w="551" w:type="pct"/>
                  <w:vAlign w:val="center"/>
                </w:tcPr>
                <w:p w14:paraId="334F1F64">
                  <w:pPr>
                    <w:tabs>
                      <w:tab w:val="left" w:pos="990"/>
                    </w:tabs>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7.</w:t>
                  </w:r>
                  <w:r>
                    <w:rPr>
                      <w:rFonts w:hint="eastAsia" w:ascii="Times New Roman" w:hAnsi="Times New Roman" w:eastAsia="宋体" w:cs="Times New Roman"/>
                      <w:kern w:val="0"/>
                      <w:szCs w:val="21"/>
                      <w:lang w:bidi="ar"/>
                    </w:rPr>
                    <w:t>8</w:t>
                  </w:r>
                </w:p>
              </w:tc>
              <w:tc>
                <w:tcPr>
                  <w:tcW w:w="632" w:type="pct"/>
                  <w:vMerge w:val="continue"/>
                  <w:vAlign w:val="center"/>
                </w:tcPr>
                <w:p w14:paraId="375A3846">
                  <w:pPr>
                    <w:tabs>
                      <w:tab w:val="left" w:pos="990"/>
                    </w:tabs>
                    <w:jc w:val="center"/>
                    <w:rPr>
                      <w:rFonts w:ascii="Times New Roman" w:hAnsi="Times New Roman" w:eastAsia="宋体" w:cs="Times New Roman"/>
                      <w:kern w:val="0"/>
                      <w:szCs w:val="21"/>
                      <w:lang w:bidi="ar"/>
                    </w:rPr>
                  </w:pPr>
                </w:p>
              </w:tc>
              <w:tc>
                <w:tcPr>
                  <w:tcW w:w="632" w:type="pct"/>
                  <w:vMerge w:val="continue"/>
                  <w:vAlign w:val="center"/>
                </w:tcPr>
                <w:p w14:paraId="276AC1E2">
                  <w:pPr>
                    <w:tabs>
                      <w:tab w:val="left" w:pos="990"/>
                    </w:tabs>
                    <w:jc w:val="center"/>
                    <w:rPr>
                      <w:rFonts w:ascii="Times New Roman" w:hAnsi="Times New Roman" w:eastAsia="宋体" w:cs="Times New Roman"/>
                      <w:kern w:val="0"/>
                      <w:szCs w:val="21"/>
                      <w:lang w:bidi="ar"/>
                    </w:rPr>
                  </w:pPr>
                </w:p>
              </w:tc>
            </w:tr>
            <w:tr w14:paraId="6C385C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7" w:type="pct"/>
                  <w:vMerge w:val="continue"/>
                  <w:vAlign w:val="center"/>
                </w:tcPr>
                <w:p w14:paraId="6A6C32FD">
                  <w:pPr>
                    <w:jc w:val="center"/>
                    <w:rPr>
                      <w:rFonts w:ascii="Times New Roman" w:hAnsi="Times New Roman" w:eastAsia="宋体" w:cs="Times New Roman"/>
                      <w:szCs w:val="21"/>
                    </w:rPr>
                  </w:pPr>
                </w:p>
              </w:tc>
              <w:tc>
                <w:tcPr>
                  <w:tcW w:w="265" w:type="pct"/>
                  <w:vMerge w:val="continue"/>
                  <w:vAlign w:val="center"/>
                </w:tcPr>
                <w:p w14:paraId="53ED043A">
                  <w:pPr>
                    <w:jc w:val="center"/>
                    <w:rPr>
                      <w:rFonts w:ascii="Times New Roman" w:hAnsi="Times New Roman" w:eastAsia="宋体" w:cs="Times New Roman"/>
                      <w:szCs w:val="21"/>
                    </w:rPr>
                  </w:pPr>
                </w:p>
              </w:tc>
              <w:tc>
                <w:tcPr>
                  <w:tcW w:w="239" w:type="pct"/>
                  <w:vMerge w:val="continue"/>
                  <w:vAlign w:val="center"/>
                </w:tcPr>
                <w:p w14:paraId="46C809A0">
                  <w:pPr>
                    <w:jc w:val="center"/>
                    <w:rPr>
                      <w:rFonts w:ascii="Times New Roman" w:hAnsi="Times New Roman" w:eastAsia="宋体" w:cs="Times New Roman"/>
                      <w:szCs w:val="21"/>
                    </w:rPr>
                  </w:pPr>
                </w:p>
              </w:tc>
              <w:tc>
                <w:tcPr>
                  <w:tcW w:w="670" w:type="pct"/>
                  <w:vAlign w:val="center"/>
                </w:tcPr>
                <w:p w14:paraId="03260FD4">
                  <w:pPr>
                    <w:tabs>
                      <w:tab w:val="left" w:pos="990"/>
                    </w:tabs>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排放速率（kg/h）</w:t>
                  </w:r>
                </w:p>
              </w:tc>
              <w:tc>
                <w:tcPr>
                  <w:tcW w:w="550" w:type="pct"/>
                  <w:vAlign w:val="center"/>
                </w:tcPr>
                <w:p w14:paraId="6639DD2E">
                  <w:pPr>
                    <w:tabs>
                      <w:tab w:val="left" w:pos="990"/>
                    </w:tabs>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0.03</w:t>
                  </w:r>
                  <w:r>
                    <w:rPr>
                      <w:rFonts w:hint="eastAsia" w:ascii="Times New Roman" w:hAnsi="Times New Roman" w:eastAsia="宋体" w:cs="Times New Roman"/>
                      <w:kern w:val="0"/>
                      <w:szCs w:val="21"/>
                      <w:lang w:bidi="ar"/>
                    </w:rPr>
                    <w:t>4</w:t>
                  </w:r>
                </w:p>
              </w:tc>
              <w:tc>
                <w:tcPr>
                  <w:tcW w:w="550" w:type="pct"/>
                  <w:vAlign w:val="center"/>
                </w:tcPr>
                <w:p w14:paraId="54E70B26">
                  <w:pPr>
                    <w:tabs>
                      <w:tab w:val="left" w:pos="990"/>
                    </w:tabs>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0.065</w:t>
                  </w:r>
                </w:p>
              </w:tc>
              <w:tc>
                <w:tcPr>
                  <w:tcW w:w="550" w:type="pct"/>
                  <w:vAlign w:val="center"/>
                </w:tcPr>
                <w:p w14:paraId="3EA38EB1">
                  <w:pPr>
                    <w:tabs>
                      <w:tab w:val="left" w:pos="990"/>
                    </w:tabs>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0.041</w:t>
                  </w:r>
                </w:p>
              </w:tc>
              <w:tc>
                <w:tcPr>
                  <w:tcW w:w="551" w:type="pct"/>
                  <w:vAlign w:val="center"/>
                </w:tcPr>
                <w:p w14:paraId="23A5E6A2">
                  <w:pPr>
                    <w:tabs>
                      <w:tab w:val="left" w:pos="990"/>
                    </w:tabs>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0.04</w:t>
                  </w:r>
                  <w:r>
                    <w:rPr>
                      <w:rFonts w:hint="eastAsia" w:ascii="Times New Roman" w:hAnsi="Times New Roman" w:eastAsia="宋体" w:cs="Times New Roman"/>
                      <w:kern w:val="0"/>
                      <w:szCs w:val="21"/>
                      <w:lang w:bidi="ar"/>
                    </w:rPr>
                    <w:t>7</w:t>
                  </w:r>
                  <w:r>
                    <w:rPr>
                      <w:rFonts w:ascii="Times New Roman" w:hAnsi="Times New Roman" w:eastAsia="宋体" w:cs="Times New Roman"/>
                      <w:kern w:val="0"/>
                      <w:szCs w:val="21"/>
                      <w:lang w:bidi="ar"/>
                    </w:rPr>
                    <w:t xml:space="preserve"> </w:t>
                  </w:r>
                </w:p>
              </w:tc>
              <w:tc>
                <w:tcPr>
                  <w:tcW w:w="632" w:type="pct"/>
                  <w:vMerge w:val="continue"/>
                  <w:vAlign w:val="center"/>
                </w:tcPr>
                <w:p w14:paraId="0F0D0E1F">
                  <w:pPr>
                    <w:tabs>
                      <w:tab w:val="left" w:pos="990"/>
                    </w:tabs>
                    <w:jc w:val="center"/>
                    <w:rPr>
                      <w:rFonts w:ascii="Times New Roman" w:hAnsi="Times New Roman" w:eastAsia="宋体" w:cs="Times New Roman"/>
                      <w:kern w:val="0"/>
                      <w:szCs w:val="21"/>
                      <w:lang w:bidi="ar"/>
                    </w:rPr>
                  </w:pPr>
                </w:p>
              </w:tc>
              <w:tc>
                <w:tcPr>
                  <w:tcW w:w="632" w:type="pct"/>
                  <w:vMerge w:val="continue"/>
                  <w:vAlign w:val="center"/>
                </w:tcPr>
                <w:p w14:paraId="76BEE4C7">
                  <w:pPr>
                    <w:tabs>
                      <w:tab w:val="left" w:pos="990"/>
                    </w:tabs>
                    <w:jc w:val="center"/>
                    <w:rPr>
                      <w:rFonts w:ascii="Times New Roman" w:hAnsi="Times New Roman" w:eastAsia="宋体" w:cs="Times New Roman"/>
                      <w:kern w:val="0"/>
                      <w:szCs w:val="21"/>
                      <w:lang w:bidi="ar"/>
                    </w:rPr>
                  </w:pPr>
                </w:p>
              </w:tc>
            </w:tr>
            <w:tr w14:paraId="4C26C9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7" w:type="pct"/>
                  <w:vMerge w:val="continue"/>
                  <w:vAlign w:val="center"/>
                </w:tcPr>
                <w:p w14:paraId="07C7C3C7">
                  <w:pPr>
                    <w:jc w:val="center"/>
                    <w:rPr>
                      <w:rFonts w:ascii="Times New Roman" w:hAnsi="Times New Roman" w:eastAsia="宋体" w:cs="Times New Roman"/>
                      <w:szCs w:val="21"/>
                    </w:rPr>
                  </w:pPr>
                </w:p>
              </w:tc>
              <w:tc>
                <w:tcPr>
                  <w:tcW w:w="265" w:type="pct"/>
                  <w:vMerge w:val="continue"/>
                  <w:vAlign w:val="center"/>
                </w:tcPr>
                <w:p w14:paraId="15AE5055">
                  <w:pPr>
                    <w:jc w:val="center"/>
                    <w:rPr>
                      <w:rFonts w:ascii="Times New Roman" w:hAnsi="Times New Roman" w:eastAsia="宋体" w:cs="Times New Roman"/>
                      <w:szCs w:val="21"/>
                    </w:rPr>
                  </w:pPr>
                </w:p>
              </w:tc>
              <w:tc>
                <w:tcPr>
                  <w:tcW w:w="239" w:type="pct"/>
                  <w:vMerge w:val="restart"/>
                  <w:vAlign w:val="center"/>
                </w:tcPr>
                <w:p w14:paraId="5B4C98B4">
                  <w:pPr>
                    <w:jc w:val="center"/>
                    <w:rPr>
                      <w:rFonts w:ascii="Times New Roman" w:hAnsi="Times New Roman" w:eastAsia="宋体" w:cs="Times New Roman"/>
                      <w:szCs w:val="21"/>
                    </w:rPr>
                  </w:pPr>
                  <w:r>
                    <w:rPr>
                      <w:rFonts w:hint="eastAsia" w:ascii="Times New Roman" w:hAnsi="Times New Roman" w:eastAsia="宋体" w:cs="Times New Roman"/>
                      <w:szCs w:val="21"/>
                    </w:rPr>
                    <w:t>二氧</w:t>
                  </w:r>
                </w:p>
                <w:p w14:paraId="248B2AB4">
                  <w:pPr>
                    <w:jc w:val="center"/>
                    <w:rPr>
                      <w:rFonts w:ascii="Times New Roman" w:hAnsi="Times New Roman" w:eastAsia="宋体" w:cs="Times New Roman"/>
                      <w:szCs w:val="21"/>
                    </w:rPr>
                  </w:pPr>
                  <w:r>
                    <w:rPr>
                      <w:rFonts w:hint="eastAsia" w:ascii="Times New Roman" w:hAnsi="Times New Roman" w:eastAsia="宋体" w:cs="Times New Roman"/>
                      <w:szCs w:val="21"/>
                    </w:rPr>
                    <w:t>化硫</w:t>
                  </w:r>
                </w:p>
              </w:tc>
              <w:tc>
                <w:tcPr>
                  <w:tcW w:w="670" w:type="pct"/>
                  <w:vAlign w:val="center"/>
                </w:tcPr>
                <w:p w14:paraId="09F1F1CB">
                  <w:pPr>
                    <w:jc w:val="center"/>
                    <w:rPr>
                      <w:rFonts w:ascii="Times New Roman" w:hAnsi="Times New Roman" w:eastAsia="宋体" w:cs="Times New Roman"/>
                      <w:szCs w:val="21"/>
                    </w:rPr>
                  </w:pPr>
                  <w:r>
                    <w:rPr>
                      <w:rFonts w:ascii="Times New Roman" w:hAnsi="Times New Roman" w:eastAsia="宋体" w:cs="Times New Roman"/>
                      <w:szCs w:val="21"/>
                    </w:rPr>
                    <w:t>实测值（mg/m</w:t>
                  </w:r>
                  <w:r>
                    <w:rPr>
                      <w:rFonts w:ascii="Times New Roman" w:hAnsi="Times New Roman" w:eastAsia="宋体" w:cs="Times New Roman"/>
                      <w:szCs w:val="21"/>
                      <w:vertAlign w:val="superscript"/>
                    </w:rPr>
                    <w:t>3</w:t>
                  </w:r>
                  <w:r>
                    <w:rPr>
                      <w:rFonts w:ascii="Times New Roman" w:hAnsi="Times New Roman" w:eastAsia="宋体" w:cs="Times New Roman"/>
                      <w:szCs w:val="21"/>
                    </w:rPr>
                    <w:t>）</w:t>
                  </w:r>
                </w:p>
              </w:tc>
              <w:tc>
                <w:tcPr>
                  <w:tcW w:w="550" w:type="pct"/>
                  <w:vAlign w:val="center"/>
                </w:tcPr>
                <w:p w14:paraId="21D5A747">
                  <w:pPr>
                    <w:tabs>
                      <w:tab w:val="left" w:pos="990"/>
                    </w:tabs>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&lt;3</w:t>
                  </w:r>
                </w:p>
              </w:tc>
              <w:tc>
                <w:tcPr>
                  <w:tcW w:w="550" w:type="pct"/>
                  <w:vAlign w:val="center"/>
                </w:tcPr>
                <w:p w14:paraId="1C7F20EB">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&lt;3</w:t>
                  </w:r>
                </w:p>
              </w:tc>
              <w:tc>
                <w:tcPr>
                  <w:tcW w:w="550" w:type="pct"/>
                  <w:vAlign w:val="center"/>
                </w:tcPr>
                <w:p w14:paraId="541E8DD8">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&lt;3</w:t>
                  </w:r>
                </w:p>
              </w:tc>
              <w:tc>
                <w:tcPr>
                  <w:tcW w:w="551" w:type="pct"/>
                  <w:vAlign w:val="center"/>
                </w:tcPr>
                <w:p w14:paraId="33347355">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kern w:val="0"/>
                      <w:szCs w:val="21"/>
                      <w:lang w:bidi="ar"/>
                    </w:rPr>
                    <w:t>&lt;3</w:t>
                  </w:r>
                </w:p>
              </w:tc>
              <w:tc>
                <w:tcPr>
                  <w:tcW w:w="632" w:type="pct"/>
                  <w:vMerge w:val="restart"/>
                  <w:vAlign w:val="center"/>
                </w:tcPr>
                <w:p w14:paraId="4E7A38C1">
                  <w:pPr>
                    <w:widowControl/>
                    <w:jc w:val="center"/>
                    <w:textAlignment w:val="center"/>
                    <w:rPr>
                      <w:rFonts w:hint="default" w:ascii="Times New Roman" w:hAnsi="Times New Roman" w:eastAsia="宋体" w:cs="Times New Roman"/>
                      <w:kern w:val="0"/>
                      <w:szCs w:val="21"/>
                      <w:lang w:val="en-US" w:eastAsia="zh-CN" w:bidi="ar"/>
                    </w:rPr>
                  </w:pPr>
                  <w:r>
                    <w:rPr>
                      <w:rFonts w:hint="eastAsia" w:ascii="Times New Roman" w:hAnsi="Times New Roman" w:cs="Times New Roman"/>
                      <w:kern w:val="0"/>
                      <w:szCs w:val="21"/>
                      <w:lang w:val="en-US" w:eastAsia="zh-CN" w:bidi="ar"/>
                    </w:rPr>
                    <w:t>50</w:t>
                  </w:r>
                </w:p>
              </w:tc>
              <w:tc>
                <w:tcPr>
                  <w:tcW w:w="632" w:type="pct"/>
                  <w:vMerge w:val="restart"/>
                  <w:vAlign w:val="center"/>
                </w:tcPr>
                <w:p w14:paraId="52BF3D6E">
                  <w:pPr>
                    <w:widowControl/>
                    <w:jc w:val="center"/>
                    <w:textAlignment w:val="center"/>
                    <w:rPr>
                      <w:rFonts w:hint="eastAsia" w:ascii="Times New Roman" w:hAnsi="Times New Roman" w:eastAsia="宋体" w:cs="Times New Roman"/>
                      <w:kern w:val="0"/>
                      <w:szCs w:val="21"/>
                      <w:lang w:bidi="ar"/>
                    </w:rPr>
                  </w:pPr>
                  <w:r>
                    <w:rPr>
                      <w:rFonts w:hint="eastAsia" w:ascii="Times New Roman" w:hAnsi="Times New Roman" w:cs="Times New Roman"/>
                      <w:kern w:val="0"/>
                      <w:szCs w:val="21"/>
                      <w:lang w:val="en-US" w:eastAsia="zh-CN" w:bidi="ar"/>
                    </w:rPr>
                    <w:t>/</w:t>
                  </w:r>
                </w:p>
              </w:tc>
            </w:tr>
            <w:tr w14:paraId="7BFF27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7" w:type="pct"/>
                  <w:vMerge w:val="continue"/>
                  <w:vAlign w:val="center"/>
                </w:tcPr>
                <w:p w14:paraId="780701F2">
                  <w:pPr>
                    <w:jc w:val="center"/>
                    <w:rPr>
                      <w:rFonts w:ascii="Times New Roman" w:hAnsi="Times New Roman" w:eastAsia="宋体" w:cs="Times New Roman"/>
                      <w:szCs w:val="21"/>
                    </w:rPr>
                  </w:pPr>
                </w:p>
              </w:tc>
              <w:tc>
                <w:tcPr>
                  <w:tcW w:w="265" w:type="pct"/>
                  <w:vMerge w:val="continue"/>
                  <w:vAlign w:val="center"/>
                </w:tcPr>
                <w:p w14:paraId="3FE29F9E">
                  <w:pPr>
                    <w:jc w:val="center"/>
                    <w:rPr>
                      <w:rFonts w:ascii="Times New Roman" w:hAnsi="Times New Roman" w:eastAsia="宋体" w:cs="Times New Roman"/>
                      <w:szCs w:val="21"/>
                    </w:rPr>
                  </w:pPr>
                </w:p>
              </w:tc>
              <w:tc>
                <w:tcPr>
                  <w:tcW w:w="239" w:type="pct"/>
                  <w:vMerge w:val="continue"/>
                  <w:vAlign w:val="center"/>
                </w:tcPr>
                <w:p w14:paraId="7412503B">
                  <w:pPr>
                    <w:jc w:val="center"/>
                    <w:rPr>
                      <w:rFonts w:ascii="Times New Roman" w:hAnsi="Times New Roman" w:eastAsia="宋体" w:cs="Times New Roman"/>
                      <w:szCs w:val="21"/>
                    </w:rPr>
                  </w:pPr>
                </w:p>
              </w:tc>
              <w:tc>
                <w:tcPr>
                  <w:tcW w:w="670" w:type="pct"/>
                  <w:vAlign w:val="center"/>
                </w:tcPr>
                <w:p w14:paraId="7D9CCD7C">
                  <w:pPr>
                    <w:jc w:val="center"/>
                    <w:rPr>
                      <w:rFonts w:ascii="Times New Roman" w:hAnsi="Times New Roman" w:eastAsia="宋体" w:cs="Times New Roman"/>
                      <w:szCs w:val="21"/>
                    </w:rPr>
                  </w:pPr>
                  <w:r>
                    <w:rPr>
                      <w:rFonts w:hint="eastAsia" w:ascii="Times New Roman" w:hAnsi="Times New Roman" w:eastAsia="宋体" w:cs="Times New Roman"/>
                      <w:szCs w:val="21"/>
                    </w:rPr>
                    <w:t>折算</w:t>
                  </w:r>
                  <w:r>
                    <w:rPr>
                      <w:rFonts w:ascii="Times New Roman" w:hAnsi="Times New Roman" w:eastAsia="宋体" w:cs="Times New Roman"/>
                      <w:szCs w:val="21"/>
                    </w:rPr>
                    <w:t>值（mg/m</w:t>
                  </w:r>
                  <w:r>
                    <w:rPr>
                      <w:rFonts w:ascii="Times New Roman" w:hAnsi="Times New Roman" w:eastAsia="宋体" w:cs="Times New Roman"/>
                      <w:szCs w:val="21"/>
                      <w:vertAlign w:val="superscript"/>
                    </w:rPr>
                    <w:t>3</w:t>
                  </w:r>
                  <w:r>
                    <w:rPr>
                      <w:rFonts w:ascii="Times New Roman" w:hAnsi="Times New Roman" w:eastAsia="宋体" w:cs="Times New Roman"/>
                      <w:szCs w:val="21"/>
                    </w:rPr>
                    <w:t>）</w:t>
                  </w:r>
                </w:p>
              </w:tc>
              <w:tc>
                <w:tcPr>
                  <w:tcW w:w="550" w:type="pct"/>
                  <w:vAlign w:val="center"/>
                </w:tcPr>
                <w:p w14:paraId="0383F72D">
                  <w:pPr>
                    <w:tabs>
                      <w:tab w:val="left" w:pos="990"/>
                    </w:tabs>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&lt;4</w:t>
                  </w:r>
                </w:p>
              </w:tc>
              <w:tc>
                <w:tcPr>
                  <w:tcW w:w="550" w:type="pct"/>
                  <w:vAlign w:val="center"/>
                </w:tcPr>
                <w:p w14:paraId="78AE26D3">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&lt;4</w:t>
                  </w:r>
                </w:p>
              </w:tc>
              <w:tc>
                <w:tcPr>
                  <w:tcW w:w="550" w:type="pct"/>
                  <w:vAlign w:val="center"/>
                </w:tcPr>
                <w:p w14:paraId="4C1476AB">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&lt;4</w:t>
                  </w:r>
                </w:p>
              </w:tc>
              <w:tc>
                <w:tcPr>
                  <w:tcW w:w="551" w:type="pct"/>
                  <w:vAlign w:val="center"/>
                </w:tcPr>
                <w:p w14:paraId="48196E70">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kern w:val="0"/>
                      <w:szCs w:val="21"/>
                      <w:lang w:bidi="ar"/>
                    </w:rPr>
                    <w:t>&lt;4</w:t>
                  </w:r>
                </w:p>
              </w:tc>
              <w:tc>
                <w:tcPr>
                  <w:tcW w:w="632" w:type="pct"/>
                  <w:vMerge w:val="continue"/>
                  <w:vAlign w:val="center"/>
                </w:tcPr>
                <w:p w14:paraId="793C2206">
                  <w:pPr>
                    <w:widowControl/>
                    <w:jc w:val="center"/>
                    <w:textAlignment w:val="center"/>
                    <w:rPr>
                      <w:rFonts w:hint="eastAsia" w:ascii="Times New Roman" w:hAnsi="Times New Roman" w:eastAsia="宋体" w:cs="Times New Roman"/>
                      <w:kern w:val="0"/>
                      <w:szCs w:val="21"/>
                      <w:lang w:bidi="ar"/>
                    </w:rPr>
                  </w:pPr>
                </w:p>
              </w:tc>
              <w:tc>
                <w:tcPr>
                  <w:tcW w:w="632" w:type="pct"/>
                  <w:vMerge w:val="continue"/>
                  <w:vAlign w:val="center"/>
                </w:tcPr>
                <w:p w14:paraId="66179E83">
                  <w:pPr>
                    <w:widowControl/>
                    <w:jc w:val="center"/>
                    <w:textAlignment w:val="center"/>
                    <w:rPr>
                      <w:rFonts w:hint="eastAsia" w:ascii="Times New Roman" w:hAnsi="Times New Roman" w:eastAsia="宋体" w:cs="Times New Roman"/>
                      <w:kern w:val="0"/>
                      <w:szCs w:val="21"/>
                      <w:lang w:bidi="ar"/>
                    </w:rPr>
                  </w:pPr>
                </w:p>
              </w:tc>
            </w:tr>
            <w:tr w14:paraId="2DB951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7" w:type="pct"/>
                  <w:vMerge w:val="continue"/>
                  <w:vAlign w:val="center"/>
                </w:tcPr>
                <w:p w14:paraId="50B95238">
                  <w:pPr>
                    <w:jc w:val="center"/>
                    <w:rPr>
                      <w:rFonts w:ascii="Times New Roman" w:hAnsi="Times New Roman" w:eastAsia="宋体" w:cs="Times New Roman"/>
                      <w:szCs w:val="21"/>
                    </w:rPr>
                  </w:pPr>
                </w:p>
              </w:tc>
              <w:tc>
                <w:tcPr>
                  <w:tcW w:w="265" w:type="pct"/>
                  <w:vMerge w:val="continue"/>
                  <w:vAlign w:val="center"/>
                </w:tcPr>
                <w:p w14:paraId="7094203B">
                  <w:pPr>
                    <w:jc w:val="center"/>
                    <w:rPr>
                      <w:rFonts w:ascii="Times New Roman" w:hAnsi="Times New Roman" w:eastAsia="宋体" w:cs="Times New Roman"/>
                      <w:szCs w:val="21"/>
                    </w:rPr>
                  </w:pPr>
                </w:p>
              </w:tc>
              <w:tc>
                <w:tcPr>
                  <w:tcW w:w="239" w:type="pct"/>
                  <w:vMerge w:val="continue"/>
                  <w:vAlign w:val="center"/>
                </w:tcPr>
                <w:p w14:paraId="7DA57B3B">
                  <w:pPr>
                    <w:jc w:val="center"/>
                    <w:rPr>
                      <w:rFonts w:ascii="Times New Roman" w:hAnsi="Times New Roman" w:eastAsia="宋体" w:cs="Times New Roman"/>
                      <w:szCs w:val="21"/>
                    </w:rPr>
                  </w:pPr>
                </w:p>
              </w:tc>
              <w:tc>
                <w:tcPr>
                  <w:tcW w:w="670" w:type="pct"/>
                  <w:vAlign w:val="center"/>
                </w:tcPr>
                <w:p w14:paraId="507573C1">
                  <w:pPr>
                    <w:jc w:val="center"/>
                    <w:rPr>
                      <w:rFonts w:ascii="Times New Roman" w:hAnsi="Times New Roman" w:eastAsia="宋体" w:cs="Times New Roman"/>
                      <w:szCs w:val="21"/>
                    </w:rPr>
                  </w:pPr>
                  <w:r>
                    <w:rPr>
                      <w:rFonts w:ascii="Times New Roman" w:hAnsi="Times New Roman" w:eastAsia="宋体" w:cs="Times New Roman"/>
                      <w:szCs w:val="21"/>
                    </w:rPr>
                    <w:t>排放速率（kg/h）</w:t>
                  </w:r>
                </w:p>
              </w:tc>
              <w:tc>
                <w:tcPr>
                  <w:tcW w:w="550" w:type="pct"/>
                  <w:vAlign w:val="center"/>
                </w:tcPr>
                <w:p w14:paraId="44E68D8D">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&lt;0.02</w:t>
                  </w:r>
                </w:p>
              </w:tc>
              <w:tc>
                <w:tcPr>
                  <w:tcW w:w="550" w:type="pct"/>
                  <w:vAlign w:val="center"/>
                </w:tcPr>
                <w:p w14:paraId="5BD13D47">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&lt;0.02</w:t>
                  </w:r>
                </w:p>
              </w:tc>
              <w:tc>
                <w:tcPr>
                  <w:tcW w:w="550" w:type="pct"/>
                  <w:vAlign w:val="center"/>
                </w:tcPr>
                <w:p w14:paraId="0528AB95">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&lt;0.02</w:t>
                  </w:r>
                </w:p>
              </w:tc>
              <w:tc>
                <w:tcPr>
                  <w:tcW w:w="551" w:type="pct"/>
                  <w:vAlign w:val="center"/>
                </w:tcPr>
                <w:p w14:paraId="044B1DFE">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&lt;0.02</w:t>
                  </w:r>
                </w:p>
              </w:tc>
              <w:tc>
                <w:tcPr>
                  <w:tcW w:w="632" w:type="pct"/>
                  <w:vMerge w:val="continue"/>
                  <w:vAlign w:val="center"/>
                </w:tcPr>
                <w:p w14:paraId="336488EA">
                  <w:pPr>
                    <w:widowControl/>
                    <w:jc w:val="center"/>
                    <w:textAlignment w:val="center"/>
                    <w:rPr>
                      <w:rFonts w:hint="eastAsia" w:ascii="Times New Roman" w:hAnsi="Times New Roman" w:eastAsia="宋体" w:cs="Times New Roman"/>
                      <w:kern w:val="0"/>
                      <w:szCs w:val="21"/>
                      <w:lang w:bidi="ar"/>
                    </w:rPr>
                  </w:pPr>
                </w:p>
              </w:tc>
              <w:tc>
                <w:tcPr>
                  <w:tcW w:w="632" w:type="pct"/>
                  <w:vMerge w:val="continue"/>
                  <w:vAlign w:val="center"/>
                </w:tcPr>
                <w:p w14:paraId="62F34B0A">
                  <w:pPr>
                    <w:widowControl/>
                    <w:jc w:val="center"/>
                    <w:textAlignment w:val="center"/>
                    <w:rPr>
                      <w:rFonts w:hint="eastAsia" w:ascii="Times New Roman" w:hAnsi="Times New Roman" w:eastAsia="宋体" w:cs="Times New Roman"/>
                      <w:kern w:val="0"/>
                      <w:szCs w:val="21"/>
                      <w:lang w:bidi="ar"/>
                    </w:rPr>
                  </w:pPr>
                </w:p>
              </w:tc>
            </w:tr>
            <w:tr w14:paraId="6F1574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7" w:type="pct"/>
                  <w:vMerge w:val="continue"/>
                  <w:vAlign w:val="center"/>
                </w:tcPr>
                <w:p w14:paraId="7B59BA25">
                  <w:pPr>
                    <w:jc w:val="center"/>
                    <w:rPr>
                      <w:rFonts w:ascii="Times New Roman" w:hAnsi="Times New Roman" w:eastAsia="宋体" w:cs="Times New Roman"/>
                      <w:szCs w:val="21"/>
                    </w:rPr>
                  </w:pPr>
                </w:p>
              </w:tc>
              <w:tc>
                <w:tcPr>
                  <w:tcW w:w="265" w:type="pct"/>
                  <w:vMerge w:val="continue"/>
                  <w:vAlign w:val="center"/>
                </w:tcPr>
                <w:p w14:paraId="3C470D4F">
                  <w:pPr>
                    <w:widowControl/>
                    <w:jc w:val="center"/>
                    <w:textAlignment w:val="center"/>
                    <w:rPr>
                      <w:rFonts w:ascii="Times New Roman" w:hAnsi="Times New Roman" w:eastAsia="宋体" w:cs="Times New Roman"/>
                      <w:szCs w:val="21"/>
                    </w:rPr>
                  </w:pPr>
                </w:p>
              </w:tc>
              <w:tc>
                <w:tcPr>
                  <w:tcW w:w="239" w:type="pct"/>
                  <w:vMerge w:val="restart"/>
                  <w:vAlign w:val="center"/>
                </w:tcPr>
                <w:p w14:paraId="0CD670E2">
                  <w:pPr>
                    <w:jc w:val="center"/>
                    <w:rPr>
                      <w:rFonts w:ascii="Times New Roman" w:hAnsi="Times New Roman" w:eastAsia="宋体" w:cs="Times New Roman"/>
                      <w:szCs w:val="21"/>
                    </w:rPr>
                  </w:pPr>
                  <w:r>
                    <w:rPr>
                      <w:rFonts w:hint="eastAsia" w:ascii="Times New Roman" w:hAnsi="Times New Roman" w:eastAsia="宋体" w:cs="Times New Roman"/>
                      <w:szCs w:val="21"/>
                    </w:rPr>
                    <w:t>氮氧</w:t>
                  </w:r>
                </w:p>
                <w:p w14:paraId="19B55822">
                  <w:pPr>
                    <w:jc w:val="center"/>
                    <w:rPr>
                      <w:rFonts w:ascii="Times New Roman" w:hAnsi="Times New Roman" w:eastAsia="宋体" w:cs="Times New Roman"/>
                      <w:szCs w:val="21"/>
                    </w:rPr>
                  </w:pPr>
                  <w:r>
                    <w:rPr>
                      <w:rFonts w:hint="eastAsia" w:ascii="Times New Roman" w:hAnsi="Times New Roman" w:eastAsia="宋体" w:cs="Times New Roman"/>
                      <w:szCs w:val="21"/>
                    </w:rPr>
                    <w:t>化物</w:t>
                  </w:r>
                </w:p>
              </w:tc>
              <w:tc>
                <w:tcPr>
                  <w:tcW w:w="670" w:type="pct"/>
                  <w:vAlign w:val="center"/>
                </w:tcPr>
                <w:p w14:paraId="5D02D582">
                  <w:pPr>
                    <w:jc w:val="center"/>
                    <w:rPr>
                      <w:rFonts w:ascii="Times New Roman" w:hAnsi="Times New Roman" w:eastAsia="宋体" w:cs="Times New Roman"/>
                      <w:szCs w:val="21"/>
                    </w:rPr>
                  </w:pPr>
                  <w:r>
                    <w:rPr>
                      <w:rFonts w:ascii="Times New Roman" w:hAnsi="Times New Roman" w:eastAsia="宋体" w:cs="Times New Roman"/>
                      <w:szCs w:val="21"/>
                    </w:rPr>
                    <w:t>实测值（mg/m</w:t>
                  </w:r>
                  <w:r>
                    <w:rPr>
                      <w:rFonts w:ascii="Times New Roman" w:hAnsi="Times New Roman" w:eastAsia="宋体" w:cs="Times New Roman"/>
                      <w:szCs w:val="21"/>
                      <w:vertAlign w:val="superscript"/>
                    </w:rPr>
                    <w:t>3</w:t>
                  </w:r>
                  <w:r>
                    <w:rPr>
                      <w:rFonts w:ascii="Times New Roman" w:hAnsi="Times New Roman" w:eastAsia="宋体" w:cs="Times New Roman"/>
                      <w:szCs w:val="21"/>
                    </w:rPr>
                    <w:t>）</w:t>
                  </w:r>
                </w:p>
              </w:tc>
              <w:tc>
                <w:tcPr>
                  <w:tcW w:w="550" w:type="pct"/>
                  <w:vAlign w:val="center"/>
                </w:tcPr>
                <w:p w14:paraId="50C5CF2A">
                  <w:pPr>
                    <w:tabs>
                      <w:tab w:val="left" w:pos="990"/>
                    </w:tabs>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52</w:t>
                  </w:r>
                </w:p>
              </w:tc>
              <w:tc>
                <w:tcPr>
                  <w:tcW w:w="550" w:type="pct"/>
                  <w:vAlign w:val="center"/>
                </w:tcPr>
                <w:p w14:paraId="4FA97086">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48</w:t>
                  </w:r>
                </w:p>
              </w:tc>
              <w:tc>
                <w:tcPr>
                  <w:tcW w:w="550" w:type="pct"/>
                  <w:vAlign w:val="center"/>
                </w:tcPr>
                <w:p w14:paraId="324E9E98">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53</w:t>
                  </w:r>
                </w:p>
              </w:tc>
              <w:tc>
                <w:tcPr>
                  <w:tcW w:w="551" w:type="pct"/>
                  <w:vAlign w:val="center"/>
                </w:tcPr>
                <w:p w14:paraId="0D2705DD">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51</w:t>
                  </w:r>
                </w:p>
              </w:tc>
              <w:tc>
                <w:tcPr>
                  <w:tcW w:w="632" w:type="pct"/>
                  <w:vMerge w:val="restart"/>
                  <w:vAlign w:val="center"/>
                </w:tcPr>
                <w:p w14:paraId="4504945F">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150</w:t>
                  </w:r>
                </w:p>
              </w:tc>
              <w:tc>
                <w:tcPr>
                  <w:tcW w:w="632" w:type="pct"/>
                  <w:vMerge w:val="restart"/>
                  <w:vAlign w:val="center"/>
                </w:tcPr>
                <w:p w14:paraId="6781E9C4">
                  <w:pPr>
                    <w:widowControl/>
                    <w:jc w:val="center"/>
                    <w:textAlignment w:val="center"/>
                    <w:rPr>
                      <w:rFonts w:hint="eastAsia" w:ascii="Times New Roman" w:hAnsi="Times New Roman" w:eastAsia="宋体" w:cs="Times New Roman"/>
                      <w:szCs w:val="21"/>
                    </w:rPr>
                  </w:pPr>
                  <w:r>
                    <w:rPr>
                      <w:rFonts w:hint="eastAsia" w:ascii="Times New Roman" w:hAnsi="Times New Roman" w:cs="Times New Roman"/>
                      <w:kern w:val="0"/>
                      <w:szCs w:val="21"/>
                      <w:lang w:val="en-US" w:eastAsia="zh-CN" w:bidi="ar"/>
                    </w:rPr>
                    <w:t>/</w:t>
                  </w:r>
                </w:p>
              </w:tc>
            </w:tr>
            <w:tr w14:paraId="56FF85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7" w:type="pct"/>
                  <w:vMerge w:val="continue"/>
                  <w:vAlign w:val="center"/>
                </w:tcPr>
                <w:p w14:paraId="24798C67">
                  <w:pPr>
                    <w:jc w:val="center"/>
                    <w:rPr>
                      <w:rFonts w:ascii="Times New Roman" w:hAnsi="Times New Roman" w:eastAsia="宋体" w:cs="Times New Roman"/>
                      <w:szCs w:val="21"/>
                    </w:rPr>
                  </w:pPr>
                </w:p>
              </w:tc>
              <w:tc>
                <w:tcPr>
                  <w:tcW w:w="265" w:type="pct"/>
                  <w:vMerge w:val="continue"/>
                  <w:vAlign w:val="center"/>
                </w:tcPr>
                <w:p w14:paraId="660C13A6">
                  <w:pPr>
                    <w:jc w:val="center"/>
                    <w:rPr>
                      <w:rFonts w:ascii="Times New Roman" w:hAnsi="Times New Roman" w:eastAsia="宋体" w:cs="Times New Roman"/>
                      <w:szCs w:val="21"/>
                    </w:rPr>
                  </w:pPr>
                </w:p>
              </w:tc>
              <w:tc>
                <w:tcPr>
                  <w:tcW w:w="239" w:type="pct"/>
                  <w:vMerge w:val="continue"/>
                  <w:vAlign w:val="center"/>
                </w:tcPr>
                <w:p w14:paraId="785AA509">
                  <w:pPr>
                    <w:jc w:val="center"/>
                    <w:rPr>
                      <w:rFonts w:ascii="Times New Roman" w:hAnsi="Times New Roman" w:eastAsia="宋体" w:cs="Times New Roman"/>
                      <w:szCs w:val="21"/>
                    </w:rPr>
                  </w:pPr>
                </w:p>
              </w:tc>
              <w:tc>
                <w:tcPr>
                  <w:tcW w:w="670" w:type="pct"/>
                  <w:vAlign w:val="center"/>
                </w:tcPr>
                <w:p w14:paraId="487A5363">
                  <w:pPr>
                    <w:jc w:val="center"/>
                    <w:rPr>
                      <w:rFonts w:ascii="Times New Roman" w:hAnsi="Times New Roman" w:eastAsia="宋体" w:cs="Times New Roman"/>
                      <w:szCs w:val="21"/>
                    </w:rPr>
                  </w:pPr>
                  <w:r>
                    <w:rPr>
                      <w:rFonts w:hint="eastAsia" w:ascii="Times New Roman" w:hAnsi="Times New Roman" w:eastAsia="宋体" w:cs="Times New Roman"/>
                      <w:szCs w:val="21"/>
                    </w:rPr>
                    <w:t>折算</w:t>
                  </w:r>
                  <w:r>
                    <w:rPr>
                      <w:rFonts w:ascii="Times New Roman" w:hAnsi="Times New Roman" w:eastAsia="宋体" w:cs="Times New Roman"/>
                      <w:szCs w:val="21"/>
                    </w:rPr>
                    <w:t>值（mg/m</w:t>
                  </w:r>
                  <w:r>
                    <w:rPr>
                      <w:rFonts w:ascii="Times New Roman" w:hAnsi="Times New Roman" w:eastAsia="宋体" w:cs="Times New Roman"/>
                      <w:szCs w:val="21"/>
                      <w:vertAlign w:val="superscript"/>
                    </w:rPr>
                    <w:t>3</w:t>
                  </w:r>
                  <w:r>
                    <w:rPr>
                      <w:rFonts w:ascii="Times New Roman" w:hAnsi="Times New Roman" w:eastAsia="宋体" w:cs="Times New Roman"/>
                      <w:szCs w:val="21"/>
                    </w:rPr>
                    <w:t>）</w:t>
                  </w:r>
                </w:p>
              </w:tc>
              <w:tc>
                <w:tcPr>
                  <w:tcW w:w="550" w:type="pct"/>
                  <w:vAlign w:val="center"/>
                </w:tcPr>
                <w:p w14:paraId="17DDE664">
                  <w:pPr>
                    <w:tabs>
                      <w:tab w:val="left" w:pos="990"/>
                    </w:tabs>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62</w:t>
                  </w:r>
                </w:p>
              </w:tc>
              <w:tc>
                <w:tcPr>
                  <w:tcW w:w="550" w:type="pct"/>
                  <w:vAlign w:val="center"/>
                </w:tcPr>
                <w:p w14:paraId="36DC539C">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58</w:t>
                  </w:r>
                </w:p>
              </w:tc>
              <w:tc>
                <w:tcPr>
                  <w:tcW w:w="550" w:type="pct"/>
                  <w:vAlign w:val="center"/>
                </w:tcPr>
                <w:p w14:paraId="3D8053E0">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65</w:t>
                  </w:r>
                </w:p>
              </w:tc>
              <w:tc>
                <w:tcPr>
                  <w:tcW w:w="551" w:type="pct"/>
                  <w:vAlign w:val="center"/>
                </w:tcPr>
                <w:p w14:paraId="7F1E87CC">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62</w:t>
                  </w:r>
                </w:p>
              </w:tc>
              <w:tc>
                <w:tcPr>
                  <w:tcW w:w="632" w:type="pct"/>
                  <w:vMerge w:val="continue"/>
                  <w:vAlign w:val="center"/>
                </w:tcPr>
                <w:p w14:paraId="4FFC2704">
                  <w:pPr>
                    <w:widowControl/>
                    <w:jc w:val="center"/>
                    <w:textAlignment w:val="center"/>
                    <w:rPr>
                      <w:rFonts w:hint="eastAsia" w:ascii="Times New Roman" w:hAnsi="Times New Roman" w:eastAsia="宋体" w:cs="Times New Roman"/>
                      <w:szCs w:val="21"/>
                    </w:rPr>
                  </w:pPr>
                </w:p>
              </w:tc>
              <w:tc>
                <w:tcPr>
                  <w:tcW w:w="632" w:type="pct"/>
                  <w:vMerge w:val="continue"/>
                  <w:vAlign w:val="center"/>
                </w:tcPr>
                <w:p w14:paraId="3D9D80E4">
                  <w:pPr>
                    <w:widowControl/>
                    <w:jc w:val="center"/>
                    <w:textAlignment w:val="center"/>
                    <w:rPr>
                      <w:rFonts w:hint="eastAsia" w:ascii="Times New Roman" w:hAnsi="Times New Roman" w:eastAsia="宋体" w:cs="Times New Roman"/>
                      <w:szCs w:val="21"/>
                    </w:rPr>
                  </w:pPr>
                </w:p>
              </w:tc>
            </w:tr>
            <w:tr w14:paraId="625E87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7" w:type="pct"/>
                  <w:vMerge w:val="continue"/>
                  <w:vAlign w:val="center"/>
                </w:tcPr>
                <w:p w14:paraId="00957656">
                  <w:pPr>
                    <w:jc w:val="center"/>
                    <w:rPr>
                      <w:rFonts w:ascii="Times New Roman" w:hAnsi="Times New Roman" w:eastAsia="宋体" w:cs="Times New Roman"/>
                      <w:szCs w:val="21"/>
                    </w:rPr>
                  </w:pPr>
                </w:p>
              </w:tc>
              <w:tc>
                <w:tcPr>
                  <w:tcW w:w="265" w:type="pct"/>
                  <w:vMerge w:val="continue"/>
                  <w:vAlign w:val="center"/>
                </w:tcPr>
                <w:p w14:paraId="00E9625D">
                  <w:pPr>
                    <w:jc w:val="center"/>
                    <w:rPr>
                      <w:rFonts w:ascii="Times New Roman" w:hAnsi="Times New Roman" w:eastAsia="宋体" w:cs="Times New Roman"/>
                      <w:szCs w:val="21"/>
                    </w:rPr>
                  </w:pPr>
                </w:p>
              </w:tc>
              <w:tc>
                <w:tcPr>
                  <w:tcW w:w="239" w:type="pct"/>
                  <w:vMerge w:val="continue"/>
                  <w:vAlign w:val="center"/>
                </w:tcPr>
                <w:p w14:paraId="146F4834">
                  <w:pPr>
                    <w:jc w:val="center"/>
                    <w:rPr>
                      <w:rFonts w:ascii="Times New Roman" w:hAnsi="Times New Roman" w:eastAsia="宋体" w:cs="Times New Roman"/>
                      <w:szCs w:val="21"/>
                    </w:rPr>
                  </w:pPr>
                </w:p>
              </w:tc>
              <w:tc>
                <w:tcPr>
                  <w:tcW w:w="670" w:type="pct"/>
                  <w:vAlign w:val="center"/>
                </w:tcPr>
                <w:p w14:paraId="0C31BDA2">
                  <w:pPr>
                    <w:jc w:val="center"/>
                    <w:rPr>
                      <w:rFonts w:ascii="Times New Roman" w:hAnsi="Times New Roman" w:eastAsia="宋体" w:cs="Times New Roman"/>
                      <w:szCs w:val="21"/>
                    </w:rPr>
                  </w:pPr>
                  <w:r>
                    <w:rPr>
                      <w:rFonts w:ascii="Times New Roman" w:hAnsi="Times New Roman" w:eastAsia="宋体" w:cs="Times New Roman"/>
                      <w:szCs w:val="21"/>
                    </w:rPr>
                    <w:t>排放速率（kg/h）</w:t>
                  </w:r>
                </w:p>
              </w:tc>
              <w:tc>
                <w:tcPr>
                  <w:tcW w:w="550" w:type="pct"/>
                  <w:vAlign w:val="center"/>
                </w:tcPr>
                <w:p w14:paraId="6B44A6A9">
                  <w:pPr>
                    <w:tabs>
                      <w:tab w:val="left" w:pos="990"/>
                    </w:tabs>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0.37</w:t>
                  </w:r>
                </w:p>
              </w:tc>
              <w:tc>
                <w:tcPr>
                  <w:tcW w:w="550" w:type="pct"/>
                  <w:vAlign w:val="center"/>
                </w:tcPr>
                <w:p w14:paraId="43BA896F">
                  <w:pPr>
                    <w:tabs>
                      <w:tab w:val="left" w:pos="990"/>
                    </w:tabs>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0.35</w:t>
                  </w:r>
                </w:p>
              </w:tc>
              <w:tc>
                <w:tcPr>
                  <w:tcW w:w="550" w:type="pct"/>
                  <w:vAlign w:val="center"/>
                </w:tcPr>
                <w:p w14:paraId="66373612">
                  <w:pPr>
                    <w:tabs>
                      <w:tab w:val="left" w:pos="990"/>
                    </w:tabs>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0.38</w:t>
                  </w:r>
                </w:p>
              </w:tc>
              <w:tc>
                <w:tcPr>
                  <w:tcW w:w="551" w:type="pct"/>
                  <w:vAlign w:val="center"/>
                </w:tcPr>
                <w:p w14:paraId="6F224D11">
                  <w:pPr>
                    <w:tabs>
                      <w:tab w:val="left" w:pos="990"/>
                    </w:tabs>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0.37</w:t>
                  </w:r>
                </w:p>
              </w:tc>
              <w:tc>
                <w:tcPr>
                  <w:tcW w:w="632" w:type="pct"/>
                  <w:vMerge w:val="continue"/>
                  <w:vAlign w:val="center"/>
                </w:tcPr>
                <w:p w14:paraId="4539322F">
                  <w:pPr>
                    <w:tabs>
                      <w:tab w:val="left" w:pos="990"/>
                    </w:tabs>
                    <w:jc w:val="center"/>
                    <w:rPr>
                      <w:rFonts w:hint="eastAsia" w:ascii="Times New Roman" w:hAnsi="Times New Roman" w:eastAsia="宋体" w:cs="Times New Roman"/>
                      <w:kern w:val="0"/>
                      <w:szCs w:val="21"/>
                      <w:lang w:bidi="ar"/>
                    </w:rPr>
                  </w:pPr>
                </w:p>
              </w:tc>
              <w:tc>
                <w:tcPr>
                  <w:tcW w:w="632" w:type="pct"/>
                  <w:vMerge w:val="continue"/>
                  <w:vAlign w:val="center"/>
                </w:tcPr>
                <w:p w14:paraId="69BB441D">
                  <w:pPr>
                    <w:tabs>
                      <w:tab w:val="left" w:pos="990"/>
                    </w:tabs>
                    <w:jc w:val="center"/>
                    <w:rPr>
                      <w:rFonts w:hint="eastAsia" w:ascii="Times New Roman" w:hAnsi="Times New Roman" w:eastAsia="宋体" w:cs="Times New Roman"/>
                      <w:kern w:val="0"/>
                      <w:szCs w:val="21"/>
                      <w:lang w:bidi="ar"/>
                    </w:rPr>
                  </w:pPr>
                </w:p>
              </w:tc>
            </w:tr>
            <w:tr w14:paraId="73D2C1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7" w:type="pct"/>
                  <w:vMerge w:val="continue"/>
                  <w:vAlign w:val="center"/>
                </w:tcPr>
                <w:p w14:paraId="45A9F37C">
                  <w:pPr>
                    <w:jc w:val="center"/>
                    <w:rPr>
                      <w:rFonts w:ascii="Times New Roman" w:hAnsi="Times New Roman" w:eastAsia="宋体" w:cs="Times New Roman"/>
                      <w:szCs w:val="21"/>
                    </w:rPr>
                  </w:pPr>
                </w:p>
              </w:tc>
              <w:tc>
                <w:tcPr>
                  <w:tcW w:w="265" w:type="pct"/>
                  <w:vMerge w:val="continue"/>
                  <w:vAlign w:val="center"/>
                </w:tcPr>
                <w:p w14:paraId="23EEC540">
                  <w:pPr>
                    <w:jc w:val="center"/>
                    <w:rPr>
                      <w:rFonts w:ascii="Times New Roman" w:hAnsi="Times New Roman" w:eastAsia="宋体" w:cs="Times New Roman"/>
                      <w:szCs w:val="21"/>
                    </w:rPr>
                  </w:pPr>
                </w:p>
              </w:tc>
              <w:tc>
                <w:tcPr>
                  <w:tcW w:w="910" w:type="pct"/>
                  <w:gridSpan w:val="2"/>
                  <w:vAlign w:val="center"/>
                </w:tcPr>
                <w:p w14:paraId="1A11DCA1">
                  <w:pPr>
                    <w:jc w:val="center"/>
                    <w:rPr>
                      <w:rFonts w:ascii="Times New Roman" w:hAnsi="Times New Roman" w:eastAsia="宋体" w:cs="Times New Roman"/>
                      <w:szCs w:val="21"/>
                    </w:rPr>
                  </w:pPr>
                  <w:r>
                    <w:rPr>
                      <w:rFonts w:hint="eastAsia" w:ascii="Times New Roman" w:hAnsi="Times New Roman" w:eastAsia="宋体" w:cs="Times New Roman"/>
                      <w:szCs w:val="21"/>
                    </w:rPr>
                    <w:t>烟气黑度（级）</w:t>
                  </w:r>
                </w:p>
              </w:tc>
              <w:tc>
                <w:tcPr>
                  <w:tcW w:w="550" w:type="pct"/>
                  <w:vAlign w:val="center"/>
                </w:tcPr>
                <w:p w14:paraId="3A49BEB1">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&lt;1</w:t>
                  </w:r>
                </w:p>
              </w:tc>
              <w:tc>
                <w:tcPr>
                  <w:tcW w:w="550" w:type="pct"/>
                  <w:vAlign w:val="center"/>
                </w:tcPr>
                <w:p w14:paraId="3A255A9A">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&lt;1</w:t>
                  </w:r>
                </w:p>
              </w:tc>
              <w:tc>
                <w:tcPr>
                  <w:tcW w:w="550" w:type="pct"/>
                  <w:vAlign w:val="center"/>
                </w:tcPr>
                <w:p w14:paraId="461198AB">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&lt;1</w:t>
                  </w:r>
                </w:p>
              </w:tc>
              <w:tc>
                <w:tcPr>
                  <w:tcW w:w="551" w:type="pct"/>
                  <w:vAlign w:val="center"/>
                </w:tcPr>
                <w:p w14:paraId="2C1A9FFB">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&lt;1</w:t>
                  </w:r>
                </w:p>
              </w:tc>
              <w:tc>
                <w:tcPr>
                  <w:tcW w:w="632" w:type="pct"/>
                  <w:vAlign w:val="center"/>
                </w:tcPr>
                <w:p w14:paraId="0635A685">
                  <w:pPr>
                    <w:jc w:val="center"/>
                    <w:rPr>
                      <w:rFonts w:hint="eastAsia" w:ascii="Times New Roman" w:hAnsi="Times New Roman" w:eastAsia="宋体" w:cs="Times New Roman"/>
                      <w:kern w:val="0"/>
                      <w:szCs w:val="21"/>
                      <w:lang w:val="en-US" w:eastAsia="zh-CN" w:bidi="ar"/>
                    </w:rPr>
                  </w:pPr>
                  <w:r>
                    <w:rPr>
                      <w:rFonts w:hint="eastAsia" w:ascii="Times New Roman" w:hAnsi="Times New Roman" w:cs="Times New Roman"/>
                      <w:kern w:val="0"/>
                      <w:szCs w:val="21"/>
                      <w:lang w:val="en-US" w:eastAsia="zh-CN" w:bidi="ar"/>
                    </w:rPr>
                    <w:t>1</w:t>
                  </w:r>
                </w:p>
              </w:tc>
              <w:tc>
                <w:tcPr>
                  <w:tcW w:w="632" w:type="pct"/>
                  <w:vAlign w:val="center"/>
                </w:tcPr>
                <w:p w14:paraId="46E9AE94">
                  <w:pPr>
                    <w:jc w:val="center"/>
                    <w:rPr>
                      <w:rFonts w:hint="eastAsia" w:ascii="Times New Roman" w:hAnsi="Times New Roman" w:eastAsia="宋体" w:cs="Times New Roman"/>
                      <w:kern w:val="0"/>
                      <w:szCs w:val="21"/>
                      <w:lang w:val="en-US" w:eastAsia="zh-CN" w:bidi="ar"/>
                    </w:rPr>
                  </w:pPr>
                  <w:r>
                    <w:rPr>
                      <w:rFonts w:hint="eastAsia" w:ascii="Times New Roman" w:hAnsi="Times New Roman" w:cs="Times New Roman"/>
                      <w:kern w:val="0"/>
                      <w:szCs w:val="21"/>
                      <w:lang w:val="en-US" w:eastAsia="zh-CN" w:bidi="ar"/>
                    </w:rPr>
                    <w:t>/</w:t>
                  </w:r>
                </w:p>
              </w:tc>
            </w:tr>
          </w:tbl>
          <w:p w14:paraId="212A42D3">
            <w:pPr>
              <w:pStyle w:val="42"/>
              <w:tabs>
                <w:tab w:val="left" w:pos="0"/>
                <w:tab w:val="clear" w:pos="420"/>
              </w:tabs>
              <w:bidi w:val="0"/>
              <w:rPr>
                <w:rFonts w:hint="eastAsia" w:ascii="Times New Roman" w:hAnsi="Times New Roman" w:eastAsia="宋体" w:cs="Times New Roman"/>
                <w:color w:val="auto"/>
                <w:highlight w:val="none"/>
                <w:u w:val="none" w:color="auto"/>
                <w:lang w:val="en-US" w:eastAsia="zh-CN"/>
              </w:rPr>
            </w:pPr>
            <w:r>
              <w:rPr>
                <w:rFonts w:hint="eastAsia" w:ascii="Times New Roman" w:hAnsi="Times New Roman" w:eastAsia="宋体" w:cs="Times New Roman"/>
                <w:color w:val="auto"/>
                <w:highlight w:val="none"/>
                <w:u w:val="none" w:color="auto"/>
                <w:lang w:val="en-US" w:eastAsia="zh-CN"/>
              </w:rPr>
              <w:t xml:space="preserve"> 厂界无组织废气检测结果</w:t>
            </w:r>
          </w:p>
          <w:tbl>
            <w:tblPr>
              <w:tblStyle w:val="32"/>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1195"/>
              <w:gridCol w:w="1313"/>
              <w:gridCol w:w="689"/>
              <w:gridCol w:w="689"/>
              <w:gridCol w:w="914"/>
              <w:gridCol w:w="689"/>
              <w:gridCol w:w="689"/>
              <w:gridCol w:w="914"/>
              <w:gridCol w:w="1010"/>
            </w:tblGrid>
            <w:tr w14:paraId="797D33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blHeader/>
                <w:jc w:val="center"/>
              </w:trPr>
              <w:tc>
                <w:tcPr>
                  <w:tcW w:w="411" w:type="pct"/>
                  <w:vMerge w:val="restart"/>
                  <w:vAlign w:val="center"/>
                </w:tcPr>
                <w:p w14:paraId="2BF1B4BE">
                  <w:pPr>
                    <w:jc w:val="center"/>
                    <w:rPr>
                      <w:rFonts w:ascii="Times New Roman" w:hAnsi="Times New Roman" w:eastAsia="宋体" w:cs="Times New Roman"/>
                      <w:szCs w:val="21"/>
                    </w:rPr>
                  </w:pPr>
                  <w:r>
                    <w:rPr>
                      <w:rFonts w:ascii="Times New Roman" w:hAnsi="Times New Roman" w:eastAsia="宋体" w:cs="Times New Roman"/>
                      <w:szCs w:val="21"/>
                    </w:rPr>
                    <w:t>采样日期</w:t>
                  </w:r>
                </w:p>
              </w:tc>
              <w:tc>
                <w:tcPr>
                  <w:tcW w:w="670" w:type="pct"/>
                  <w:vMerge w:val="restart"/>
                  <w:vAlign w:val="center"/>
                </w:tcPr>
                <w:p w14:paraId="72AFA9F9">
                  <w:pPr>
                    <w:jc w:val="center"/>
                    <w:rPr>
                      <w:rFonts w:ascii="Times New Roman" w:hAnsi="Times New Roman" w:eastAsia="宋体" w:cs="Times New Roman"/>
                      <w:szCs w:val="21"/>
                    </w:rPr>
                  </w:pPr>
                  <w:r>
                    <w:rPr>
                      <w:rFonts w:ascii="Times New Roman" w:hAnsi="Times New Roman" w:eastAsia="宋体" w:cs="Times New Roman"/>
                      <w:szCs w:val="21"/>
                    </w:rPr>
                    <w:t>检测项目</w:t>
                  </w:r>
                </w:p>
              </w:tc>
              <w:tc>
                <w:tcPr>
                  <w:tcW w:w="772" w:type="pct"/>
                  <w:vMerge w:val="restart"/>
                  <w:vAlign w:val="center"/>
                </w:tcPr>
                <w:p w14:paraId="5818A433">
                  <w:pPr>
                    <w:jc w:val="center"/>
                    <w:rPr>
                      <w:rFonts w:ascii="Times New Roman" w:hAnsi="Times New Roman" w:eastAsia="宋体" w:cs="Times New Roman"/>
                      <w:szCs w:val="21"/>
                    </w:rPr>
                  </w:pPr>
                  <w:r>
                    <w:rPr>
                      <w:rFonts w:ascii="Times New Roman" w:hAnsi="Times New Roman" w:eastAsia="宋体" w:cs="Times New Roman"/>
                      <w:szCs w:val="21"/>
                    </w:rPr>
                    <w:t>检测点位</w:t>
                  </w:r>
                </w:p>
              </w:tc>
              <w:tc>
                <w:tcPr>
                  <w:tcW w:w="1677" w:type="pct"/>
                  <w:gridSpan w:val="4"/>
                  <w:vAlign w:val="center"/>
                </w:tcPr>
                <w:p w14:paraId="44602459">
                  <w:pPr>
                    <w:tabs>
                      <w:tab w:val="left" w:pos="990"/>
                    </w:tabs>
                    <w:jc w:val="center"/>
                    <w:rPr>
                      <w:rFonts w:ascii="Times New Roman" w:hAnsi="Times New Roman" w:eastAsia="宋体" w:cs="Times New Roman"/>
                      <w:szCs w:val="21"/>
                    </w:rPr>
                  </w:pPr>
                  <w:r>
                    <w:rPr>
                      <w:rFonts w:ascii="Times New Roman" w:hAnsi="Times New Roman" w:eastAsia="宋体" w:cs="Times New Roman"/>
                      <w:szCs w:val="21"/>
                    </w:rPr>
                    <w:t>检测频次及结果</w:t>
                  </w:r>
                </w:p>
              </w:tc>
              <w:tc>
                <w:tcPr>
                  <w:tcW w:w="386" w:type="pct"/>
                  <w:vMerge w:val="restart"/>
                  <w:vAlign w:val="center"/>
                </w:tcPr>
                <w:p w14:paraId="375F52C8">
                  <w:pPr>
                    <w:tabs>
                      <w:tab w:val="left" w:pos="990"/>
                    </w:tabs>
                    <w:jc w:val="center"/>
                    <w:rPr>
                      <w:rFonts w:ascii="Times New Roman" w:hAnsi="Times New Roman" w:eastAsia="宋体" w:cs="Times New Roman"/>
                      <w:szCs w:val="21"/>
                    </w:rPr>
                  </w:pPr>
                  <w:r>
                    <w:rPr>
                      <w:rFonts w:ascii="Times New Roman" w:hAnsi="Times New Roman" w:eastAsia="宋体" w:cs="Times New Roman"/>
                      <w:szCs w:val="21"/>
                    </w:rPr>
                    <w:t>最大值</w:t>
                  </w:r>
                </w:p>
              </w:tc>
              <w:tc>
                <w:tcPr>
                  <w:tcW w:w="513" w:type="pct"/>
                  <w:vMerge w:val="restart"/>
                  <w:vAlign w:val="center"/>
                </w:tcPr>
                <w:p w14:paraId="585DB3E0">
                  <w:pPr>
                    <w:jc w:val="center"/>
                    <w:rPr>
                      <w:rFonts w:ascii="Times New Roman" w:hAnsi="Times New Roman" w:eastAsia="宋体" w:cs="Times New Roman"/>
                      <w:szCs w:val="21"/>
                    </w:rPr>
                  </w:pPr>
                  <w:r>
                    <w:rPr>
                      <w:rFonts w:hint="default" w:ascii="Times New Roman" w:hAnsi="Times New Roman" w:cs="Times New Roman"/>
                      <w:color w:val="auto"/>
                      <w:highlight w:val="none"/>
                    </w:rPr>
                    <w:t>排放浓度限值</w:t>
                  </w:r>
                  <w:r>
                    <w:rPr>
                      <w:rFonts w:hint="default" w:ascii="Times New Roman" w:hAnsi="Times New Roman" w:cs="Times New Roman"/>
                      <w:color w:val="auto"/>
                      <w:highlight w:val="none"/>
                      <w:lang w:val="en-US" w:eastAsia="en-US"/>
                    </w:rPr>
                    <w:t>(mg/m</w:t>
                  </w:r>
                  <w:r>
                    <w:rPr>
                      <w:rFonts w:hint="default" w:ascii="Times New Roman" w:hAnsi="Times New Roman" w:cs="Times New Roman"/>
                      <w:color w:val="auto"/>
                      <w:highlight w:val="none"/>
                      <w:vertAlign w:val="superscript"/>
                      <w:lang w:val="en-US" w:eastAsia="en-US"/>
                    </w:rPr>
                    <w:t>3</w:t>
                  </w:r>
                  <w:r>
                    <w:rPr>
                      <w:rFonts w:hint="default" w:ascii="Times New Roman" w:hAnsi="Times New Roman" w:cs="Times New Roman"/>
                      <w:color w:val="auto"/>
                      <w:highlight w:val="none"/>
                      <w:lang w:val="en-US" w:eastAsia="en-US"/>
                    </w:rPr>
                    <w:t>)</w:t>
                  </w:r>
                </w:p>
              </w:tc>
              <w:tc>
                <w:tcPr>
                  <w:tcW w:w="567" w:type="pct"/>
                  <w:vMerge w:val="restart"/>
                  <w:vAlign w:val="center"/>
                </w:tcPr>
                <w:p w14:paraId="0FF9B456">
                  <w:pPr>
                    <w:tabs>
                      <w:tab w:val="left" w:pos="990"/>
                    </w:tabs>
                    <w:jc w:val="center"/>
                    <w:rPr>
                      <w:rFonts w:ascii="Times New Roman" w:hAnsi="Times New Roman" w:eastAsia="宋体" w:cs="Times New Roman"/>
                      <w:szCs w:val="21"/>
                    </w:rPr>
                  </w:pPr>
                  <w:r>
                    <w:rPr>
                      <w:rFonts w:hint="eastAsia" w:ascii="Times New Roman" w:hAnsi="Times New Roman" w:cs="Times New Roman"/>
                      <w:color w:val="auto"/>
                      <w:highlight w:val="none"/>
                      <w:lang w:val="en-US" w:eastAsia="zh-CN"/>
                    </w:rPr>
                    <w:t>排放速率限值（kg/h）</w:t>
                  </w:r>
                </w:p>
              </w:tc>
            </w:tr>
            <w:tr w14:paraId="145F14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blHeader/>
                <w:jc w:val="center"/>
              </w:trPr>
              <w:tc>
                <w:tcPr>
                  <w:tcW w:w="411" w:type="pct"/>
                  <w:vMerge w:val="continue"/>
                  <w:vAlign w:val="center"/>
                </w:tcPr>
                <w:p w14:paraId="5D6C3819">
                  <w:pPr>
                    <w:jc w:val="center"/>
                    <w:rPr>
                      <w:rFonts w:ascii="Times New Roman" w:hAnsi="Times New Roman" w:eastAsia="宋体" w:cs="Times New Roman"/>
                      <w:szCs w:val="21"/>
                    </w:rPr>
                  </w:pPr>
                </w:p>
              </w:tc>
              <w:tc>
                <w:tcPr>
                  <w:tcW w:w="670" w:type="pct"/>
                  <w:vMerge w:val="continue"/>
                  <w:vAlign w:val="center"/>
                </w:tcPr>
                <w:p w14:paraId="1BB10800">
                  <w:pPr>
                    <w:jc w:val="center"/>
                    <w:rPr>
                      <w:rFonts w:ascii="Times New Roman" w:hAnsi="Times New Roman" w:eastAsia="宋体" w:cs="Times New Roman"/>
                      <w:szCs w:val="21"/>
                    </w:rPr>
                  </w:pPr>
                </w:p>
              </w:tc>
              <w:tc>
                <w:tcPr>
                  <w:tcW w:w="772" w:type="pct"/>
                  <w:vMerge w:val="continue"/>
                  <w:vAlign w:val="center"/>
                </w:tcPr>
                <w:p w14:paraId="718CB792">
                  <w:pPr>
                    <w:jc w:val="center"/>
                    <w:rPr>
                      <w:rFonts w:ascii="Times New Roman" w:hAnsi="Times New Roman" w:eastAsia="宋体" w:cs="Times New Roman"/>
                      <w:szCs w:val="21"/>
                    </w:rPr>
                  </w:pPr>
                </w:p>
              </w:tc>
              <w:tc>
                <w:tcPr>
                  <w:tcW w:w="386" w:type="pct"/>
                  <w:vAlign w:val="center"/>
                </w:tcPr>
                <w:p w14:paraId="3E6B587F">
                  <w:pPr>
                    <w:tabs>
                      <w:tab w:val="left" w:pos="990"/>
                    </w:tabs>
                    <w:jc w:val="center"/>
                    <w:rPr>
                      <w:rFonts w:ascii="Times New Roman" w:hAnsi="Times New Roman" w:eastAsia="宋体" w:cs="Times New Roman"/>
                      <w:szCs w:val="21"/>
                    </w:rPr>
                  </w:pPr>
                  <w:r>
                    <w:rPr>
                      <w:rFonts w:ascii="Times New Roman" w:hAnsi="Times New Roman" w:eastAsia="宋体" w:cs="Times New Roman"/>
                      <w:szCs w:val="21"/>
                    </w:rPr>
                    <w:t>1</w:t>
                  </w:r>
                </w:p>
              </w:tc>
              <w:tc>
                <w:tcPr>
                  <w:tcW w:w="386" w:type="pct"/>
                  <w:vAlign w:val="center"/>
                </w:tcPr>
                <w:p w14:paraId="372ECEBD">
                  <w:pPr>
                    <w:tabs>
                      <w:tab w:val="left" w:pos="990"/>
                    </w:tabs>
                    <w:jc w:val="center"/>
                    <w:rPr>
                      <w:rFonts w:ascii="Times New Roman" w:hAnsi="Times New Roman" w:eastAsia="宋体" w:cs="Times New Roman"/>
                      <w:szCs w:val="21"/>
                    </w:rPr>
                  </w:pPr>
                  <w:r>
                    <w:rPr>
                      <w:rFonts w:ascii="Times New Roman" w:hAnsi="Times New Roman" w:eastAsia="宋体" w:cs="Times New Roman"/>
                      <w:szCs w:val="21"/>
                    </w:rPr>
                    <w:t>2</w:t>
                  </w:r>
                </w:p>
              </w:tc>
              <w:tc>
                <w:tcPr>
                  <w:tcW w:w="513" w:type="pct"/>
                  <w:vAlign w:val="center"/>
                </w:tcPr>
                <w:p w14:paraId="19BDF0E5">
                  <w:pPr>
                    <w:jc w:val="center"/>
                    <w:rPr>
                      <w:rFonts w:ascii="Times New Roman" w:hAnsi="Times New Roman" w:eastAsia="宋体" w:cs="Times New Roman"/>
                      <w:szCs w:val="21"/>
                    </w:rPr>
                  </w:pPr>
                  <w:r>
                    <w:rPr>
                      <w:rFonts w:hint="default" w:ascii="Times New Roman" w:hAnsi="Times New Roman" w:cs="Times New Roman"/>
                      <w:color w:val="auto"/>
                      <w:highlight w:val="none"/>
                    </w:rPr>
                    <w:t>排放浓度限值</w:t>
                  </w:r>
                  <w:r>
                    <w:rPr>
                      <w:rFonts w:hint="default" w:ascii="Times New Roman" w:hAnsi="Times New Roman" w:cs="Times New Roman"/>
                      <w:color w:val="auto"/>
                      <w:highlight w:val="none"/>
                      <w:lang w:val="en-US" w:eastAsia="en-US"/>
                    </w:rPr>
                    <w:t>(mg/m</w:t>
                  </w:r>
                  <w:r>
                    <w:rPr>
                      <w:rFonts w:hint="default" w:ascii="Times New Roman" w:hAnsi="Times New Roman" w:cs="Times New Roman"/>
                      <w:color w:val="auto"/>
                      <w:highlight w:val="none"/>
                      <w:vertAlign w:val="superscript"/>
                      <w:lang w:val="en-US" w:eastAsia="en-US"/>
                    </w:rPr>
                    <w:t>3</w:t>
                  </w:r>
                  <w:r>
                    <w:rPr>
                      <w:rFonts w:hint="default" w:ascii="Times New Roman" w:hAnsi="Times New Roman" w:cs="Times New Roman"/>
                      <w:color w:val="auto"/>
                      <w:highlight w:val="none"/>
                      <w:lang w:val="en-US" w:eastAsia="en-US"/>
                    </w:rPr>
                    <w:t>)</w:t>
                  </w:r>
                </w:p>
              </w:tc>
              <w:tc>
                <w:tcPr>
                  <w:tcW w:w="390" w:type="pct"/>
                  <w:vAlign w:val="center"/>
                </w:tcPr>
                <w:p w14:paraId="26CF3891">
                  <w:pPr>
                    <w:tabs>
                      <w:tab w:val="left" w:pos="990"/>
                    </w:tabs>
                    <w:jc w:val="center"/>
                    <w:rPr>
                      <w:rFonts w:ascii="Times New Roman" w:hAnsi="Times New Roman" w:eastAsia="宋体" w:cs="Times New Roman"/>
                      <w:szCs w:val="21"/>
                    </w:rPr>
                  </w:pPr>
                  <w:r>
                    <w:rPr>
                      <w:rFonts w:hint="eastAsia" w:ascii="Times New Roman" w:hAnsi="Times New Roman" w:eastAsia="宋体" w:cs="Times New Roman"/>
                      <w:szCs w:val="21"/>
                    </w:rPr>
                    <w:t>4</w:t>
                  </w:r>
                </w:p>
              </w:tc>
              <w:tc>
                <w:tcPr>
                  <w:tcW w:w="386" w:type="pct"/>
                  <w:vMerge w:val="continue"/>
                  <w:vAlign w:val="center"/>
                </w:tcPr>
                <w:p w14:paraId="76B9CF11">
                  <w:pPr>
                    <w:tabs>
                      <w:tab w:val="left" w:pos="990"/>
                    </w:tabs>
                    <w:jc w:val="center"/>
                    <w:rPr>
                      <w:rFonts w:ascii="Times New Roman" w:hAnsi="Times New Roman" w:eastAsia="宋体" w:cs="Times New Roman"/>
                      <w:szCs w:val="21"/>
                    </w:rPr>
                  </w:pPr>
                </w:p>
              </w:tc>
              <w:tc>
                <w:tcPr>
                  <w:tcW w:w="513" w:type="pct"/>
                  <w:vMerge w:val="continue"/>
                  <w:vAlign w:val="center"/>
                </w:tcPr>
                <w:p w14:paraId="4F588A27">
                  <w:pPr>
                    <w:tabs>
                      <w:tab w:val="left" w:pos="990"/>
                    </w:tabs>
                    <w:jc w:val="center"/>
                    <w:rPr>
                      <w:rFonts w:ascii="Times New Roman" w:hAnsi="Times New Roman" w:eastAsia="宋体" w:cs="Times New Roman"/>
                      <w:szCs w:val="21"/>
                    </w:rPr>
                  </w:pPr>
                </w:p>
              </w:tc>
              <w:tc>
                <w:tcPr>
                  <w:tcW w:w="567" w:type="pct"/>
                  <w:vMerge w:val="continue"/>
                  <w:vAlign w:val="center"/>
                </w:tcPr>
                <w:p w14:paraId="232ABC10">
                  <w:pPr>
                    <w:tabs>
                      <w:tab w:val="left" w:pos="990"/>
                    </w:tabs>
                    <w:jc w:val="center"/>
                    <w:rPr>
                      <w:rFonts w:ascii="Times New Roman" w:hAnsi="Times New Roman" w:eastAsia="宋体" w:cs="Times New Roman"/>
                      <w:szCs w:val="21"/>
                    </w:rPr>
                  </w:pPr>
                </w:p>
              </w:tc>
            </w:tr>
            <w:tr w14:paraId="2FDEA4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11" w:type="pct"/>
                  <w:vMerge w:val="restart"/>
                  <w:vAlign w:val="center"/>
                </w:tcPr>
                <w:p w14:paraId="11D02590">
                  <w:pPr>
                    <w:widowControl/>
                    <w:jc w:val="center"/>
                    <w:textAlignment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2025年</w:t>
                  </w:r>
                </w:p>
                <w:p w14:paraId="793DBA5C">
                  <w:pPr>
                    <w:jc w:val="center"/>
                    <w:rPr>
                      <w:rFonts w:ascii="Times New Roman" w:hAnsi="Times New Roman" w:eastAsia="宋体" w:cs="Times New Roman"/>
                      <w:szCs w:val="21"/>
                    </w:rPr>
                  </w:pPr>
                  <w:r>
                    <w:rPr>
                      <w:rFonts w:hint="eastAsia" w:ascii="Times New Roman" w:hAnsi="Times New Roman" w:eastAsia="宋体" w:cs="Times New Roman"/>
                      <w:szCs w:val="21"/>
                    </w:rPr>
                    <w:t>6月11日</w:t>
                  </w:r>
                </w:p>
              </w:tc>
              <w:tc>
                <w:tcPr>
                  <w:tcW w:w="670" w:type="pct"/>
                  <w:vMerge w:val="restart"/>
                  <w:vAlign w:val="center"/>
                </w:tcPr>
                <w:p w14:paraId="50234C57">
                  <w:pPr>
                    <w:jc w:val="center"/>
                    <w:rPr>
                      <w:rFonts w:ascii="Times New Roman" w:hAnsi="Times New Roman" w:eastAsia="宋体" w:cs="Times New Roman"/>
                      <w:szCs w:val="21"/>
                    </w:rPr>
                  </w:pPr>
                  <w:r>
                    <w:rPr>
                      <w:rFonts w:ascii="Times New Roman" w:hAnsi="Times New Roman" w:eastAsia="宋体" w:cs="Times New Roman"/>
                      <w:szCs w:val="21"/>
                    </w:rPr>
                    <w:t>颗粒物（mg/m</w:t>
                  </w:r>
                  <w:r>
                    <w:rPr>
                      <w:rFonts w:ascii="Times New Roman" w:hAnsi="Times New Roman" w:eastAsia="宋体" w:cs="Times New Roman"/>
                      <w:szCs w:val="21"/>
                      <w:vertAlign w:val="superscript"/>
                    </w:rPr>
                    <w:t>3</w:t>
                  </w:r>
                  <w:r>
                    <w:rPr>
                      <w:rFonts w:ascii="Times New Roman" w:hAnsi="Times New Roman" w:eastAsia="宋体" w:cs="Times New Roman"/>
                      <w:szCs w:val="21"/>
                    </w:rPr>
                    <w:t>）</w:t>
                  </w:r>
                </w:p>
              </w:tc>
              <w:tc>
                <w:tcPr>
                  <w:tcW w:w="772" w:type="pct"/>
                  <w:vAlign w:val="center"/>
                </w:tcPr>
                <w:p w14:paraId="75347540">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厂界上风向Q1</w:t>
                  </w:r>
                </w:p>
              </w:tc>
              <w:tc>
                <w:tcPr>
                  <w:tcW w:w="386" w:type="pct"/>
                  <w:vAlign w:val="center"/>
                </w:tcPr>
                <w:p w14:paraId="78831BAC">
                  <w:pPr>
                    <w:tabs>
                      <w:tab w:val="left" w:pos="990"/>
                    </w:tabs>
                    <w:jc w:val="center"/>
                    <w:rPr>
                      <w:rFonts w:ascii="Times New Roman" w:hAnsi="Times New Roman" w:eastAsia="宋体" w:cs="Times New Roman"/>
                      <w:szCs w:val="21"/>
                    </w:rPr>
                  </w:pPr>
                  <w:r>
                    <w:rPr>
                      <w:rFonts w:ascii="Times New Roman" w:hAnsi="Times New Roman" w:eastAsia="宋体" w:cs="Times New Roman"/>
                      <w:szCs w:val="21"/>
                    </w:rPr>
                    <w:t>0.175</w:t>
                  </w:r>
                </w:p>
              </w:tc>
              <w:tc>
                <w:tcPr>
                  <w:tcW w:w="386" w:type="pct"/>
                  <w:vAlign w:val="center"/>
                </w:tcPr>
                <w:p w14:paraId="58C98666">
                  <w:pPr>
                    <w:tabs>
                      <w:tab w:val="left" w:pos="990"/>
                    </w:tabs>
                    <w:jc w:val="center"/>
                    <w:rPr>
                      <w:rFonts w:ascii="Times New Roman" w:hAnsi="Times New Roman" w:eastAsia="宋体" w:cs="Times New Roman"/>
                      <w:szCs w:val="21"/>
                    </w:rPr>
                  </w:pPr>
                  <w:r>
                    <w:rPr>
                      <w:rFonts w:ascii="Times New Roman" w:hAnsi="Times New Roman" w:eastAsia="宋体" w:cs="Times New Roman"/>
                      <w:szCs w:val="21"/>
                    </w:rPr>
                    <w:t>0.186</w:t>
                  </w:r>
                </w:p>
              </w:tc>
              <w:tc>
                <w:tcPr>
                  <w:tcW w:w="513" w:type="pct"/>
                  <w:vAlign w:val="center"/>
                </w:tcPr>
                <w:p w14:paraId="4635ED11">
                  <w:pPr>
                    <w:tabs>
                      <w:tab w:val="left" w:pos="990"/>
                    </w:tabs>
                    <w:jc w:val="center"/>
                    <w:rPr>
                      <w:rFonts w:ascii="Times New Roman" w:hAnsi="Times New Roman" w:eastAsia="宋体" w:cs="Times New Roman"/>
                      <w:szCs w:val="21"/>
                    </w:rPr>
                  </w:pPr>
                  <w:r>
                    <w:rPr>
                      <w:rFonts w:ascii="Times New Roman" w:hAnsi="Times New Roman" w:eastAsia="宋体" w:cs="Times New Roman"/>
                      <w:szCs w:val="21"/>
                    </w:rPr>
                    <w:t>0.197</w:t>
                  </w:r>
                </w:p>
              </w:tc>
              <w:tc>
                <w:tcPr>
                  <w:tcW w:w="390" w:type="pct"/>
                  <w:vAlign w:val="center"/>
                </w:tcPr>
                <w:p w14:paraId="1DD4823D">
                  <w:pPr>
                    <w:tabs>
                      <w:tab w:val="left" w:pos="990"/>
                    </w:tabs>
                    <w:jc w:val="center"/>
                    <w:rPr>
                      <w:rFonts w:ascii="Times New Roman" w:hAnsi="Times New Roman" w:eastAsia="宋体" w:cs="Times New Roman"/>
                      <w:szCs w:val="21"/>
                    </w:rPr>
                  </w:pPr>
                  <w:r>
                    <w:rPr>
                      <w:rFonts w:ascii="Times New Roman" w:hAnsi="Times New Roman" w:eastAsia="宋体" w:cs="Times New Roman"/>
                      <w:szCs w:val="21"/>
                    </w:rPr>
                    <w:t>0.174</w:t>
                  </w:r>
                </w:p>
              </w:tc>
              <w:tc>
                <w:tcPr>
                  <w:tcW w:w="386" w:type="pct"/>
                  <w:vMerge w:val="restart"/>
                  <w:vAlign w:val="center"/>
                </w:tcPr>
                <w:p w14:paraId="7C952890">
                  <w:pPr>
                    <w:tabs>
                      <w:tab w:val="left" w:pos="990"/>
                    </w:tabs>
                    <w:jc w:val="center"/>
                    <w:rPr>
                      <w:rFonts w:ascii="Times New Roman" w:hAnsi="Times New Roman" w:eastAsia="宋体" w:cs="Times New Roman"/>
                      <w:szCs w:val="21"/>
                    </w:rPr>
                  </w:pPr>
                  <w:r>
                    <w:rPr>
                      <w:rFonts w:hint="eastAsia" w:ascii="Times New Roman" w:hAnsi="Times New Roman" w:eastAsia="宋体" w:cs="Times New Roman"/>
                      <w:szCs w:val="21"/>
                    </w:rPr>
                    <w:t>0.203</w:t>
                  </w:r>
                </w:p>
              </w:tc>
              <w:tc>
                <w:tcPr>
                  <w:tcW w:w="513" w:type="pct"/>
                  <w:vMerge w:val="restart"/>
                  <w:vAlign w:val="center"/>
                </w:tcPr>
                <w:p w14:paraId="1D0784C7">
                  <w:pPr>
                    <w:tabs>
                      <w:tab w:val="left" w:pos="990"/>
                    </w:tabs>
                    <w:jc w:val="center"/>
                    <w:rPr>
                      <w:rFonts w:hint="eastAsia" w:ascii="Times New Roman" w:hAnsi="Times New Roman" w:eastAsia="宋体" w:cs="Times New Roman"/>
                      <w:szCs w:val="21"/>
                    </w:rPr>
                  </w:pPr>
                  <w:r>
                    <w:rPr>
                      <w:rFonts w:hint="eastAsia" w:eastAsia="宋体"/>
                    </w:rPr>
                    <w:t>0.5*</w:t>
                  </w:r>
                </w:p>
              </w:tc>
              <w:tc>
                <w:tcPr>
                  <w:tcW w:w="567" w:type="pct"/>
                  <w:vMerge w:val="restart"/>
                  <w:vAlign w:val="center"/>
                </w:tcPr>
                <w:p w14:paraId="409982E4">
                  <w:pPr>
                    <w:tabs>
                      <w:tab w:val="left" w:pos="990"/>
                    </w:tabs>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r>
            <w:tr w14:paraId="1D73BF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11" w:type="pct"/>
                  <w:vMerge w:val="continue"/>
                  <w:vAlign w:val="center"/>
                </w:tcPr>
                <w:p w14:paraId="5CAC4F65">
                  <w:pPr>
                    <w:jc w:val="center"/>
                    <w:rPr>
                      <w:rFonts w:ascii="Times New Roman" w:hAnsi="Times New Roman" w:eastAsia="宋体" w:cs="Times New Roman"/>
                      <w:szCs w:val="21"/>
                    </w:rPr>
                  </w:pPr>
                </w:p>
              </w:tc>
              <w:tc>
                <w:tcPr>
                  <w:tcW w:w="670" w:type="pct"/>
                  <w:vMerge w:val="continue"/>
                  <w:vAlign w:val="center"/>
                </w:tcPr>
                <w:p w14:paraId="596EC9D5">
                  <w:pPr>
                    <w:jc w:val="center"/>
                    <w:rPr>
                      <w:rFonts w:ascii="Times New Roman" w:hAnsi="Times New Roman" w:eastAsia="宋体" w:cs="Times New Roman"/>
                      <w:szCs w:val="21"/>
                    </w:rPr>
                  </w:pPr>
                </w:p>
              </w:tc>
              <w:tc>
                <w:tcPr>
                  <w:tcW w:w="772" w:type="pct"/>
                  <w:vAlign w:val="center"/>
                </w:tcPr>
                <w:p w14:paraId="0A41C427">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厂界下风向Q2</w:t>
                  </w:r>
                </w:p>
              </w:tc>
              <w:tc>
                <w:tcPr>
                  <w:tcW w:w="386" w:type="pct"/>
                  <w:vAlign w:val="center"/>
                </w:tcPr>
                <w:p w14:paraId="180EC27E">
                  <w:pPr>
                    <w:tabs>
                      <w:tab w:val="left" w:pos="990"/>
                    </w:tabs>
                    <w:jc w:val="center"/>
                    <w:rPr>
                      <w:rFonts w:ascii="Times New Roman" w:hAnsi="Times New Roman" w:eastAsia="宋体" w:cs="Times New Roman"/>
                      <w:szCs w:val="21"/>
                    </w:rPr>
                  </w:pPr>
                  <w:r>
                    <w:rPr>
                      <w:rFonts w:ascii="Times New Roman" w:hAnsi="Times New Roman" w:eastAsia="宋体" w:cs="Times New Roman"/>
                      <w:szCs w:val="21"/>
                    </w:rPr>
                    <w:t>0.188</w:t>
                  </w:r>
                </w:p>
              </w:tc>
              <w:tc>
                <w:tcPr>
                  <w:tcW w:w="386" w:type="pct"/>
                  <w:vAlign w:val="center"/>
                </w:tcPr>
                <w:p w14:paraId="094829B4">
                  <w:pPr>
                    <w:tabs>
                      <w:tab w:val="left" w:pos="990"/>
                    </w:tabs>
                    <w:jc w:val="center"/>
                    <w:rPr>
                      <w:rFonts w:ascii="Times New Roman" w:hAnsi="Times New Roman" w:eastAsia="宋体" w:cs="Times New Roman"/>
                      <w:szCs w:val="21"/>
                    </w:rPr>
                  </w:pPr>
                  <w:r>
                    <w:rPr>
                      <w:rFonts w:ascii="Times New Roman" w:hAnsi="Times New Roman" w:eastAsia="宋体" w:cs="Times New Roman"/>
                      <w:szCs w:val="21"/>
                    </w:rPr>
                    <w:t>0.195</w:t>
                  </w:r>
                </w:p>
              </w:tc>
              <w:tc>
                <w:tcPr>
                  <w:tcW w:w="513" w:type="pct"/>
                  <w:vAlign w:val="center"/>
                </w:tcPr>
                <w:p w14:paraId="30748E45">
                  <w:pPr>
                    <w:tabs>
                      <w:tab w:val="left" w:pos="990"/>
                    </w:tabs>
                    <w:jc w:val="center"/>
                    <w:rPr>
                      <w:rFonts w:ascii="Times New Roman" w:hAnsi="Times New Roman" w:eastAsia="宋体" w:cs="Times New Roman"/>
                      <w:szCs w:val="21"/>
                    </w:rPr>
                  </w:pPr>
                  <w:r>
                    <w:rPr>
                      <w:rFonts w:ascii="Times New Roman" w:hAnsi="Times New Roman" w:eastAsia="宋体" w:cs="Times New Roman"/>
                      <w:szCs w:val="21"/>
                    </w:rPr>
                    <w:t>0.201</w:t>
                  </w:r>
                </w:p>
              </w:tc>
              <w:tc>
                <w:tcPr>
                  <w:tcW w:w="390" w:type="pct"/>
                  <w:vAlign w:val="center"/>
                </w:tcPr>
                <w:p w14:paraId="0282C988">
                  <w:pPr>
                    <w:tabs>
                      <w:tab w:val="left" w:pos="990"/>
                    </w:tabs>
                    <w:jc w:val="center"/>
                    <w:rPr>
                      <w:rFonts w:ascii="Times New Roman" w:hAnsi="Times New Roman" w:eastAsia="宋体" w:cs="Times New Roman"/>
                      <w:szCs w:val="21"/>
                    </w:rPr>
                  </w:pPr>
                  <w:r>
                    <w:rPr>
                      <w:rFonts w:ascii="Times New Roman" w:hAnsi="Times New Roman" w:eastAsia="宋体" w:cs="Times New Roman"/>
                      <w:szCs w:val="21"/>
                    </w:rPr>
                    <w:t>0.177</w:t>
                  </w:r>
                </w:p>
              </w:tc>
              <w:tc>
                <w:tcPr>
                  <w:tcW w:w="386" w:type="pct"/>
                  <w:vMerge w:val="continue"/>
                  <w:vAlign w:val="center"/>
                </w:tcPr>
                <w:p w14:paraId="6E7A1F6D">
                  <w:pPr>
                    <w:tabs>
                      <w:tab w:val="left" w:pos="990"/>
                    </w:tabs>
                    <w:jc w:val="center"/>
                    <w:rPr>
                      <w:rFonts w:ascii="Times New Roman" w:hAnsi="Times New Roman" w:eastAsia="宋体" w:cs="Times New Roman"/>
                      <w:szCs w:val="21"/>
                    </w:rPr>
                  </w:pPr>
                </w:p>
              </w:tc>
              <w:tc>
                <w:tcPr>
                  <w:tcW w:w="513" w:type="pct"/>
                  <w:vMerge w:val="continue"/>
                  <w:vAlign w:val="center"/>
                </w:tcPr>
                <w:p w14:paraId="0B8C1BF0">
                  <w:pPr>
                    <w:tabs>
                      <w:tab w:val="left" w:pos="990"/>
                    </w:tabs>
                    <w:jc w:val="center"/>
                    <w:rPr>
                      <w:rFonts w:ascii="Times New Roman" w:hAnsi="Times New Roman" w:eastAsia="宋体" w:cs="Times New Roman"/>
                      <w:szCs w:val="21"/>
                    </w:rPr>
                  </w:pPr>
                </w:p>
              </w:tc>
              <w:tc>
                <w:tcPr>
                  <w:tcW w:w="567" w:type="pct"/>
                  <w:vMerge w:val="continue"/>
                  <w:vAlign w:val="center"/>
                </w:tcPr>
                <w:p w14:paraId="2E036A34">
                  <w:pPr>
                    <w:tabs>
                      <w:tab w:val="left" w:pos="990"/>
                    </w:tabs>
                    <w:jc w:val="center"/>
                    <w:rPr>
                      <w:rFonts w:ascii="Times New Roman" w:hAnsi="Times New Roman" w:eastAsia="宋体" w:cs="Times New Roman"/>
                      <w:szCs w:val="21"/>
                    </w:rPr>
                  </w:pPr>
                </w:p>
              </w:tc>
            </w:tr>
            <w:tr w14:paraId="55ED0F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11" w:type="pct"/>
                  <w:vMerge w:val="continue"/>
                  <w:vAlign w:val="center"/>
                </w:tcPr>
                <w:p w14:paraId="52C76C4E">
                  <w:pPr>
                    <w:jc w:val="center"/>
                    <w:rPr>
                      <w:rFonts w:ascii="Times New Roman" w:hAnsi="Times New Roman" w:eastAsia="宋体" w:cs="Times New Roman"/>
                      <w:szCs w:val="21"/>
                    </w:rPr>
                  </w:pPr>
                </w:p>
              </w:tc>
              <w:tc>
                <w:tcPr>
                  <w:tcW w:w="670" w:type="pct"/>
                  <w:vMerge w:val="continue"/>
                  <w:vAlign w:val="center"/>
                </w:tcPr>
                <w:p w14:paraId="4792D430">
                  <w:pPr>
                    <w:jc w:val="center"/>
                    <w:rPr>
                      <w:rFonts w:ascii="Times New Roman" w:hAnsi="Times New Roman" w:eastAsia="宋体" w:cs="Times New Roman"/>
                      <w:szCs w:val="21"/>
                    </w:rPr>
                  </w:pPr>
                </w:p>
              </w:tc>
              <w:tc>
                <w:tcPr>
                  <w:tcW w:w="772" w:type="pct"/>
                  <w:vAlign w:val="center"/>
                </w:tcPr>
                <w:p w14:paraId="66E305D5">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厂界下风向Q3</w:t>
                  </w:r>
                </w:p>
              </w:tc>
              <w:tc>
                <w:tcPr>
                  <w:tcW w:w="386" w:type="pct"/>
                  <w:vAlign w:val="center"/>
                </w:tcPr>
                <w:p w14:paraId="2E63B8C3">
                  <w:pPr>
                    <w:tabs>
                      <w:tab w:val="left" w:pos="990"/>
                    </w:tabs>
                    <w:jc w:val="center"/>
                    <w:rPr>
                      <w:rFonts w:ascii="Times New Roman" w:hAnsi="Times New Roman" w:eastAsia="宋体" w:cs="Times New Roman"/>
                      <w:szCs w:val="21"/>
                    </w:rPr>
                  </w:pPr>
                  <w:r>
                    <w:rPr>
                      <w:rFonts w:ascii="Times New Roman" w:hAnsi="Times New Roman" w:eastAsia="宋体" w:cs="Times New Roman"/>
                      <w:szCs w:val="21"/>
                    </w:rPr>
                    <w:t>0.196</w:t>
                  </w:r>
                </w:p>
              </w:tc>
              <w:tc>
                <w:tcPr>
                  <w:tcW w:w="386" w:type="pct"/>
                  <w:vAlign w:val="center"/>
                </w:tcPr>
                <w:p w14:paraId="42B3D866">
                  <w:pPr>
                    <w:tabs>
                      <w:tab w:val="left" w:pos="990"/>
                    </w:tabs>
                    <w:jc w:val="center"/>
                    <w:rPr>
                      <w:rFonts w:ascii="Times New Roman" w:hAnsi="Times New Roman" w:eastAsia="宋体" w:cs="Times New Roman"/>
                      <w:szCs w:val="21"/>
                    </w:rPr>
                  </w:pPr>
                  <w:r>
                    <w:rPr>
                      <w:rFonts w:ascii="Times New Roman" w:hAnsi="Times New Roman" w:eastAsia="宋体" w:cs="Times New Roman"/>
                      <w:szCs w:val="21"/>
                    </w:rPr>
                    <w:t>0.197</w:t>
                  </w:r>
                </w:p>
              </w:tc>
              <w:tc>
                <w:tcPr>
                  <w:tcW w:w="513" w:type="pct"/>
                  <w:vAlign w:val="center"/>
                </w:tcPr>
                <w:p w14:paraId="08818671">
                  <w:pPr>
                    <w:tabs>
                      <w:tab w:val="left" w:pos="990"/>
                    </w:tabs>
                    <w:jc w:val="center"/>
                    <w:rPr>
                      <w:rFonts w:ascii="Times New Roman" w:hAnsi="Times New Roman" w:eastAsia="宋体" w:cs="Times New Roman"/>
                      <w:szCs w:val="21"/>
                    </w:rPr>
                  </w:pPr>
                  <w:r>
                    <w:rPr>
                      <w:rFonts w:ascii="Times New Roman" w:hAnsi="Times New Roman" w:eastAsia="宋体" w:cs="Times New Roman"/>
                      <w:szCs w:val="21"/>
                    </w:rPr>
                    <w:t>0.203</w:t>
                  </w:r>
                </w:p>
              </w:tc>
              <w:tc>
                <w:tcPr>
                  <w:tcW w:w="390" w:type="pct"/>
                  <w:vAlign w:val="center"/>
                </w:tcPr>
                <w:p w14:paraId="6C0F582B">
                  <w:pPr>
                    <w:tabs>
                      <w:tab w:val="left" w:pos="990"/>
                    </w:tabs>
                    <w:jc w:val="center"/>
                    <w:rPr>
                      <w:rFonts w:ascii="Times New Roman" w:hAnsi="Times New Roman" w:eastAsia="宋体" w:cs="Times New Roman"/>
                      <w:szCs w:val="21"/>
                    </w:rPr>
                  </w:pPr>
                  <w:r>
                    <w:rPr>
                      <w:rFonts w:ascii="Times New Roman" w:hAnsi="Times New Roman" w:eastAsia="宋体" w:cs="Times New Roman"/>
                      <w:szCs w:val="21"/>
                    </w:rPr>
                    <w:t>0.191</w:t>
                  </w:r>
                </w:p>
              </w:tc>
              <w:tc>
                <w:tcPr>
                  <w:tcW w:w="386" w:type="pct"/>
                  <w:vMerge w:val="continue"/>
                  <w:vAlign w:val="center"/>
                </w:tcPr>
                <w:p w14:paraId="23B64F87">
                  <w:pPr>
                    <w:tabs>
                      <w:tab w:val="left" w:pos="990"/>
                    </w:tabs>
                    <w:jc w:val="center"/>
                    <w:rPr>
                      <w:rFonts w:ascii="Times New Roman" w:hAnsi="Times New Roman" w:eastAsia="宋体" w:cs="Times New Roman"/>
                      <w:szCs w:val="21"/>
                    </w:rPr>
                  </w:pPr>
                </w:p>
              </w:tc>
              <w:tc>
                <w:tcPr>
                  <w:tcW w:w="513" w:type="pct"/>
                  <w:vMerge w:val="continue"/>
                  <w:vAlign w:val="center"/>
                </w:tcPr>
                <w:p w14:paraId="111B8209">
                  <w:pPr>
                    <w:tabs>
                      <w:tab w:val="left" w:pos="990"/>
                    </w:tabs>
                    <w:jc w:val="center"/>
                    <w:rPr>
                      <w:rFonts w:ascii="Times New Roman" w:hAnsi="Times New Roman" w:eastAsia="宋体" w:cs="Times New Roman"/>
                      <w:szCs w:val="21"/>
                    </w:rPr>
                  </w:pPr>
                </w:p>
              </w:tc>
              <w:tc>
                <w:tcPr>
                  <w:tcW w:w="567" w:type="pct"/>
                  <w:vMerge w:val="continue"/>
                  <w:vAlign w:val="center"/>
                </w:tcPr>
                <w:p w14:paraId="7AAF2859">
                  <w:pPr>
                    <w:tabs>
                      <w:tab w:val="left" w:pos="990"/>
                    </w:tabs>
                    <w:jc w:val="center"/>
                    <w:rPr>
                      <w:rFonts w:ascii="Times New Roman" w:hAnsi="Times New Roman" w:eastAsia="宋体" w:cs="Times New Roman"/>
                      <w:szCs w:val="21"/>
                    </w:rPr>
                  </w:pPr>
                </w:p>
              </w:tc>
            </w:tr>
            <w:tr w14:paraId="057FFB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11" w:type="pct"/>
                  <w:vMerge w:val="continue"/>
                  <w:vAlign w:val="center"/>
                </w:tcPr>
                <w:p w14:paraId="6D103AEB">
                  <w:pPr>
                    <w:jc w:val="center"/>
                    <w:rPr>
                      <w:rFonts w:ascii="Times New Roman" w:hAnsi="Times New Roman" w:eastAsia="宋体" w:cs="Times New Roman"/>
                      <w:szCs w:val="21"/>
                    </w:rPr>
                  </w:pPr>
                </w:p>
              </w:tc>
              <w:tc>
                <w:tcPr>
                  <w:tcW w:w="670" w:type="pct"/>
                  <w:vMerge w:val="continue"/>
                  <w:vAlign w:val="center"/>
                </w:tcPr>
                <w:p w14:paraId="22B12D8D">
                  <w:pPr>
                    <w:jc w:val="center"/>
                    <w:rPr>
                      <w:rFonts w:ascii="Times New Roman" w:hAnsi="Times New Roman" w:eastAsia="宋体" w:cs="Times New Roman"/>
                      <w:szCs w:val="21"/>
                    </w:rPr>
                  </w:pPr>
                </w:p>
              </w:tc>
              <w:tc>
                <w:tcPr>
                  <w:tcW w:w="772" w:type="pct"/>
                  <w:vAlign w:val="center"/>
                </w:tcPr>
                <w:p w14:paraId="022D4E85">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厂界下风向Q4</w:t>
                  </w:r>
                </w:p>
              </w:tc>
              <w:tc>
                <w:tcPr>
                  <w:tcW w:w="386" w:type="pct"/>
                  <w:vAlign w:val="center"/>
                </w:tcPr>
                <w:p w14:paraId="1F2A050F">
                  <w:pPr>
                    <w:tabs>
                      <w:tab w:val="left" w:pos="990"/>
                    </w:tabs>
                    <w:jc w:val="center"/>
                    <w:rPr>
                      <w:rFonts w:ascii="Times New Roman" w:hAnsi="Times New Roman" w:eastAsia="宋体" w:cs="Times New Roman"/>
                      <w:szCs w:val="21"/>
                    </w:rPr>
                  </w:pPr>
                  <w:r>
                    <w:rPr>
                      <w:rFonts w:ascii="Times New Roman" w:hAnsi="Times New Roman" w:eastAsia="宋体" w:cs="Times New Roman"/>
                      <w:szCs w:val="21"/>
                    </w:rPr>
                    <w:t>0.192</w:t>
                  </w:r>
                </w:p>
              </w:tc>
              <w:tc>
                <w:tcPr>
                  <w:tcW w:w="386" w:type="pct"/>
                  <w:vAlign w:val="center"/>
                </w:tcPr>
                <w:p w14:paraId="2A10C188">
                  <w:pPr>
                    <w:tabs>
                      <w:tab w:val="left" w:pos="990"/>
                    </w:tabs>
                    <w:jc w:val="center"/>
                    <w:rPr>
                      <w:rFonts w:ascii="Times New Roman" w:hAnsi="Times New Roman" w:eastAsia="宋体" w:cs="Times New Roman"/>
                      <w:szCs w:val="21"/>
                    </w:rPr>
                  </w:pPr>
                  <w:r>
                    <w:rPr>
                      <w:rFonts w:ascii="Times New Roman" w:hAnsi="Times New Roman" w:eastAsia="宋体" w:cs="Times New Roman"/>
                      <w:szCs w:val="21"/>
                    </w:rPr>
                    <w:t>0.192</w:t>
                  </w:r>
                </w:p>
              </w:tc>
              <w:tc>
                <w:tcPr>
                  <w:tcW w:w="513" w:type="pct"/>
                  <w:vAlign w:val="center"/>
                </w:tcPr>
                <w:p w14:paraId="5FDD47E9">
                  <w:pPr>
                    <w:tabs>
                      <w:tab w:val="left" w:pos="990"/>
                    </w:tabs>
                    <w:jc w:val="center"/>
                    <w:rPr>
                      <w:rFonts w:ascii="Times New Roman" w:hAnsi="Times New Roman" w:eastAsia="宋体" w:cs="Times New Roman"/>
                      <w:szCs w:val="21"/>
                    </w:rPr>
                  </w:pPr>
                  <w:r>
                    <w:rPr>
                      <w:rFonts w:ascii="Times New Roman" w:hAnsi="Times New Roman" w:eastAsia="宋体" w:cs="Times New Roman"/>
                      <w:szCs w:val="21"/>
                    </w:rPr>
                    <w:t>0.199</w:t>
                  </w:r>
                </w:p>
              </w:tc>
              <w:tc>
                <w:tcPr>
                  <w:tcW w:w="390" w:type="pct"/>
                  <w:vAlign w:val="center"/>
                </w:tcPr>
                <w:p w14:paraId="471C96C0">
                  <w:pPr>
                    <w:tabs>
                      <w:tab w:val="left" w:pos="990"/>
                    </w:tabs>
                    <w:jc w:val="center"/>
                    <w:rPr>
                      <w:rFonts w:ascii="Times New Roman" w:hAnsi="Times New Roman" w:eastAsia="宋体" w:cs="Times New Roman"/>
                      <w:szCs w:val="21"/>
                    </w:rPr>
                  </w:pPr>
                  <w:r>
                    <w:rPr>
                      <w:rFonts w:ascii="Times New Roman" w:hAnsi="Times New Roman" w:eastAsia="宋体" w:cs="Times New Roman"/>
                      <w:szCs w:val="21"/>
                    </w:rPr>
                    <w:t>0.193</w:t>
                  </w:r>
                </w:p>
              </w:tc>
              <w:tc>
                <w:tcPr>
                  <w:tcW w:w="386" w:type="pct"/>
                  <w:vMerge w:val="continue"/>
                  <w:vAlign w:val="center"/>
                </w:tcPr>
                <w:p w14:paraId="2ED02D2D">
                  <w:pPr>
                    <w:tabs>
                      <w:tab w:val="left" w:pos="990"/>
                    </w:tabs>
                    <w:jc w:val="center"/>
                    <w:rPr>
                      <w:rFonts w:ascii="Times New Roman" w:hAnsi="Times New Roman" w:eastAsia="宋体" w:cs="Times New Roman"/>
                      <w:szCs w:val="21"/>
                    </w:rPr>
                  </w:pPr>
                </w:p>
              </w:tc>
              <w:tc>
                <w:tcPr>
                  <w:tcW w:w="513" w:type="pct"/>
                  <w:vMerge w:val="continue"/>
                  <w:vAlign w:val="center"/>
                </w:tcPr>
                <w:p w14:paraId="5BB87473">
                  <w:pPr>
                    <w:tabs>
                      <w:tab w:val="left" w:pos="990"/>
                    </w:tabs>
                    <w:jc w:val="center"/>
                    <w:rPr>
                      <w:rFonts w:ascii="Times New Roman" w:hAnsi="Times New Roman" w:eastAsia="宋体" w:cs="Times New Roman"/>
                      <w:szCs w:val="21"/>
                    </w:rPr>
                  </w:pPr>
                </w:p>
              </w:tc>
              <w:tc>
                <w:tcPr>
                  <w:tcW w:w="567" w:type="pct"/>
                  <w:vMerge w:val="continue"/>
                  <w:vAlign w:val="center"/>
                </w:tcPr>
                <w:p w14:paraId="2B6443F6">
                  <w:pPr>
                    <w:tabs>
                      <w:tab w:val="left" w:pos="990"/>
                    </w:tabs>
                    <w:jc w:val="center"/>
                    <w:rPr>
                      <w:rFonts w:ascii="Times New Roman" w:hAnsi="Times New Roman" w:eastAsia="宋体" w:cs="Times New Roman"/>
                      <w:szCs w:val="21"/>
                    </w:rPr>
                  </w:pPr>
                </w:p>
              </w:tc>
            </w:tr>
            <w:tr w14:paraId="7E035B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11" w:type="pct"/>
                  <w:vMerge w:val="restart"/>
                  <w:vAlign w:val="center"/>
                </w:tcPr>
                <w:p w14:paraId="5CF34CB0">
                  <w:pPr>
                    <w:widowControl/>
                    <w:jc w:val="center"/>
                    <w:textAlignment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2025年</w:t>
                  </w:r>
                </w:p>
                <w:p w14:paraId="7CD1F1B9">
                  <w:pPr>
                    <w:jc w:val="center"/>
                    <w:rPr>
                      <w:rFonts w:ascii="Times New Roman" w:hAnsi="Times New Roman" w:eastAsia="宋体" w:cs="Times New Roman"/>
                      <w:szCs w:val="21"/>
                    </w:rPr>
                  </w:pPr>
                  <w:r>
                    <w:rPr>
                      <w:rFonts w:hint="eastAsia" w:ascii="Times New Roman" w:hAnsi="Times New Roman" w:eastAsia="宋体" w:cs="Times New Roman"/>
                      <w:szCs w:val="21"/>
                    </w:rPr>
                    <w:t>6月12日</w:t>
                  </w:r>
                </w:p>
              </w:tc>
              <w:tc>
                <w:tcPr>
                  <w:tcW w:w="670" w:type="pct"/>
                  <w:vMerge w:val="restart"/>
                  <w:vAlign w:val="center"/>
                </w:tcPr>
                <w:p w14:paraId="1D3334BB">
                  <w:pPr>
                    <w:jc w:val="center"/>
                    <w:rPr>
                      <w:rFonts w:ascii="Times New Roman" w:hAnsi="Times New Roman" w:eastAsia="宋体" w:cs="Times New Roman"/>
                      <w:szCs w:val="21"/>
                    </w:rPr>
                  </w:pPr>
                  <w:r>
                    <w:rPr>
                      <w:rFonts w:ascii="Times New Roman" w:hAnsi="Times New Roman" w:eastAsia="宋体" w:cs="Times New Roman"/>
                      <w:szCs w:val="21"/>
                    </w:rPr>
                    <w:t>颗粒物（mg/m</w:t>
                  </w:r>
                  <w:r>
                    <w:rPr>
                      <w:rFonts w:ascii="Times New Roman" w:hAnsi="Times New Roman" w:eastAsia="宋体" w:cs="Times New Roman"/>
                      <w:szCs w:val="21"/>
                      <w:vertAlign w:val="superscript"/>
                    </w:rPr>
                    <w:t>3</w:t>
                  </w:r>
                  <w:r>
                    <w:rPr>
                      <w:rFonts w:ascii="Times New Roman" w:hAnsi="Times New Roman" w:eastAsia="宋体" w:cs="Times New Roman"/>
                      <w:szCs w:val="21"/>
                    </w:rPr>
                    <w:t>）</w:t>
                  </w:r>
                </w:p>
              </w:tc>
              <w:tc>
                <w:tcPr>
                  <w:tcW w:w="772" w:type="pct"/>
                  <w:vAlign w:val="center"/>
                </w:tcPr>
                <w:p w14:paraId="507A9A69">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厂界上风向Q1</w:t>
                  </w:r>
                </w:p>
              </w:tc>
              <w:tc>
                <w:tcPr>
                  <w:tcW w:w="386" w:type="pct"/>
                  <w:vAlign w:val="center"/>
                </w:tcPr>
                <w:p w14:paraId="0A829BFE">
                  <w:pPr>
                    <w:tabs>
                      <w:tab w:val="left" w:pos="990"/>
                    </w:tabs>
                    <w:jc w:val="center"/>
                    <w:rPr>
                      <w:rFonts w:ascii="Times New Roman" w:hAnsi="Times New Roman" w:eastAsia="宋体" w:cs="Times New Roman"/>
                      <w:szCs w:val="21"/>
                    </w:rPr>
                  </w:pPr>
                  <w:r>
                    <w:rPr>
                      <w:rFonts w:ascii="Times New Roman" w:hAnsi="Times New Roman" w:eastAsia="宋体" w:cs="Times New Roman"/>
                      <w:szCs w:val="21"/>
                    </w:rPr>
                    <w:t>0.174</w:t>
                  </w:r>
                </w:p>
              </w:tc>
              <w:tc>
                <w:tcPr>
                  <w:tcW w:w="386" w:type="pct"/>
                  <w:vAlign w:val="center"/>
                </w:tcPr>
                <w:p w14:paraId="4FA71DB0">
                  <w:pPr>
                    <w:tabs>
                      <w:tab w:val="left" w:pos="990"/>
                    </w:tabs>
                    <w:jc w:val="center"/>
                    <w:rPr>
                      <w:rFonts w:ascii="Times New Roman" w:hAnsi="Times New Roman" w:eastAsia="宋体" w:cs="Times New Roman"/>
                      <w:szCs w:val="21"/>
                    </w:rPr>
                  </w:pPr>
                  <w:r>
                    <w:rPr>
                      <w:rFonts w:ascii="Times New Roman" w:hAnsi="Times New Roman" w:eastAsia="宋体" w:cs="Times New Roman"/>
                      <w:szCs w:val="21"/>
                    </w:rPr>
                    <w:t>0.171</w:t>
                  </w:r>
                </w:p>
              </w:tc>
              <w:tc>
                <w:tcPr>
                  <w:tcW w:w="513" w:type="pct"/>
                  <w:vAlign w:val="center"/>
                </w:tcPr>
                <w:p w14:paraId="592ACE8A">
                  <w:pPr>
                    <w:tabs>
                      <w:tab w:val="left" w:pos="990"/>
                    </w:tabs>
                    <w:jc w:val="center"/>
                    <w:rPr>
                      <w:rFonts w:ascii="Times New Roman" w:hAnsi="Times New Roman" w:eastAsia="宋体" w:cs="Times New Roman"/>
                      <w:szCs w:val="21"/>
                    </w:rPr>
                  </w:pPr>
                  <w:r>
                    <w:rPr>
                      <w:rFonts w:ascii="Times New Roman" w:hAnsi="Times New Roman" w:eastAsia="宋体" w:cs="Times New Roman"/>
                      <w:szCs w:val="21"/>
                    </w:rPr>
                    <w:t>0.192</w:t>
                  </w:r>
                </w:p>
              </w:tc>
              <w:tc>
                <w:tcPr>
                  <w:tcW w:w="390" w:type="pct"/>
                  <w:vAlign w:val="center"/>
                </w:tcPr>
                <w:p w14:paraId="5A4269A9">
                  <w:pPr>
                    <w:tabs>
                      <w:tab w:val="left" w:pos="990"/>
                    </w:tabs>
                    <w:jc w:val="center"/>
                    <w:rPr>
                      <w:rFonts w:ascii="Times New Roman" w:hAnsi="Times New Roman" w:eastAsia="宋体" w:cs="Times New Roman"/>
                      <w:szCs w:val="21"/>
                    </w:rPr>
                  </w:pPr>
                  <w:r>
                    <w:rPr>
                      <w:rFonts w:ascii="Times New Roman" w:hAnsi="Times New Roman" w:eastAsia="宋体" w:cs="Times New Roman"/>
                      <w:szCs w:val="21"/>
                    </w:rPr>
                    <w:t>0.170</w:t>
                  </w:r>
                </w:p>
              </w:tc>
              <w:tc>
                <w:tcPr>
                  <w:tcW w:w="386" w:type="pct"/>
                  <w:vMerge w:val="restart"/>
                  <w:vAlign w:val="center"/>
                </w:tcPr>
                <w:p w14:paraId="40DC56F4">
                  <w:pPr>
                    <w:tabs>
                      <w:tab w:val="left" w:pos="990"/>
                    </w:tabs>
                    <w:jc w:val="center"/>
                    <w:rPr>
                      <w:rFonts w:ascii="Times New Roman" w:hAnsi="Times New Roman" w:eastAsia="宋体" w:cs="Times New Roman"/>
                      <w:szCs w:val="21"/>
                    </w:rPr>
                  </w:pPr>
                  <w:r>
                    <w:rPr>
                      <w:rFonts w:hint="eastAsia" w:ascii="Times New Roman" w:hAnsi="Times New Roman" w:eastAsia="宋体" w:cs="Times New Roman"/>
                      <w:szCs w:val="21"/>
                    </w:rPr>
                    <w:t>0.215</w:t>
                  </w:r>
                </w:p>
              </w:tc>
              <w:tc>
                <w:tcPr>
                  <w:tcW w:w="513" w:type="pct"/>
                  <w:vMerge w:val="restart"/>
                  <w:vAlign w:val="center"/>
                </w:tcPr>
                <w:p w14:paraId="23B22738">
                  <w:pPr>
                    <w:tabs>
                      <w:tab w:val="left" w:pos="990"/>
                    </w:tabs>
                    <w:jc w:val="center"/>
                    <w:rPr>
                      <w:rFonts w:hint="eastAsia" w:ascii="Times New Roman" w:hAnsi="Times New Roman" w:eastAsia="宋体" w:cs="Times New Roman"/>
                      <w:szCs w:val="21"/>
                    </w:rPr>
                  </w:pPr>
                  <w:r>
                    <w:rPr>
                      <w:rFonts w:hint="eastAsia" w:eastAsia="宋体"/>
                    </w:rPr>
                    <w:t>0.5*</w:t>
                  </w:r>
                </w:p>
              </w:tc>
              <w:tc>
                <w:tcPr>
                  <w:tcW w:w="567" w:type="pct"/>
                  <w:vMerge w:val="restart"/>
                  <w:vAlign w:val="center"/>
                </w:tcPr>
                <w:p w14:paraId="624899AA">
                  <w:pPr>
                    <w:tabs>
                      <w:tab w:val="left" w:pos="990"/>
                    </w:tabs>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r>
            <w:tr w14:paraId="6D6D6F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11" w:type="pct"/>
                  <w:vMerge w:val="continue"/>
                  <w:vAlign w:val="center"/>
                </w:tcPr>
                <w:p w14:paraId="159F7919">
                  <w:pPr>
                    <w:jc w:val="center"/>
                    <w:rPr>
                      <w:rFonts w:ascii="Times New Roman" w:hAnsi="Times New Roman" w:eastAsia="宋体" w:cs="Times New Roman"/>
                      <w:szCs w:val="21"/>
                    </w:rPr>
                  </w:pPr>
                </w:p>
              </w:tc>
              <w:tc>
                <w:tcPr>
                  <w:tcW w:w="670" w:type="pct"/>
                  <w:vMerge w:val="continue"/>
                  <w:vAlign w:val="center"/>
                </w:tcPr>
                <w:p w14:paraId="21F5738C">
                  <w:pPr>
                    <w:jc w:val="center"/>
                    <w:rPr>
                      <w:rFonts w:ascii="Times New Roman" w:hAnsi="Times New Roman" w:eastAsia="宋体" w:cs="Times New Roman"/>
                      <w:szCs w:val="21"/>
                    </w:rPr>
                  </w:pPr>
                </w:p>
              </w:tc>
              <w:tc>
                <w:tcPr>
                  <w:tcW w:w="772" w:type="pct"/>
                  <w:vAlign w:val="center"/>
                </w:tcPr>
                <w:p w14:paraId="605E95ED">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厂界下风向Q2</w:t>
                  </w:r>
                </w:p>
              </w:tc>
              <w:tc>
                <w:tcPr>
                  <w:tcW w:w="386" w:type="pct"/>
                  <w:vAlign w:val="center"/>
                </w:tcPr>
                <w:p w14:paraId="27AA9DA9">
                  <w:pPr>
                    <w:tabs>
                      <w:tab w:val="left" w:pos="990"/>
                    </w:tabs>
                    <w:jc w:val="center"/>
                    <w:rPr>
                      <w:rFonts w:ascii="Times New Roman" w:hAnsi="Times New Roman" w:eastAsia="宋体" w:cs="Times New Roman"/>
                      <w:szCs w:val="21"/>
                    </w:rPr>
                  </w:pPr>
                  <w:r>
                    <w:rPr>
                      <w:rFonts w:ascii="Times New Roman" w:hAnsi="Times New Roman" w:eastAsia="宋体" w:cs="Times New Roman"/>
                      <w:szCs w:val="21"/>
                    </w:rPr>
                    <w:t>0.176</w:t>
                  </w:r>
                </w:p>
              </w:tc>
              <w:tc>
                <w:tcPr>
                  <w:tcW w:w="386" w:type="pct"/>
                  <w:vAlign w:val="center"/>
                </w:tcPr>
                <w:p w14:paraId="576F19D6">
                  <w:pPr>
                    <w:tabs>
                      <w:tab w:val="left" w:pos="990"/>
                    </w:tabs>
                    <w:jc w:val="center"/>
                    <w:rPr>
                      <w:rFonts w:ascii="Times New Roman" w:hAnsi="Times New Roman" w:eastAsia="宋体" w:cs="Times New Roman"/>
                      <w:szCs w:val="21"/>
                    </w:rPr>
                  </w:pPr>
                  <w:r>
                    <w:rPr>
                      <w:rFonts w:ascii="Times New Roman" w:hAnsi="Times New Roman" w:eastAsia="宋体" w:cs="Times New Roman"/>
                      <w:szCs w:val="21"/>
                    </w:rPr>
                    <w:t>0.179</w:t>
                  </w:r>
                </w:p>
              </w:tc>
              <w:tc>
                <w:tcPr>
                  <w:tcW w:w="513" w:type="pct"/>
                  <w:vAlign w:val="center"/>
                </w:tcPr>
                <w:p w14:paraId="5C3EFE7B">
                  <w:pPr>
                    <w:tabs>
                      <w:tab w:val="left" w:pos="990"/>
                    </w:tabs>
                    <w:jc w:val="center"/>
                    <w:rPr>
                      <w:rFonts w:ascii="Times New Roman" w:hAnsi="Times New Roman" w:eastAsia="宋体" w:cs="Times New Roman"/>
                      <w:szCs w:val="21"/>
                    </w:rPr>
                  </w:pPr>
                  <w:r>
                    <w:rPr>
                      <w:rFonts w:ascii="Times New Roman" w:hAnsi="Times New Roman" w:eastAsia="宋体" w:cs="Times New Roman"/>
                      <w:szCs w:val="21"/>
                    </w:rPr>
                    <w:t>0.208</w:t>
                  </w:r>
                </w:p>
              </w:tc>
              <w:tc>
                <w:tcPr>
                  <w:tcW w:w="390" w:type="pct"/>
                  <w:vAlign w:val="center"/>
                </w:tcPr>
                <w:p w14:paraId="77B5A96B">
                  <w:pPr>
                    <w:tabs>
                      <w:tab w:val="left" w:pos="990"/>
                    </w:tabs>
                    <w:jc w:val="center"/>
                    <w:rPr>
                      <w:rFonts w:ascii="Times New Roman" w:hAnsi="Times New Roman" w:eastAsia="宋体" w:cs="Times New Roman"/>
                      <w:szCs w:val="21"/>
                    </w:rPr>
                  </w:pPr>
                  <w:r>
                    <w:rPr>
                      <w:rFonts w:ascii="Times New Roman" w:hAnsi="Times New Roman" w:eastAsia="宋体" w:cs="Times New Roman"/>
                      <w:szCs w:val="21"/>
                    </w:rPr>
                    <w:t>0.174</w:t>
                  </w:r>
                </w:p>
              </w:tc>
              <w:tc>
                <w:tcPr>
                  <w:tcW w:w="386" w:type="pct"/>
                  <w:vMerge w:val="continue"/>
                  <w:vAlign w:val="center"/>
                </w:tcPr>
                <w:p w14:paraId="0F316DED">
                  <w:pPr>
                    <w:tabs>
                      <w:tab w:val="left" w:pos="990"/>
                    </w:tabs>
                    <w:jc w:val="center"/>
                    <w:rPr>
                      <w:rFonts w:ascii="Times New Roman" w:hAnsi="Times New Roman" w:eastAsia="宋体" w:cs="Times New Roman"/>
                      <w:szCs w:val="21"/>
                    </w:rPr>
                  </w:pPr>
                </w:p>
              </w:tc>
              <w:tc>
                <w:tcPr>
                  <w:tcW w:w="513" w:type="pct"/>
                  <w:vMerge w:val="continue"/>
                  <w:vAlign w:val="center"/>
                </w:tcPr>
                <w:p w14:paraId="324A30F5">
                  <w:pPr>
                    <w:tabs>
                      <w:tab w:val="left" w:pos="990"/>
                    </w:tabs>
                    <w:jc w:val="center"/>
                    <w:rPr>
                      <w:rFonts w:ascii="Times New Roman" w:hAnsi="Times New Roman" w:eastAsia="宋体" w:cs="Times New Roman"/>
                      <w:szCs w:val="21"/>
                    </w:rPr>
                  </w:pPr>
                </w:p>
              </w:tc>
              <w:tc>
                <w:tcPr>
                  <w:tcW w:w="567" w:type="pct"/>
                  <w:vMerge w:val="continue"/>
                  <w:vAlign w:val="center"/>
                </w:tcPr>
                <w:p w14:paraId="006D010F">
                  <w:pPr>
                    <w:tabs>
                      <w:tab w:val="left" w:pos="990"/>
                    </w:tabs>
                    <w:jc w:val="center"/>
                    <w:rPr>
                      <w:rFonts w:ascii="Times New Roman" w:hAnsi="Times New Roman" w:eastAsia="宋体" w:cs="Times New Roman"/>
                      <w:szCs w:val="21"/>
                    </w:rPr>
                  </w:pPr>
                </w:p>
              </w:tc>
            </w:tr>
            <w:tr w14:paraId="6B9311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24" w:hRule="atLeast"/>
                <w:jc w:val="center"/>
              </w:trPr>
              <w:tc>
                <w:tcPr>
                  <w:tcW w:w="411" w:type="pct"/>
                  <w:vMerge w:val="continue"/>
                  <w:vAlign w:val="center"/>
                </w:tcPr>
                <w:p w14:paraId="648B0CE1">
                  <w:pPr>
                    <w:jc w:val="center"/>
                    <w:rPr>
                      <w:rFonts w:ascii="Times New Roman" w:hAnsi="Times New Roman" w:eastAsia="宋体" w:cs="Times New Roman"/>
                      <w:szCs w:val="21"/>
                    </w:rPr>
                  </w:pPr>
                </w:p>
              </w:tc>
              <w:tc>
                <w:tcPr>
                  <w:tcW w:w="670" w:type="pct"/>
                  <w:vMerge w:val="continue"/>
                  <w:vAlign w:val="center"/>
                </w:tcPr>
                <w:p w14:paraId="457A0375">
                  <w:pPr>
                    <w:jc w:val="center"/>
                    <w:rPr>
                      <w:rFonts w:ascii="Times New Roman" w:hAnsi="Times New Roman" w:eastAsia="宋体" w:cs="Times New Roman"/>
                      <w:szCs w:val="21"/>
                    </w:rPr>
                  </w:pPr>
                </w:p>
              </w:tc>
              <w:tc>
                <w:tcPr>
                  <w:tcW w:w="772" w:type="pct"/>
                  <w:vAlign w:val="center"/>
                </w:tcPr>
                <w:p w14:paraId="74E372AC">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厂界下风向Q3</w:t>
                  </w:r>
                </w:p>
              </w:tc>
              <w:tc>
                <w:tcPr>
                  <w:tcW w:w="386" w:type="pct"/>
                  <w:vAlign w:val="center"/>
                </w:tcPr>
                <w:p w14:paraId="54B32226">
                  <w:pPr>
                    <w:tabs>
                      <w:tab w:val="left" w:pos="990"/>
                    </w:tabs>
                    <w:jc w:val="center"/>
                    <w:rPr>
                      <w:rFonts w:ascii="Times New Roman" w:hAnsi="Times New Roman" w:eastAsia="宋体" w:cs="Times New Roman"/>
                      <w:szCs w:val="21"/>
                    </w:rPr>
                  </w:pPr>
                  <w:r>
                    <w:rPr>
                      <w:rFonts w:ascii="Times New Roman" w:hAnsi="Times New Roman" w:eastAsia="宋体" w:cs="Times New Roman"/>
                      <w:szCs w:val="21"/>
                    </w:rPr>
                    <w:t>0.209</w:t>
                  </w:r>
                </w:p>
              </w:tc>
              <w:tc>
                <w:tcPr>
                  <w:tcW w:w="386" w:type="pct"/>
                  <w:vAlign w:val="center"/>
                </w:tcPr>
                <w:p w14:paraId="7731FAC5">
                  <w:pPr>
                    <w:tabs>
                      <w:tab w:val="left" w:pos="990"/>
                    </w:tabs>
                    <w:jc w:val="center"/>
                    <w:rPr>
                      <w:rFonts w:ascii="Times New Roman" w:hAnsi="Times New Roman" w:eastAsia="宋体" w:cs="Times New Roman"/>
                      <w:szCs w:val="21"/>
                    </w:rPr>
                  </w:pPr>
                  <w:r>
                    <w:rPr>
                      <w:rFonts w:ascii="Times New Roman" w:hAnsi="Times New Roman" w:eastAsia="宋体" w:cs="Times New Roman"/>
                      <w:szCs w:val="21"/>
                    </w:rPr>
                    <w:t>0.197</w:t>
                  </w:r>
                </w:p>
              </w:tc>
              <w:tc>
                <w:tcPr>
                  <w:tcW w:w="513" w:type="pct"/>
                  <w:vAlign w:val="center"/>
                </w:tcPr>
                <w:p w14:paraId="536E5824">
                  <w:pPr>
                    <w:tabs>
                      <w:tab w:val="left" w:pos="990"/>
                    </w:tabs>
                    <w:jc w:val="center"/>
                    <w:rPr>
                      <w:rFonts w:ascii="Times New Roman" w:hAnsi="Times New Roman" w:eastAsia="宋体" w:cs="Times New Roman"/>
                      <w:szCs w:val="21"/>
                    </w:rPr>
                  </w:pPr>
                  <w:r>
                    <w:rPr>
                      <w:rFonts w:ascii="Times New Roman" w:hAnsi="Times New Roman" w:eastAsia="宋体" w:cs="Times New Roman"/>
                      <w:szCs w:val="21"/>
                    </w:rPr>
                    <w:t>0.195</w:t>
                  </w:r>
                </w:p>
              </w:tc>
              <w:tc>
                <w:tcPr>
                  <w:tcW w:w="390" w:type="pct"/>
                  <w:vAlign w:val="center"/>
                </w:tcPr>
                <w:p w14:paraId="4B385197">
                  <w:pPr>
                    <w:tabs>
                      <w:tab w:val="left" w:pos="990"/>
                    </w:tabs>
                    <w:jc w:val="center"/>
                    <w:rPr>
                      <w:rFonts w:ascii="Times New Roman" w:hAnsi="Times New Roman" w:eastAsia="宋体" w:cs="Times New Roman"/>
                      <w:szCs w:val="21"/>
                    </w:rPr>
                  </w:pPr>
                  <w:r>
                    <w:rPr>
                      <w:rFonts w:ascii="Times New Roman" w:hAnsi="Times New Roman" w:eastAsia="宋体" w:cs="Times New Roman"/>
                      <w:szCs w:val="21"/>
                    </w:rPr>
                    <w:t>0.212</w:t>
                  </w:r>
                </w:p>
              </w:tc>
              <w:tc>
                <w:tcPr>
                  <w:tcW w:w="386" w:type="pct"/>
                  <w:vMerge w:val="continue"/>
                  <w:vAlign w:val="center"/>
                </w:tcPr>
                <w:p w14:paraId="4A9EF901">
                  <w:pPr>
                    <w:tabs>
                      <w:tab w:val="left" w:pos="990"/>
                    </w:tabs>
                    <w:jc w:val="center"/>
                    <w:rPr>
                      <w:rFonts w:ascii="Times New Roman" w:hAnsi="Times New Roman" w:eastAsia="宋体" w:cs="Times New Roman"/>
                      <w:szCs w:val="21"/>
                    </w:rPr>
                  </w:pPr>
                </w:p>
              </w:tc>
              <w:tc>
                <w:tcPr>
                  <w:tcW w:w="513" w:type="pct"/>
                  <w:vMerge w:val="continue"/>
                  <w:vAlign w:val="center"/>
                </w:tcPr>
                <w:p w14:paraId="3F8EF02E">
                  <w:pPr>
                    <w:tabs>
                      <w:tab w:val="left" w:pos="990"/>
                    </w:tabs>
                    <w:jc w:val="center"/>
                    <w:rPr>
                      <w:rFonts w:ascii="Times New Roman" w:hAnsi="Times New Roman" w:eastAsia="宋体" w:cs="Times New Roman"/>
                      <w:szCs w:val="21"/>
                    </w:rPr>
                  </w:pPr>
                </w:p>
              </w:tc>
              <w:tc>
                <w:tcPr>
                  <w:tcW w:w="567" w:type="pct"/>
                  <w:vMerge w:val="continue"/>
                  <w:vAlign w:val="center"/>
                </w:tcPr>
                <w:p w14:paraId="592D2614">
                  <w:pPr>
                    <w:tabs>
                      <w:tab w:val="left" w:pos="990"/>
                    </w:tabs>
                    <w:jc w:val="center"/>
                    <w:rPr>
                      <w:rFonts w:ascii="Times New Roman" w:hAnsi="Times New Roman" w:eastAsia="宋体" w:cs="Times New Roman"/>
                      <w:szCs w:val="21"/>
                    </w:rPr>
                  </w:pPr>
                </w:p>
              </w:tc>
            </w:tr>
            <w:tr w14:paraId="159384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11" w:type="pct"/>
                  <w:vMerge w:val="continue"/>
                  <w:vAlign w:val="center"/>
                </w:tcPr>
                <w:p w14:paraId="16FE6E61">
                  <w:pPr>
                    <w:jc w:val="center"/>
                    <w:rPr>
                      <w:rFonts w:ascii="Times New Roman" w:hAnsi="Times New Roman" w:eastAsia="宋体" w:cs="Times New Roman"/>
                      <w:szCs w:val="21"/>
                    </w:rPr>
                  </w:pPr>
                </w:p>
              </w:tc>
              <w:tc>
                <w:tcPr>
                  <w:tcW w:w="670" w:type="pct"/>
                  <w:vMerge w:val="continue"/>
                  <w:vAlign w:val="center"/>
                </w:tcPr>
                <w:p w14:paraId="39DD30EB">
                  <w:pPr>
                    <w:jc w:val="center"/>
                    <w:rPr>
                      <w:rFonts w:ascii="Times New Roman" w:hAnsi="Times New Roman" w:eastAsia="宋体" w:cs="Times New Roman"/>
                      <w:szCs w:val="21"/>
                    </w:rPr>
                  </w:pPr>
                </w:p>
              </w:tc>
              <w:tc>
                <w:tcPr>
                  <w:tcW w:w="772" w:type="pct"/>
                  <w:vAlign w:val="center"/>
                </w:tcPr>
                <w:p w14:paraId="75AA6B41">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厂界下风向Q4</w:t>
                  </w:r>
                </w:p>
              </w:tc>
              <w:tc>
                <w:tcPr>
                  <w:tcW w:w="386" w:type="pct"/>
                  <w:vAlign w:val="center"/>
                </w:tcPr>
                <w:p w14:paraId="25E18C2F">
                  <w:pPr>
                    <w:tabs>
                      <w:tab w:val="left" w:pos="990"/>
                    </w:tabs>
                    <w:jc w:val="center"/>
                    <w:rPr>
                      <w:rFonts w:ascii="Times New Roman" w:hAnsi="Times New Roman" w:eastAsia="宋体" w:cs="Times New Roman"/>
                      <w:szCs w:val="21"/>
                    </w:rPr>
                  </w:pPr>
                  <w:r>
                    <w:rPr>
                      <w:rFonts w:ascii="Times New Roman" w:hAnsi="Times New Roman" w:eastAsia="宋体" w:cs="Times New Roman"/>
                      <w:szCs w:val="21"/>
                    </w:rPr>
                    <w:t>0.215</w:t>
                  </w:r>
                </w:p>
              </w:tc>
              <w:tc>
                <w:tcPr>
                  <w:tcW w:w="386" w:type="pct"/>
                  <w:vAlign w:val="center"/>
                </w:tcPr>
                <w:p w14:paraId="58CBAC62">
                  <w:pPr>
                    <w:tabs>
                      <w:tab w:val="left" w:pos="990"/>
                    </w:tabs>
                    <w:jc w:val="center"/>
                    <w:rPr>
                      <w:rFonts w:ascii="Times New Roman" w:hAnsi="Times New Roman" w:eastAsia="宋体" w:cs="Times New Roman"/>
                      <w:szCs w:val="21"/>
                    </w:rPr>
                  </w:pPr>
                  <w:r>
                    <w:rPr>
                      <w:rFonts w:ascii="Times New Roman" w:hAnsi="Times New Roman" w:eastAsia="宋体" w:cs="Times New Roman"/>
                      <w:szCs w:val="21"/>
                    </w:rPr>
                    <w:t>0.184</w:t>
                  </w:r>
                </w:p>
              </w:tc>
              <w:tc>
                <w:tcPr>
                  <w:tcW w:w="513" w:type="pct"/>
                  <w:vAlign w:val="center"/>
                </w:tcPr>
                <w:p w14:paraId="18A1061E">
                  <w:pPr>
                    <w:tabs>
                      <w:tab w:val="left" w:pos="990"/>
                    </w:tabs>
                    <w:jc w:val="center"/>
                    <w:rPr>
                      <w:rFonts w:ascii="Times New Roman" w:hAnsi="Times New Roman" w:eastAsia="宋体" w:cs="Times New Roman"/>
                      <w:szCs w:val="21"/>
                    </w:rPr>
                  </w:pPr>
                  <w:r>
                    <w:rPr>
                      <w:rFonts w:ascii="Times New Roman" w:hAnsi="Times New Roman" w:eastAsia="宋体" w:cs="Times New Roman"/>
                      <w:szCs w:val="21"/>
                    </w:rPr>
                    <w:t>0.213</w:t>
                  </w:r>
                </w:p>
              </w:tc>
              <w:tc>
                <w:tcPr>
                  <w:tcW w:w="390" w:type="pct"/>
                  <w:vAlign w:val="center"/>
                </w:tcPr>
                <w:p w14:paraId="7474708E">
                  <w:pPr>
                    <w:tabs>
                      <w:tab w:val="left" w:pos="990"/>
                    </w:tabs>
                    <w:jc w:val="center"/>
                    <w:rPr>
                      <w:rFonts w:ascii="Times New Roman" w:hAnsi="Times New Roman" w:eastAsia="宋体" w:cs="Times New Roman"/>
                      <w:szCs w:val="21"/>
                    </w:rPr>
                  </w:pPr>
                  <w:r>
                    <w:rPr>
                      <w:rFonts w:ascii="Times New Roman" w:hAnsi="Times New Roman" w:eastAsia="宋体" w:cs="Times New Roman"/>
                      <w:szCs w:val="21"/>
                    </w:rPr>
                    <w:t>0.188</w:t>
                  </w:r>
                </w:p>
              </w:tc>
              <w:tc>
                <w:tcPr>
                  <w:tcW w:w="386" w:type="pct"/>
                  <w:vMerge w:val="continue"/>
                  <w:vAlign w:val="center"/>
                </w:tcPr>
                <w:p w14:paraId="320EF89D">
                  <w:pPr>
                    <w:tabs>
                      <w:tab w:val="left" w:pos="990"/>
                    </w:tabs>
                    <w:jc w:val="center"/>
                    <w:rPr>
                      <w:rFonts w:ascii="Times New Roman" w:hAnsi="Times New Roman" w:eastAsia="宋体" w:cs="Times New Roman"/>
                      <w:szCs w:val="21"/>
                    </w:rPr>
                  </w:pPr>
                </w:p>
              </w:tc>
              <w:tc>
                <w:tcPr>
                  <w:tcW w:w="513" w:type="pct"/>
                  <w:vMerge w:val="continue"/>
                  <w:vAlign w:val="center"/>
                </w:tcPr>
                <w:p w14:paraId="1784A7F0">
                  <w:pPr>
                    <w:tabs>
                      <w:tab w:val="left" w:pos="990"/>
                    </w:tabs>
                    <w:jc w:val="center"/>
                    <w:rPr>
                      <w:rFonts w:ascii="Times New Roman" w:hAnsi="Times New Roman" w:eastAsia="宋体" w:cs="Times New Roman"/>
                      <w:szCs w:val="21"/>
                    </w:rPr>
                  </w:pPr>
                </w:p>
              </w:tc>
              <w:tc>
                <w:tcPr>
                  <w:tcW w:w="567" w:type="pct"/>
                  <w:vMerge w:val="continue"/>
                  <w:vAlign w:val="center"/>
                </w:tcPr>
                <w:p w14:paraId="6C4C45C2">
                  <w:pPr>
                    <w:tabs>
                      <w:tab w:val="left" w:pos="990"/>
                    </w:tabs>
                    <w:jc w:val="center"/>
                    <w:rPr>
                      <w:rFonts w:ascii="Times New Roman" w:hAnsi="Times New Roman" w:eastAsia="宋体" w:cs="Times New Roman"/>
                      <w:szCs w:val="21"/>
                    </w:rPr>
                  </w:pPr>
                </w:p>
              </w:tc>
            </w:tr>
            <w:tr w14:paraId="7114B0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000" w:type="pct"/>
                  <w:gridSpan w:val="10"/>
                  <w:vAlign w:val="center"/>
                </w:tcPr>
                <w:p w14:paraId="36A3F636">
                  <w:pPr>
                    <w:rPr>
                      <w:rFonts w:ascii="Times New Roman" w:hAnsi="Times New Roman" w:eastAsia="宋体" w:cs="Times New Roman"/>
                      <w:szCs w:val="21"/>
                    </w:rPr>
                  </w:pPr>
                  <w:r>
                    <w:rPr>
                      <w:rFonts w:hint="eastAsia"/>
                    </w:rPr>
                    <w:t>*注：监控点与参照点总悬浮颗粒物（TSP）1小时浓度值的差值，厂界外20m处上风向设参照点，下风向设监控点。</w:t>
                  </w:r>
                </w:p>
              </w:tc>
            </w:tr>
          </w:tbl>
          <w:p w14:paraId="30A19D54">
            <w:pPr>
              <w:pStyle w:val="88"/>
              <w:ind w:firstLine="480"/>
              <w:rPr>
                <w:rFonts w:hint="default"/>
                <w:color w:val="auto"/>
                <w:highlight w:val="none"/>
                <w:lang w:val="en-US" w:eastAsia="zh-CN"/>
              </w:rPr>
            </w:pPr>
            <w:r>
              <w:rPr>
                <w:rFonts w:hint="eastAsia"/>
                <w:color w:val="auto"/>
                <w:highlight w:val="none"/>
                <w:lang w:val="en-US" w:eastAsia="zh-CN"/>
              </w:rPr>
              <w:t>（3）噪声</w:t>
            </w:r>
          </w:p>
          <w:p w14:paraId="63DF3009">
            <w:pPr>
              <w:pStyle w:val="88"/>
              <w:ind w:firstLine="480"/>
              <w:rPr>
                <w:rFonts w:hint="eastAsia"/>
                <w:color w:val="auto"/>
                <w:highlight w:val="none"/>
                <w:lang w:eastAsia="zh-CN"/>
              </w:rPr>
            </w:pPr>
            <w:r>
              <w:rPr>
                <w:rFonts w:hint="eastAsia"/>
                <w:color w:val="auto"/>
                <w:highlight w:val="none"/>
                <w:lang w:val="en-US" w:eastAsia="zh-CN"/>
              </w:rPr>
              <w:t>项目现有工程</w:t>
            </w:r>
            <w:r>
              <w:rPr>
                <w:color w:val="auto"/>
                <w:highlight w:val="none"/>
              </w:rPr>
              <w:t>噪声</w:t>
            </w:r>
            <w:r>
              <w:rPr>
                <w:rFonts w:hint="eastAsia"/>
                <w:color w:val="auto"/>
                <w:highlight w:val="none"/>
                <w:lang w:eastAsia="zh-CN"/>
              </w:rPr>
              <w:t>主要</w:t>
            </w:r>
            <w:r>
              <w:rPr>
                <w:rFonts w:hint="eastAsia"/>
                <w:color w:val="auto"/>
                <w:highlight w:val="none"/>
              </w:rPr>
              <w:t>来源于生产设备等</w:t>
            </w:r>
            <w:r>
              <w:rPr>
                <w:color w:val="auto"/>
                <w:highlight w:val="none"/>
              </w:rPr>
              <w:t>的运行噪声，</w:t>
            </w:r>
            <w:r>
              <w:rPr>
                <w:rFonts w:hint="eastAsia"/>
                <w:color w:val="auto"/>
                <w:highlight w:val="none"/>
              </w:rPr>
              <w:t>目前主要产噪设备均放置在厂房内，对周边环境影响小</w:t>
            </w:r>
            <w:r>
              <w:rPr>
                <w:rFonts w:hint="eastAsia"/>
                <w:color w:val="auto"/>
                <w:highlight w:val="none"/>
                <w:lang w:eastAsia="zh-CN"/>
              </w:rPr>
              <w:t>。</w:t>
            </w:r>
          </w:p>
          <w:p w14:paraId="44FAC2BE">
            <w:pPr>
              <w:pStyle w:val="88"/>
              <w:ind w:firstLine="480"/>
              <w:rPr>
                <w:rFonts w:hint="eastAsia" w:ascii="Times New Roman" w:hAnsi="Times New Roman" w:eastAsia="宋体" w:cs="Times New Roman"/>
                <w:snapToGrid/>
                <w:color w:val="auto"/>
                <w:kern w:val="2"/>
                <w:sz w:val="24"/>
                <w:szCs w:val="24"/>
                <w:highlight w:val="none"/>
                <w:lang w:val="en-US" w:eastAsia="zh-CN" w:bidi="ar-SA"/>
              </w:rPr>
            </w:pPr>
            <w:r>
              <w:rPr>
                <w:rFonts w:hint="eastAsia" w:ascii="Times New Roman" w:hAnsi="Times New Roman" w:eastAsia="宋体" w:cs="Times New Roman"/>
                <w:snapToGrid/>
                <w:color w:val="auto"/>
                <w:kern w:val="2"/>
                <w:sz w:val="24"/>
                <w:szCs w:val="24"/>
                <w:highlight w:val="none"/>
                <w:lang w:val="en-US" w:eastAsia="zh-CN" w:bidi="ar-SA"/>
              </w:rPr>
              <w:t>企业于202</w:t>
            </w:r>
            <w:r>
              <w:rPr>
                <w:rFonts w:hint="eastAsia" w:eastAsia="宋体" w:cs="Times New Roman"/>
                <w:snapToGrid/>
                <w:color w:val="auto"/>
                <w:kern w:val="2"/>
                <w:sz w:val="24"/>
                <w:szCs w:val="24"/>
                <w:highlight w:val="none"/>
                <w:lang w:val="en-US" w:eastAsia="zh-CN" w:bidi="ar-SA"/>
              </w:rPr>
              <w:t>5</w:t>
            </w:r>
            <w:r>
              <w:rPr>
                <w:rFonts w:hint="eastAsia" w:ascii="Times New Roman" w:hAnsi="Times New Roman" w:eastAsia="宋体" w:cs="Times New Roman"/>
                <w:snapToGrid/>
                <w:color w:val="auto"/>
                <w:kern w:val="2"/>
                <w:sz w:val="24"/>
                <w:szCs w:val="24"/>
                <w:highlight w:val="none"/>
                <w:lang w:val="en-US" w:eastAsia="zh-CN" w:bidi="ar-SA"/>
              </w:rPr>
              <w:t>年</w:t>
            </w:r>
            <w:r>
              <w:rPr>
                <w:rFonts w:hint="eastAsia" w:eastAsia="宋体" w:cs="Times New Roman"/>
                <w:snapToGrid/>
                <w:color w:val="auto"/>
                <w:kern w:val="2"/>
                <w:sz w:val="24"/>
                <w:szCs w:val="24"/>
                <w:highlight w:val="none"/>
                <w:lang w:val="en-US" w:eastAsia="zh-CN" w:bidi="ar-SA"/>
              </w:rPr>
              <w:t>6</w:t>
            </w:r>
            <w:r>
              <w:rPr>
                <w:rFonts w:hint="eastAsia" w:ascii="Times New Roman" w:hAnsi="Times New Roman" w:eastAsia="宋体" w:cs="Times New Roman"/>
                <w:snapToGrid/>
                <w:color w:val="auto"/>
                <w:kern w:val="2"/>
                <w:sz w:val="24"/>
                <w:szCs w:val="24"/>
                <w:highlight w:val="none"/>
                <w:lang w:val="en-US" w:eastAsia="zh-CN" w:bidi="ar-SA"/>
              </w:rPr>
              <w:t>月</w:t>
            </w:r>
            <w:r>
              <w:rPr>
                <w:rFonts w:hint="eastAsia" w:eastAsia="宋体" w:cs="Times New Roman"/>
                <w:snapToGrid/>
                <w:color w:val="auto"/>
                <w:kern w:val="2"/>
                <w:sz w:val="24"/>
                <w:szCs w:val="24"/>
                <w:highlight w:val="none"/>
                <w:lang w:val="en-US" w:eastAsia="zh-CN" w:bidi="ar-SA"/>
              </w:rPr>
              <w:t>11</w:t>
            </w:r>
            <w:r>
              <w:rPr>
                <w:rFonts w:hint="eastAsia" w:ascii="Times New Roman" w:hAnsi="Times New Roman" w:eastAsia="宋体" w:cs="Times New Roman"/>
                <w:snapToGrid/>
                <w:color w:val="auto"/>
                <w:kern w:val="2"/>
                <w:sz w:val="24"/>
                <w:szCs w:val="24"/>
                <w:highlight w:val="none"/>
                <w:lang w:val="en-US" w:eastAsia="zh-CN" w:bidi="ar-SA"/>
              </w:rPr>
              <w:t>日~202</w:t>
            </w:r>
            <w:r>
              <w:rPr>
                <w:rFonts w:hint="eastAsia" w:eastAsia="宋体" w:cs="Times New Roman"/>
                <w:snapToGrid/>
                <w:color w:val="auto"/>
                <w:kern w:val="2"/>
                <w:sz w:val="24"/>
                <w:szCs w:val="24"/>
                <w:highlight w:val="none"/>
                <w:lang w:val="en-US" w:eastAsia="zh-CN" w:bidi="ar-SA"/>
              </w:rPr>
              <w:t>5</w:t>
            </w:r>
            <w:r>
              <w:rPr>
                <w:rFonts w:hint="eastAsia" w:ascii="Times New Roman" w:hAnsi="Times New Roman" w:eastAsia="宋体" w:cs="Times New Roman"/>
                <w:snapToGrid/>
                <w:color w:val="auto"/>
                <w:kern w:val="2"/>
                <w:sz w:val="24"/>
                <w:szCs w:val="24"/>
                <w:highlight w:val="none"/>
                <w:lang w:val="en-US" w:eastAsia="zh-CN" w:bidi="ar-SA"/>
              </w:rPr>
              <w:t>年</w:t>
            </w:r>
            <w:r>
              <w:rPr>
                <w:rFonts w:hint="eastAsia" w:eastAsia="宋体" w:cs="Times New Roman"/>
                <w:snapToGrid/>
                <w:color w:val="auto"/>
                <w:kern w:val="2"/>
                <w:sz w:val="24"/>
                <w:szCs w:val="24"/>
                <w:highlight w:val="none"/>
                <w:lang w:val="en-US" w:eastAsia="zh-CN" w:bidi="ar-SA"/>
              </w:rPr>
              <w:t>6</w:t>
            </w:r>
            <w:r>
              <w:rPr>
                <w:rFonts w:hint="eastAsia" w:ascii="Times New Roman" w:hAnsi="Times New Roman" w:eastAsia="宋体" w:cs="Times New Roman"/>
                <w:snapToGrid/>
                <w:color w:val="auto"/>
                <w:kern w:val="2"/>
                <w:sz w:val="24"/>
                <w:szCs w:val="24"/>
                <w:highlight w:val="none"/>
                <w:lang w:val="en-US" w:eastAsia="zh-CN" w:bidi="ar-SA"/>
              </w:rPr>
              <w:t>月</w:t>
            </w:r>
            <w:r>
              <w:rPr>
                <w:rFonts w:hint="eastAsia" w:eastAsia="宋体" w:cs="Times New Roman"/>
                <w:snapToGrid/>
                <w:color w:val="auto"/>
                <w:kern w:val="2"/>
                <w:sz w:val="24"/>
                <w:szCs w:val="24"/>
                <w:highlight w:val="none"/>
                <w:lang w:val="en-US" w:eastAsia="zh-CN" w:bidi="ar-SA"/>
              </w:rPr>
              <w:t>12</w:t>
            </w:r>
            <w:r>
              <w:rPr>
                <w:rFonts w:hint="eastAsia" w:ascii="Times New Roman" w:hAnsi="Times New Roman" w:eastAsia="宋体" w:cs="Times New Roman"/>
                <w:snapToGrid/>
                <w:color w:val="auto"/>
                <w:kern w:val="2"/>
                <w:sz w:val="24"/>
                <w:szCs w:val="24"/>
                <w:highlight w:val="none"/>
                <w:lang w:val="en-US" w:eastAsia="zh-CN" w:bidi="ar-SA"/>
              </w:rPr>
              <w:t>日委托福建华远检测有限公司对企业现有工程验收期间的废气排放口进行监测，根据检测报告（报告编号：HYJC2</w:t>
            </w:r>
            <w:r>
              <w:rPr>
                <w:rFonts w:hint="eastAsia" w:eastAsia="宋体" w:cs="Times New Roman"/>
                <w:snapToGrid/>
                <w:color w:val="auto"/>
                <w:kern w:val="2"/>
                <w:sz w:val="24"/>
                <w:szCs w:val="24"/>
                <w:highlight w:val="none"/>
                <w:lang w:val="en-US" w:eastAsia="zh-CN" w:bidi="ar-SA"/>
              </w:rPr>
              <w:t>5</w:t>
            </w:r>
            <w:r>
              <w:rPr>
                <w:rFonts w:hint="eastAsia" w:ascii="Times New Roman" w:hAnsi="Times New Roman" w:eastAsia="宋体" w:cs="Times New Roman"/>
                <w:snapToGrid/>
                <w:color w:val="auto"/>
                <w:kern w:val="2"/>
                <w:sz w:val="24"/>
                <w:szCs w:val="24"/>
                <w:highlight w:val="none"/>
                <w:lang w:val="en-US" w:eastAsia="zh-CN" w:bidi="ar-SA"/>
              </w:rPr>
              <w:t>0609001，具体详见附件9</w:t>
            </w:r>
            <w:r>
              <w:rPr>
                <w:rFonts w:hint="eastAsia" w:ascii="Times New Roman" w:hAnsi="Times New Roman" w:eastAsia="宋体" w:cs="Times New Roman"/>
                <w:snapToGrid/>
                <w:color w:val="auto"/>
                <w:kern w:val="2"/>
                <w:sz w:val="24"/>
                <w:szCs w:val="24"/>
                <w:highlight w:val="none"/>
                <w:lang w:val="en-US" w:eastAsia="zh-CN" w:bidi="ar-SA"/>
              </w:rPr>
              <w:t>）结果可知，</w:t>
            </w:r>
            <w:r>
              <w:rPr>
                <w:rFonts w:hint="eastAsia" w:ascii="Times New Roman" w:hAnsi="Times New Roman" w:eastAsia="宋体" w:cs="Times New Roman"/>
                <w:color w:val="auto"/>
                <w:highlight w:val="none"/>
                <w:lang w:val="en-US" w:eastAsia="zh-CN"/>
              </w:rPr>
              <w:t>企业</w:t>
            </w:r>
            <w:r>
              <w:rPr>
                <w:rFonts w:hint="eastAsia"/>
                <w:color w:val="auto"/>
                <w:sz w:val="24"/>
                <w:highlight w:val="none"/>
              </w:rPr>
              <w:t>通过</w:t>
            </w:r>
            <w:r>
              <w:rPr>
                <w:rFonts w:hint="eastAsia"/>
                <w:color w:val="auto"/>
                <w:sz w:val="24"/>
                <w:highlight w:val="none"/>
                <w:lang w:val="en-US" w:eastAsia="zh-CN"/>
              </w:rPr>
              <w:t>墙体隔声</w:t>
            </w:r>
            <w:r>
              <w:rPr>
                <w:color w:val="auto"/>
                <w:sz w:val="24"/>
                <w:highlight w:val="none"/>
              </w:rPr>
              <w:t>等措施后</w:t>
            </w:r>
            <w:r>
              <w:rPr>
                <w:rFonts w:hint="default"/>
                <w:color w:val="auto"/>
                <w:highlight w:val="none"/>
              </w:rPr>
              <w:t>厂界噪声能够达到《工业企业厂界环境噪声排放标准》（GB12348-2008）</w:t>
            </w:r>
            <w:r>
              <w:rPr>
                <w:rFonts w:hint="eastAsia"/>
                <w:color w:val="auto"/>
                <w:highlight w:val="none"/>
                <w:lang w:val="en-US" w:eastAsia="zh-CN"/>
              </w:rPr>
              <w:t>2</w:t>
            </w:r>
            <w:r>
              <w:rPr>
                <w:rFonts w:hint="default"/>
                <w:color w:val="auto"/>
                <w:highlight w:val="none"/>
              </w:rPr>
              <w:t>类标准，对周围及敏感目标声环境影响较小。</w:t>
            </w:r>
            <w:r>
              <w:rPr>
                <w:rFonts w:hint="eastAsia"/>
                <w:color w:val="auto"/>
                <w:highlight w:val="none"/>
              </w:rPr>
              <w:t>噪声</w:t>
            </w:r>
            <w:r>
              <w:rPr>
                <w:rFonts w:hint="eastAsia"/>
                <w:color w:val="auto"/>
                <w:highlight w:val="none"/>
                <w:lang w:val="en-US" w:eastAsia="zh-CN"/>
              </w:rPr>
              <w:t>检</w:t>
            </w:r>
            <w:r>
              <w:rPr>
                <w:rFonts w:hint="eastAsia"/>
                <w:color w:val="auto"/>
                <w:highlight w:val="none"/>
              </w:rPr>
              <w:t>测</w:t>
            </w:r>
            <w:r>
              <w:rPr>
                <w:color w:val="auto"/>
                <w:highlight w:val="none"/>
              </w:rPr>
              <w:t>结果详见</w:t>
            </w:r>
            <w:r>
              <w:rPr>
                <w:rFonts w:hint="eastAsia" w:ascii="Times New Roman" w:hAnsi="Times New Roman" w:eastAsia="宋体" w:cs="Times New Roman"/>
                <w:snapToGrid/>
                <w:color w:val="auto"/>
                <w:kern w:val="2"/>
                <w:sz w:val="24"/>
                <w:szCs w:val="24"/>
                <w:highlight w:val="none"/>
                <w:lang w:val="en-US" w:eastAsia="zh-CN" w:bidi="ar-SA"/>
              </w:rPr>
              <w:t>表2.</w:t>
            </w:r>
            <w:r>
              <w:rPr>
                <w:rFonts w:hint="eastAsia" w:eastAsia="宋体" w:cs="Times New Roman"/>
                <w:snapToGrid/>
                <w:color w:val="auto"/>
                <w:kern w:val="2"/>
                <w:sz w:val="24"/>
                <w:szCs w:val="24"/>
                <w:highlight w:val="none"/>
                <w:lang w:val="en-US" w:eastAsia="zh-CN" w:bidi="ar-SA"/>
              </w:rPr>
              <w:t>8</w:t>
            </w:r>
            <w:r>
              <w:rPr>
                <w:rFonts w:hint="eastAsia" w:ascii="Times New Roman" w:hAnsi="Times New Roman" w:eastAsia="宋体" w:cs="Times New Roman"/>
                <w:snapToGrid/>
                <w:color w:val="auto"/>
                <w:kern w:val="2"/>
                <w:sz w:val="24"/>
                <w:szCs w:val="24"/>
                <w:highlight w:val="none"/>
                <w:lang w:val="en-US" w:eastAsia="zh-CN" w:bidi="ar-SA"/>
              </w:rPr>
              <w:t>-8。</w:t>
            </w:r>
          </w:p>
          <w:p w14:paraId="515F97A4">
            <w:pPr>
              <w:pStyle w:val="42"/>
              <w:tabs>
                <w:tab w:val="left" w:pos="0"/>
                <w:tab w:val="clear" w:pos="420"/>
              </w:tabs>
              <w:bidi w:val="0"/>
              <w:rPr>
                <w:rFonts w:hint="default" w:ascii="Times New Roman" w:hAnsi="Times New Roman" w:eastAsia="宋体" w:cs="Times New Roman"/>
                <w:snapToGrid/>
                <w:color w:val="auto"/>
                <w:kern w:val="2"/>
                <w:sz w:val="24"/>
                <w:szCs w:val="24"/>
                <w:highlight w:val="none"/>
                <w:lang w:val="en-US" w:eastAsia="zh-CN" w:bidi="ar-SA"/>
              </w:rPr>
            </w:pPr>
            <w:r>
              <w:rPr>
                <w:rFonts w:hint="default" w:ascii="Times New Roman" w:hAnsi="Times New Roman" w:eastAsia="宋体" w:cs="Times New Roman"/>
                <w:color w:val="auto"/>
                <w:highlight w:val="none"/>
                <w:u w:val="none" w:color="auto"/>
                <w:lang w:val="en-US" w:eastAsia="zh-CN"/>
              </w:rPr>
              <w:t>噪声检测结果</w:t>
            </w:r>
          </w:p>
          <w:tbl>
            <w:tblPr>
              <w:tblStyle w:val="32"/>
              <w:tblW w:w="4997"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Layout w:type="autofit"/>
              <w:tblCellMar>
                <w:top w:w="0" w:type="dxa"/>
                <w:left w:w="108" w:type="dxa"/>
                <w:bottom w:w="0" w:type="dxa"/>
                <w:right w:w="108" w:type="dxa"/>
              </w:tblCellMar>
            </w:tblPr>
            <w:tblGrid>
              <w:gridCol w:w="1377"/>
              <w:gridCol w:w="2098"/>
              <w:gridCol w:w="1325"/>
              <w:gridCol w:w="1327"/>
              <w:gridCol w:w="1327"/>
              <w:gridCol w:w="1327"/>
            </w:tblGrid>
            <w:tr w14:paraId="0DF4807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cantSplit/>
                <w:trHeight w:val="567" w:hRule="atLeast"/>
                <w:tblHeader/>
                <w:jc w:val="center"/>
              </w:trPr>
              <w:tc>
                <w:tcPr>
                  <w:tcW w:w="784" w:type="pct"/>
                  <w:vMerge w:val="restart"/>
                  <w:tcBorders>
                    <w:tl2br w:val="nil"/>
                    <w:tr2bl w:val="nil"/>
                  </w:tcBorders>
                  <w:shd w:val="clear" w:color="auto" w:fill="auto"/>
                  <w:noWrap w:val="0"/>
                  <w:vAlign w:val="center"/>
                </w:tcPr>
                <w:p w14:paraId="1401F3AD">
                  <w:pPr>
                    <w:widowControl/>
                    <w:jc w:val="center"/>
                    <w:textAlignment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检测日期</w:t>
                  </w:r>
                </w:p>
              </w:tc>
              <w:tc>
                <w:tcPr>
                  <w:tcW w:w="1194" w:type="pct"/>
                  <w:vMerge w:val="restart"/>
                  <w:tcBorders>
                    <w:tl2br w:val="nil"/>
                    <w:tr2bl w:val="nil"/>
                  </w:tcBorders>
                  <w:shd w:val="clear" w:color="auto" w:fill="auto"/>
                  <w:noWrap w:val="0"/>
                  <w:vAlign w:val="center"/>
                </w:tcPr>
                <w:p w14:paraId="45C0529E">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测点位置</w:t>
                  </w:r>
                </w:p>
              </w:tc>
              <w:tc>
                <w:tcPr>
                  <w:tcW w:w="1509" w:type="pct"/>
                  <w:gridSpan w:val="2"/>
                  <w:tcBorders>
                    <w:tl2br w:val="nil"/>
                    <w:tr2bl w:val="nil"/>
                  </w:tcBorders>
                  <w:shd w:val="clear" w:color="auto" w:fill="auto"/>
                  <w:noWrap w:val="0"/>
                  <w:vAlign w:val="center"/>
                </w:tcPr>
                <w:p w14:paraId="6443AE98">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检测结果Leq，dB(A)</w:t>
                  </w:r>
                </w:p>
              </w:tc>
              <w:tc>
                <w:tcPr>
                  <w:tcW w:w="1510" w:type="pct"/>
                  <w:gridSpan w:val="2"/>
                  <w:tcBorders>
                    <w:tl2br w:val="nil"/>
                    <w:tr2bl w:val="nil"/>
                  </w:tcBorders>
                  <w:shd w:val="clear" w:color="auto" w:fill="auto"/>
                  <w:noWrap w:val="0"/>
                  <w:vAlign w:val="center"/>
                </w:tcPr>
                <w:p w14:paraId="43C5059C">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标准限值</w:t>
                  </w:r>
                </w:p>
              </w:tc>
            </w:tr>
            <w:tr w14:paraId="3622259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567" w:hRule="atLeast"/>
                <w:tblHeader/>
                <w:jc w:val="center"/>
              </w:trPr>
              <w:tc>
                <w:tcPr>
                  <w:tcW w:w="784" w:type="pct"/>
                  <w:vMerge w:val="continue"/>
                  <w:tcBorders>
                    <w:tl2br w:val="nil"/>
                    <w:tr2bl w:val="nil"/>
                  </w:tcBorders>
                  <w:shd w:val="clear" w:color="auto" w:fill="auto"/>
                  <w:noWrap w:val="0"/>
                  <w:vAlign w:val="center"/>
                </w:tcPr>
                <w:p w14:paraId="732841E7">
                  <w:pPr>
                    <w:widowControl/>
                    <w:jc w:val="center"/>
                    <w:textAlignment w:val="center"/>
                    <w:rPr>
                      <w:rFonts w:hint="default" w:ascii="Times New Roman" w:hAnsi="Times New Roman" w:eastAsia="宋体" w:cs="Times New Roman"/>
                      <w:szCs w:val="21"/>
                      <w:lang w:eastAsia="zh-CN"/>
                    </w:rPr>
                  </w:pPr>
                </w:p>
              </w:tc>
              <w:tc>
                <w:tcPr>
                  <w:tcW w:w="1194" w:type="pct"/>
                  <w:vMerge w:val="continue"/>
                  <w:tcBorders>
                    <w:tl2br w:val="nil"/>
                    <w:tr2bl w:val="nil"/>
                  </w:tcBorders>
                  <w:shd w:val="clear" w:color="auto" w:fill="auto"/>
                  <w:noWrap w:val="0"/>
                  <w:vAlign w:val="center"/>
                </w:tcPr>
                <w:p w14:paraId="03A0A130">
                  <w:pPr>
                    <w:widowControl/>
                    <w:jc w:val="center"/>
                    <w:textAlignment w:val="center"/>
                    <w:rPr>
                      <w:rFonts w:hint="default" w:ascii="Times New Roman" w:hAnsi="Times New Roman" w:eastAsia="宋体" w:cs="Times New Roman"/>
                      <w:szCs w:val="21"/>
                    </w:rPr>
                  </w:pPr>
                </w:p>
              </w:tc>
              <w:tc>
                <w:tcPr>
                  <w:tcW w:w="754" w:type="pct"/>
                  <w:tcBorders>
                    <w:tl2br w:val="nil"/>
                    <w:tr2bl w:val="nil"/>
                  </w:tcBorders>
                  <w:shd w:val="clear" w:color="auto" w:fill="auto"/>
                  <w:noWrap w:val="0"/>
                  <w:vAlign w:val="center"/>
                </w:tcPr>
                <w:p w14:paraId="60C35EA8">
                  <w:pPr>
                    <w:widowControl/>
                    <w:jc w:val="center"/>
                    <w:textAlignment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eastAsia="zh-CN"/>
                    </w:rPr>
                    <w:t>昼间</w:t>
                  </w:r>
                </w:p>
              </w:tc>
              <w:tc>
                <w:tcPr>
                  <w:tcW w:w="755" w:type="pct"/>
                  <w:tcBorders>
                    <w:tl2br w:val="nil"/>
                    <w:tr2bl w:val="nil"/>
                  </w:tcBorders>
                  <w:shd w:val="clear" w:color="auto" w:fill="auto"/>
                  <w:noWrap w:val="0"/>
                  <w:vAlign w:val="center"/>
                </w:tcPr>
                <w:p w14:paraId="5D8637FD">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夜间</w:t>
                  </w:r>
                </w:p>
              </w:tc>
              <w:tc>
                <w:tcPr>
                  <w:tcW w:w="1345" w:type="dxa"/>
                  <w:tcBorders>
                    <w:tl2br w:val="nil"/>
                    <w:tr2bl w:val="nil"/>
                  </w:tcBorders>
                  <w:shd w:val="clear" w:color="auto" w:fill="auto"/>
                  <w:noWrap w:val="0"/>
                  <w:vAlign w:val="center"/>
                </w:tcPr>
                <w:p w14:paraId="164A3779">
                  <w:pPr>
                    <w:widowControl/>
                    <w:jc w:val="center"/>
                    <w:textAlignment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eastAsia="zh-CN"/>
                    </w:rPr>
                    <w:t>昼间</w:t>
                  </w:r>
                </w:p>
              </w:tc>
              <w:tc>
                <w:tcPr>
                  <w:tcW w:w="1346" w:type="dxa"/>
                  <w:tcBorders>
                    <w:tl2br w:val="nil"/>
                    <w:tr2bl w:val="nil"/>
                  </w:tcBorders>
                  <w:shd w:val="clear" w:color="auto" w:fill="auto"/>
                  <w:noWrap w:val="0"/>
                  <w:vAlign w:val="center"/>
                </w:tcPr>
                <w:p w14:paraId="6679769B">
                  <w:pPr>
                    <w:widowControl/>
                    <w:jc w:val="center"/>
                    <w:textAlignment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夜间</w:t>
                  </w:r>
                </w:p>
              </w:tc>
            </w:tr>
            <w:tr w14:paraId="27822A8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567" w:hRule="atLeast"/>
                <w:jc w:val="center"/>
              </w:trPr>
              <w:tc>
                <w:tcPr>
                  <w:tcW w:w="784" w:type="pct"/>
                  <w:vMerge w:val="restart"/>
                  <w:tcBorders>
                    <w:tl2br w:val="nil"/>
                    <w:tr2bl w:val="nil"/>
                  </w:tcBorders>
                  <w:shd w:val="clear" w:color="auto" w:fill="auto"/>
                  <w:noWrap w:val="0"/>
                  <w:vAlign w:val="center"/>
                </w:tcPr>
                <w:p w14:paraId="419E15D9">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2025年06月11日</w:t>
                  </w:r>
                </w:p>
              </w:tc>
              <w:tc>
                <w:tcPr>
                  <w:tcW w:w="1194" w:type="pct"/>
                  <w:tcBorders>
                    <w:tl2br w:val="nil"/>
                    <w:tr2bl w:val="nil"/>
                  </w:tcBorders>
                  <w:shd w:val="clear" w:color="auto" w:fill="auto"/>
                  <w:noWrap w:val="0"/>
                  <w:vAlign w:val="center"/>
                </w:tcPr>
                <w:p w14:paraId="456CE74F">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西南侧厂界</w:t>
                  </w:r>
                  <w:r>
                    <w:rPr>
                      <w:rFonts w:hint="default" w:ascii="Times New Roman" w:hAnsi="Times New Roman" w:eastAsia="宋体" w:cs="Times New Roman"/>
                      <w:szCs w:val="21"/>
                      <w:lang w:val="en-US" w:eastAsia="zh-CN"/>
                    </w:rPr>
                    <w:t>外</w:t>
                  </w:r>
                  <w:r>
                    <w:rPr>
                      <w:rFonts w:hint="eastAsia" w:ascii="Times New Roman" w:hAnsi="Times New Roman" w:eastAsia="宋体" w:cs="Times New Roman"/>
                      <w:szCs w:val="21"/>
                      <w:lang w:val="en-US" w:eastAsia="zh-CN"/>
                    </w:rPr>
                    <w:t>1</w:t>
                  </w:r>
                  <w:r>
                    <w:rPr>
                      <w:rFonts w:hint="default" w:ascii="Times New Roman" w:hAnsi="Times New Roman" w:eastAsia="宋体" w:cs="Times New Roman"/>
                      <w:szCs w:val="21"/>
                      <w:lang w:val="en-US" w:eastAsia="zh-CN"/>
                    </w:rPr>
                    <w:t>米N1</w:t>
                  </w:r>
                </w:p>
              </w:tc>
              <w:tc>
                <w:tcPr>
                  <w:tcW w:w="754" w:type="pct"/>
                  <w:tcBorders>
                    <w:tl2br w:val="nil"/>
                    <w:tr2bl w:val="nil"/>
                  </w:tcBorders>
                  <w:shd w:val="clear" w:color="auto" w:fill="auto"/>
                  <w:noWrap w:val="0"/>
                  <w:vAlign w:val="center"/>
                </w:tcPr>
                <w:p w14:paraId="78134D43">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52.5</w:t>
                  </w:r>
                </w:p>
              </w:tc>
              <w:tc>
                <w:tcPr>
                  <w:tcW w:w="755" w:type="pct"/>
                  <w:tcBorders>
                    <w:tl2br w:val="nil"/>
                    <w:tr2bl w:val="nil"/>
                  </w:tcBorders>
                  <w:shd w:val="clear" w:color="auto" w:fill="auto"/>
                  <w:noWrap w:val="0"/>
                  <w:vAlign w:val="center"/>
                </w:tcPr>
                <w:p w14:paraId="6A916217">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46.2</w:t>
                  </w:r>
                </w:p>
              </w:tc>
              <w:tc>
                <w:tcPr>
                  <w:tcW w:w="755" w:type="pct"/>
                  <w:vMerge w:val="restart"/>
                  <w:tcBorders>
                    <w:tl2br w:val="nil"/>
                    <w:tr2bl w:val="nil"/>
                  </w:tcBorders>
                  <w:shd w:val="clear" w:color="auto" w:fill="auto"/>
                  <w:noWrap w:val="0"/>
                  <w:vAlign w:val="center"/>
                </w:tcPr>
                <w:p w14:paraId="70996527">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60</w:t>
                  </w:r>
                </w:p>
              </w:tc>
              <w:tc>
                <w:tcPr>
                  <w:tcW w:w="755" w:type="pct"/>
                  <w:vMerge w:val="restart"/>
                  <w:tcBorders>
                    <w:tl2br w:val="nil"/>
                    <w:tr2bl w:val="nil"/>
                  </w:tcBorders>
                  <w:shd w:val="clear" w:color="auto" w:fill="auto"/>
                  <w:noWrap w:val="0"/>
                  <w:vAlign w:val="center"/>
                </w:tcPr>
                <w:p w14:paraId="44A4E7FA">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50</w:t>
                  </w:r>
                </w:p>
              </w:tc>
            </w:tr>
            <w:tr w14:paraId="1F37822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567" w:hRule="atLeast"/>
                <w:jc w:val="center"/>
              </w:trPr>
              <w:tc>
                <w:tcPr>
                  <w:tcW w:w="784" w:type="pct"/>
                  <w:vMerge w:val="continue"/>
                  <w:tcBorders>
                    <w:tl2br w:val="nil"/>
                    <w:tr2bl w:val="nil"/>
                  </w:tcBorders>
                  <w:shd w:val="clear" w:color="auto" w:fill="auto"/>
                  <w:noWrap w:val="0"/>
                  <w:vAlign w:val="center"/>
                </w:tcPr>
                <w:p w14:paraId="12056D99">
                  <w:pPr>
                    <w:widowControl/>
                    <w:jc w:val="center"/>
                    <w:textAlignment w:val="center"/>
                    <w:rPr>
                      <w:rFonts w:hint="default" w:ascii="Times New Roman" w:hAnsi="Times New Roman" w:eastAsia="宋体" w:cs="Times New Roman"/>
                      <w:szCs w:val="21"/>
                      <w:lang w:val="en-US" w:eastAsia="zh-CN"/>
                    </w:rPr>
                  </w:pPr>
                </w:p>
              </w:tc>
              <w:tc>
                <w:tcPr>
                  <w:tcW w:w="1194" w:type="pct"/>
                  <w:tcBorders>
                    <w:tl2br w:val="nil"/>
                    <w:tr2bl w:val="nil"/>
                  </w:tcBorders>
                  <w:shd w:val="clear" w:color="auto" w:fill="auto"/>
                  <w:noWrap w:val="0"/>
                  <w:vAlign w:val="center"/>
                </w:tcPr>
                <w:p w14:paraId="71D82034">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东南侧厂界</w:t>
                  </w:r>
                  <w:r>
                    <w:rPr>
                      <w:rFonts w:hint="default" w:ascii="Times New Roman" w:hAnsi="Times New Roman" w:eastAsia="宋体" w:cs="Times New Roman"/>
                      <w:szCs w:val="21"/>
                      <w:lang w:val="en-US" w:eastAsia="zh-CN"/>
                    </w:rPr>
                    <w:t>外</w:t>
                  </w:r>
                  <w:r>
                    <w:rPr>
                      <w:rFonts w:hint="eastAsia" w:ascii="Times New Roman" w:hAnsi="Times New Roman" w:eastAsia="宋体" w:cs="Times New Roman"/>
                      <w:szCs w:val="21"/>
                      <w:lang w:val="en-US" w:eastAsia="zh-CN"/>
                    </w:rPr>
                    <w:t>1</w:t>
                  </w:r>
                  <w:r>
                    <w:rPr>
                      <w:rFonts w:hint="default" w:ascii="Times New Roman" w:hAnsi="Times New Roman" w:eastAsia="宋体" w:cs="Times New Roman"/>
                      <w:szCs w:val="21"/>
                      <w:lang w:val="en-US" w:eastAsia="zh-CN"/>
                    </w:rPr>
                    <w:t>米N2</w:t>
                  </w:r>
                </w:p>
              </w:tc>
              <w:tc>
                <w:tcPr>
                  <w:tcW w:w="754" w:type="pct"/>
                  <w:tcBorders>
                    <w:tl2br w:val="nil"/>
                    <w:tr2bl w:val="nil"/>
                  </w:tcBorders>
                  <w:shd w:val="clear" w:color="auto" w:fill="auto"/>
                  <w:noWrap w:val="0"/>
                  <w:vAlign w:val="center"/>
                </w:tcPr>
                <w:p w14:paraId="722D6746">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51.7</w:t>
                  </w:r>
                </w:p>
              </w:tc>
              <w:tc>
                <w:tcPr>
                  <w:tcW w:w="755" w:type="pct"/>
                  <w:tcBorders>
                    <w:tl2br w:val="nil"/>
                    <w:tr2bl w:val="nil"/>
                  </w:tcBorders>
                  <w:shd w:val="clear" w:color="auto" w:fill="auto"/>
                  <w:noWrap w:val="0"/>
                  <w:vAlign w:val="center"/>
                </w:tcPr>
                <w:p w14:paraId="63399BA3">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47.0</w:t>
                  </w:r>
                </w:p>
              </w:tc>
              <w:tc>
                <w:tcPr>
                  <w:tcW w:w="755" w:type="pct"/>
                  <w:vMerge w:val="continue"/>
                  <w:tcBorders>
                    <w:tl2br w:val="nil"/>
                    <w:tr2bl w:val="nil"/>
                  </w:tcBorders>
                  <w:shd w:val="clear" w:color="auto" w:fill="auto"/>
                  <w:noWrap w:val="0"/>
                  <w:vAlign w:val="center"/>
                </w:tcPr>
                <w:p w14:paraId="7AAAA964">
                  <w:pPr>
                    <w:widowControl/>
                    <w:jc w:val="center"/>
                    <w:textAlignment w:val="center"/>
                    <w:rPr>
                      <w:rFonts w:hint="eastAsia" w:ascii="Times New Roman" w:hAnsi="Times New Roman" w:eastAsia="宋体" w:cs="Times New Roman"/>
                      <w:szCs w:val="21"/>
                      <w:lang w:val="en-US" w:eastAsia="zh-CN"/>
                    </w:rPr>
                  </w:pPr>
                </w:p>
              </w:tc>
              <w:tc>
                <w:tcPr>
                  <w:tcW w:w="755" w:type="pct"/>
                  <w:vMerge w:val="continue"/>
                  <w:tcBorders>
                    <w:tl2br w:val="nil"/>
                    <w:tr2bl w:val="nil"/>
                  </w:tcBorders>
                  <w:shd w:val="clear" w:color="auto" w:fill="auto"/>
                  <w:noWrap w:val="0"/>
                  <w:vAlign w:val="center"/>
                </w:tcPr>
                <w:p w14:paraId="3383D92D">
                  <w:pPr>
                    <w:widowControl/>
                    <w:jc w:val="center"/>
                    <w:textAlignment w:val="center"/>
                    <w:rPr>
                      <w:rFonts w:hint="eastAsia" w:ascii="Times New Roman" w:hAnsi="Times New Roman" w:eastAsia="宋体" w:cs="Times New Roman"/>
                      <w:szCs w:val="21"/>
                      <w:lang w:val="en-US" w:eastAsia="zh-CN"/>
                    </w:rPr>
                  </w:pPr>
                </w:p>
              </w:tc>
            </w:tr>
            <w:tr w14:paraId="369D413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567" w:hRule="atLeast"/>
                <w:jc w:val="center"/>
              </w:trPr>
              <w:tc>
                <w:tcPr>
                  <w:tcW w:w="784" w:type="pct"/>
                  <w:vMerge w:val="continue"/>
                  <w:tcBorders>
                    <w:tl2br w:val="nil"/>
                    <w:tr2bl w:val="nil"/>
                  </w:tcBorders>
                  <w:shd w:val="clear" w:color="auto" w:fill="auto"/>
                  <w:noWrap w:val="0"/>
                  <w:vAlign w:val="center"/>
                </w:tcPr>
                <w:p w14:paraId="2E3F8C87">
                  <w:pPr>
                    <w:widowControl/>
                    <w:jc w:val="center"/>
                    <w:textAlignment w:val="center"/>
                    <w:rPr>
                      <w:rFonts w:hint="default" w:ascii="Times New Roman" w:hAnsi="Times New Roman" w:eastAsia="宋体" w:cs="Times New Roman"/>
                      <w:szCs w:val="21"/>
                      <w:lang w:val="en-US" w:eastAsia="zh-CN"/>
                    </w:rPr>
                  </w:pPr>
                </w:p>
              </w:tc>
              <w:tc>
                <w:tcPr>
                  <w:tcW w:w="1194" w:type="pct"/>
                  <w:tcBorders>
                    <w:tl2br w:val="nil"/>
                    <w:tr2bl w:val="nil"/>
                  </w:tcBorders>
                  <w:shd w:val="clear" w:color="auto" w:fill="auto"/>
                  <w:noWrap w:val="0"/>
                  <w:vAlign w:val="center"/>
                </w:tcPr>
                <w:p w14:paraId="7063B7F8">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东北</w:t>
                  </w:r>
                  <w:r>
                    <w:rPr>
                      <w:rFonts w:hint="default" w:ascii="Times New Roman" w:hAnsi="Times New Roman" w:eastAsia="宋体" w:cs="Times New Roman"/>
                      <w:szCs w:val="21"/>
                      <w:lang w:val="en-US" w:eastAsia="zh-CN"/>
                    </w:rPr>
                    <w:t>侧</w:t>
                  </w:r>
                  <w:r>
                    <w:rPr>
                      <w:rFonts w:hint="eastAsia" w:ascii="Times New Roman" w:hAnsi="Times New Roman" w:eastAsia="宋体" w:cs="Times New Roman"/>
                      <w:szCs w:val="21"/>
                      <w:lang w:val="en-US" w:eastAsia="zh-CN"/>
                    </w:rPr>
                    <w:t>厂界</w:t>
                  </w:r>
                  <w:r>
                    <w:rPr>
                      <w:rFonts w:hint="default" w:ascii="Times New Roman" w:hAnsi="Times New Roman" w:eastAsia="宋体" w:cs="Times New Roman"/>
                      <w:szCs w:val="21"/>
                      <w:lang w:val="en-US" w:eastAsia="zh-CN"/>
                    </w:rPr>
                    <w:t>外</w:t>
                  </w:r>
                  <w:r>
                    <w:rPr>
                      <w:rFonts w:hint="eastAsia" w:ascii="Times New Roman" w:hAnsi="Times New Roman" w:eastAsia="宋体" w:cs="Times New Roman"/>
                      <w:szCs w:val="21"/>
                      <w:lang w:val="en-US" w:eastAsia="zh-CN"/>
                    </w:rPr>
                    <w:t>1</w:t>
                  </w:r>
                  <w:r>
                    <w:rPr>
                      <w:rFonts w:hint="default" w:ascii="Times New Roman" w:hAnsi="Times New Roman" w:eastAsia="宋体" w:cs="Times New Roman"/>
                      <w:szCs w:val="21"/>
                      <w:lang w:val="en-US" w:eastAsia="zh-CN"/>
                    </w:rPr>
                    <w:t>米N</w:t>
                  </w:r>
                  <w:r>
                    <w:rPr>
                      <w:rFonts w:hint="eastAsia" w:ascii="Times New Roman" w:hAnsi="Times New Roman" w:eastAsia="宋体" w:cs="Times New Roman"/>
                      <w:szCs w:val="21"/>
                      <w:lang w:val="en-US" w:eastAsia="zh-CN"/>
                    </w:rPr>
                    <w:t>3</w:t>
                  </w:r>
                </w:p>
              </w:tc>
              <w:tc>
                <w:tcPr>
                  <w:tcW w:w="754" w:type="pct"/>
                  <w:tcBorders>
                    <w:tl2br w:val="nil"/>
                    <w:tr2bl w:val="nil"/>
                  </w:tcBorders>
                  <w:shd w:val="clear" w:color="auto" w:fill="auto"/>
                  <w:noWrap w:val="0"/>
                  <w:vAlign w:val="center"/>
                </w:tcPr>
                <w:p w14:paraId="42DDDFB2">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58.7</w:t>
                  </w:r>
                </w:p>
              </w:tc>
              <w:tc>
                <w:tcPr>
                  <w:tcW w:w="755" w:type="pct"/>
                  <w:tcBorders>
                    <w:tl2br w:val="nil"/>
                    <w:tr2bl w:val="nil"/>
                  </w:tcBorders>
                  <w:shd w:val="clear" w:color="auto" w:fill="auto"/>
                  <w:noWrap w:val="0"/>
                  <w:vAlign w:val="center"/>
                </w:tcPr>
                <w:p w14:paraId="03A0FF65">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46.4</w:t>
                  </w:r>
                </w:p>
              </w:tc>
              <w:tc>
                <w:tcPr>
                  <w:tcW w:w="755" w:type="pct"/>
                  <w:vMerge w:val="continue"/>
                  <w:tcBorders>
                    <w:tl2br w:val="nil"/>
                    <w:tr2bl w:val="nil"/>
                  </w:tcBorders>
                  <w:shd w:val="clear" w:color="auto" w:fill="auto"/>
                  <w:noWrap w:val="0"/>
                  <w:vAlign w:val="center"/>
                </w:tcPr>
                <w:p w14:paraId="24C5C5BB">
                  <w:pPr>
                    <w:widowControl/>
                    <w:jc w:val="center"/>
                    <w:textAlignment w:val="center"/>
                    <w:rPr>
                      <w:rFonts w:hint="eastAsia" w:ascii="Times New Roman" w:hAnsi="Times New Roman" w:eastAsia="宋体" w:cs="Times New Roman"/>
                      <w:szCs w:val="21"/>
                      <w:lang w:val="en-US" w:eastAsia="zh-CN"/>
                    </w:rPr>
                  </w:pPr>
                </w:p>
              </w:tc>
              <w:tc>
                <w:tcPr>
                  <w:tcW w:w="755" w:type="pct"/>
                  <w:vMerge w:val="continue"/>
                  <w:tcBorders>
                    <w:tl2br w:val="nil"/>
                    <w:tr2bl w:val="nil"/>
                  </w:tcBorders>
                  <w:shd w:val="clear" w:color="auto" w:fill="auto"/>
                  <w:noWrap w:val="0"/>
                  <w:vAlign w:val="center"/>
                </w:tcPr>
                <w:p w14:paraId="7CA6B727">
                  <w:pPr>
                    <w:widowControl/>
                    <w:jc w:val="center"/>
                    <w:textAlignment w:val="center"/>
                    <w:rPr>
                      <w:rFonts w:hint="eastAsia" w:ascii="Times New Roman" w:hAnsi="Times New Roman" w:eastAsia="宋体" w:cs="Times New Roman"/>
                      <w:szCs w:val="21"/>
                      <w:lang w:val="en-US" w:eastAsia="zh-CN"/>
                    </w:rPr>
                  </w:pPr>
                </w:p>
              </w:tc>
            </w:tr>
            <w:tr w14:paraId="210C95F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567" w:hRule="atLeast"/>
                <w:jc w:val="center"/>
              </w:trPr>
              <w:tc>
                <w:tcPr>
                  <w:tcW w:w="784" w:type="pct"/>
                  <w:vMerge w:val="continue"/>
                  <w:tcBorders>
                    <w:tl2br w:val="nil"/>
                    <w:tr2bl w:val="nil"/>
                  </w:tcBorders>
                  <w:shd w:val="clear" w:color="auto" w:fill="auto"/>
                  <w:noWrap w:val="0"/>
                  <w:vAlign w:val="center"/>
                </w:tcPr>
                <w:p w14:paraId="01573311">
                  <w:pPr>
                    <w:widowControl/>
                    <w:jc w:val="center"/>
                    <w:textAlignment w:val="center"/>
                    <w:rPr>
                      <w:rFonts w:hint="default" w:ascii="Times New Roman" w:hAnsi="Times New Roman" w:eastAsia="宋体" w:cs="Times New Roman"/>
                      <w:szCs w:val="21"/>
                      <w:lang w:val="en-US" w:eastAsia="zh-CN"/>
                    </w:rPr>
                  </w:pPr>
                </w:p>
              </w:tc>
              <w:tc>
                <w:tcPr>
                  <w:tcW w:w="1194" w:type="pct"/>
                  <w:tcBorders>
                    <w:tl2br w:val="nil"/>
                    <w:tr2bl w:val="nil"/>
                  </w:tcBorders>
                  <w:shd w:val="clear" w:color="auto" w:fill="auto"/>
                  <w:noWrap w:val="0"/>
                  <w:vAlign w:val="center"/>
                </w:tcPr>
                <w:p w14:paraId="0501855C">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西北侧厂界</w:t>
                  </w:r>
                  <w:r>
                    <w:rPr>
                      <w:rFonts w:hint="default" w:ascii="Times New Roman" w:hAnsi="Times New Roman" w:eastAsia="宋体" w:cs="Times New Roman"/>
                      <w:szCs w:val="21"/>
                      <w:lang w:val="en-US" w:eastAsia="zh-CN"/>
                    </w:rPr>
                    <w:t>外</w:t>
                  </w:r>
                  <w:r>
                    <w:rPr>
                      <w:rFonts w:hint="eastAsia" w:ascii="Times New Roman" w:hAnsi="Times New Roman" w:eastAsia="宋体" w:cs="Times New Roman"/>
                      <w:szCs w:val="21"/>
                      <w:lang w:val="en-US" w:eastAsia="zh-CN"/>
                    </w:rPr>
                    <w:t>1</w:t>
                  </w:r>
                  <w:r>
                    <w:rPr>
                      <w:rFonts w:hint="default" w:ascii="Times New Roman" w:hAnsi="Times New Roman" w:eastAsia="宋体" w:cs="Times New Roman"/>
                      <w:szCs w:val="21"/>
                      <w:lang w:val="en-US" w:eastAsia="zh-CN"/>
                    </w:rPr>
                    <w:t>米N</w:t>
                  </w:r>
                  <w:r>
                    <w:rPr>
                      <w:rFonts w:hint="eastAsia" w:ascii="Times New Roman" w:hAnsi="Times New Roman" w:eastAsia="宋体" w:cs="Times New Roman"/>
                      <w:szCs w:val="21"/>
                      <w:lang w:val="en-US" w:eastAsia="zh-CN"/>
                    </w:rPr>
                    <w:t>4</w:t>
                  </w:r>
                </w:p>
              </w:tc>
              <w:tc>
                <w:tcPr>
                  <w:tcW w:w="754" w:type="pct"/>
                  <w:tcBorders>
                    <w:tl2br w:val="nil"/>
                    <w:tr2bl w:val="nil"/>
                  </w:tcBorders>
                  <w:shd w:val="clear" w:color="auto" w:fill="auto"/>
                  <w:noWrap w:val="0"/>
                  <w:vAlign w:val="center"/>
                </w:tcPr>
                <w:p w14:paraId="33214394">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53.6</w:t>
                  </w:r>
                </w:p>
              </w:tc>
              <w:tc>
                <w:tcPr>
                  <w:tcW w:w="755" w:type="pct"/>
                  <w:tcBorders>
                    <w:tl2br w:val="nil"/>
                    <w:tr2bl w:val="nil"/>
                  </w:tcBorders>
                  <w:shd w:val="clear" w:color="auto" w:fill="auto"/>
                  <w:noWrap w:val="0"/>
                  <w:vAlign w:val="center"/>
                </w:tcPr>
                <w:p w14:paraId="1098E17D">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46.5</w:t>
                  </w:r>
                </w:p>
              </w:tc>
              <w:tc>
                <w:tcPr>
                  <w:tcW w:w="755" w:type="pct"/>
                  <w:vMerge w:val="continue"/>
                  <w:tcBorders>
                    <w:tl2br w:val="nil"/>
                    <w:tr2bl w:val="nil"/>
                  </w:tcBorders>
                  <w:shd w:val="clear" w:color="auto" w:fill="auto"/>
                  <w:noWrap w:val="0"/>
                  <w:vAlign w:val="center"/>
                </w:tcPr>
                <w:p w14:paraId="56B57173">
                  <w:pPr>
                    <w:widowControl/>
                    <w:jc w:val="center"/>
                    <w:textAlignment w:val="center"/>
                    <w:rPr>
                      <w:rFonts w:hint="eastAsia" w:ascii="Times New Roman" w:hAnsi="Times New Roman" w:eastAsia="宋体" w:cs="Times New Roman"/>
                      <w:szCs w:val="21"/>
                      <w:lang w:val="en-US" w:eastAsia="zh-CN"/>
                    </w:rPr>
                  </w:pPr>
                </w:p>
              </w:tc>
              <w:tc>
                <w:tcPr>
                  <w:tcW w:w="755" w:type="pct"/>
                  <w:vMerge w:val="continue"/>
                  <w:tcBorders>
                    <w:tl2br w:val="nil"/>
                    <w:tr2bl w:val="nil"/>
                  </w:tcBorders>
                  <w:shd w:val="clear" w:color="auto" w:fill="auto"/>
                  <w:noWrap w:val="0"/>
                  <w:vAlign w:val="center"/>
                </w:tcPr>
                <w:p w14:paraId="0384FFE3">
                  <w:pPr>
                    <w:widowControl/>
                    <w:jc w:val="center"/>
                    <w:textAlignment w:val="center"/>
                    <w:rPr>
                      <w:rFonts w:hint="eastAsia" w:ascii="Times New Roman" w:hAnsi="Times New Roman" w:eastAsia="宋体" w:cs="Times New Roman"/>
                      <w:szCs w:val="21"/>
                      <w:lang w:val="en-US" w:eastAsia="zh-CN"/>
                    </w:rPr>
                  </w:pPr>
                </w:p>
              </w:tc>
            </w:tr>
            <w:tr w14:paraId="2889F5E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cantSplit/>
                <w:trHeight w:val="567" w:hRule="atLeast"/>
                <w:jc w:val="center"/>
              </w:trPr>
              <w:tc>
                <w:tcPr>
                  <w:tcW w:w="784" w:type="pct"/>
                  <w:vMerge w:val="continue"/>
                  <w:tcBorders>
                    <w:tl2br w:val="nil"/>
                    <w:tr2bl w:val="nil"/>
                  </w:tcBorders>
                  <w:shd w:val="clear" w:color="auto" w:fill="auto"/>
                  <w:noWrap w:val="0"/>
                  <w:vAlign w:val="center"/>
                </w:tcPr>
                <w:p w14:paraId="444EBBE3">
                  <w:pPr>
                    <w:widowControl/>
                    <w:jc w:val="center"/>
                    <w:textAlignment w:val="center"/>
                    <w:rPr>
                      <w:rFonts w:hint="default" w:ascii="Times New Roman" w:hAnsi="Times New Roman" w:eastAsia="宋体" w:cs="Times New Roman"/>
                      <w:szCs w:val="21"/>
                      <w:lang w:val="en-US" w:eastAsia="zh-CN"/>
                    </w:rPr>
                  </w:pPr>
                </w:p>
              </w:tc>
              <w:tc>
                <w:tcPr>
                  <w:tcW w:w="1194" w:type="pct"/>
                  <w:tcBorders>
                    <w:tl2br w:val="nil"/>
                    <w:tr2bl w:val="nil"/>
                  </w:tcBorders>
                  <w:shd w:val="clear" w:color="auto" w:fill="auto"/>
                  <w:noWrap w:val="0"/>
                  <w:vAlign w:val="center"/>
                </w:tcPr>
                <w:p w14:paraId="7EE83F4D">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东侧丽山村N5</w:t>
                  </w:r>
                </w:p>
              </w:tc>
              <w:tc>
                <w:tcPr>
                  <w:tcW w:w="754" w:type="pct"/>
                  <w:tcBorders>
                    <w:tl2br w:val="nil"/>
                    <w:tr2bl w:val="nil"/>
                  </w:tcBorders>
                  <w:shd w:val="clear" w:color="auto" w:fill="auto"/>
                  <w:noWrap w:val="0"/>
                  <w:vAlign w:val="center"/>
                </w:tcPr>
                <w:p w14:paraId="55D5693A">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54.8</w:t>
                  </w:r>
                </w:p>
              </w:tc>
              <w:tc>
                <w:tcPr>
                  <w:tcW w:w="755" w:type="pct"/>
                  <w:tcBorders>
                    <w:tl2br w:val="nil"/>
                    <w:tr2bl w:val="nil"/>
                  </w:tcBorders>
                  <w:shd w:val="clear" w:color="auto" w:fill="auto"/>
                  <w:noWrap w:val="0"/>
                  <w:vAlign w:val="center"/>
                </w:tcPr>
                <w:p w14:paraId="563F993C">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46.8</w:t>
                  </w:r>
                </w:p>
              </w:tc>
              <w:tc>
                <w:tcPr>
                  <w:tcW w:w="755" w:type="pct"/>
                  <w:vMerge w:val="continue"/>
                  <w:tcBorders>
                    <w:tl2br w:val="nil"/>
                    <w:tr2bl w:val="nil"/>
                  </w:tcBorders>
                  <w:shd w:val="clear" w:color="auto" w:fill="auto"/>
                  <w:noWrap w:val="0"/>
                  <w:vAlign w:val="center"/>
                </w:tcPr>
                <w:p w14:paraId="3130441A">
                  <w:pPr>
                    <w:widowControl/>
                    <w:jc w:val="center"/>
                    <w:textAlignment w:val="center"/>
                    <w:rPr>
                      <w:rFonts w:hint="eastAsia" w:ascii="Times New Roman" w:hAnsi="Times New Roman" w:eastAsia="宋体" w:cs="Times New Roman"/>
                      <w:szCs w:val="21"/>
                      <w:lang w:val="en-US" w:eastAsia="zh-CN"/>
                    </w:rPr>
                  </w:pPr>
                </w:p>
              </w:tc>
              <w:tc>
                <w:tcPr>
                  <w:tcW w:w="755" w:type="pct"/>
                  <w:vMerge w:val="continue"/>
                  <w:tcBorders>
                    <w:tl2br w:val="nil"/>
                    <w:tr2bl w:val="nil"/>
                  </w:tcBorders>
                  <w:shd w:val="clear" w:color="auto" w:fill="auto"/>
                  <w:noWrap w:val="0"/>
                  <w:vAlign w:val="center"/>
                </w:tcPr>
                <w:p w14:paraId="083050C0">
                  <w:pPr>
                    <w:widowControl/>
                    <w:jc w:val="center"/>
                    <w:textAlignment w:val="center"/>
                    <w:rPr>
                      <w:rFonts w:hint="eastAsia" w:ascii="Times New Roman" w:hAnsi="Times New Roman" w:eastAsia="宋体" w:cs="Times New Roman"/>
                      <w:szCs w:val="21"/>
                      <w:lang w:val="en-US" w:eastAsia="zh-CN"/>
                    </w:rPr>
                  </w:pPr>
                </w:p>
              </w:tc>
            </w:tr>
            <w:tr w14:paraId="5B18913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cantSplit/>
                <w:trHeight w:val="567" w:hRule="atLeast"/>
                <w:jc w:val="center"/>
              </w:trPr>
              <w:tc>
                <w:tcPr>
                  <w:tcW w:w="784" w:type="pct"/>
                  <w:vMerge w:val="restart"/>
                  <w:tcBorders>
                    <w:tl2br w:val="nil"/>
                    <w:tr2bl w:val="nil"/>
                  </w:tcBorders>
                  <w:shd w:val="clear" w:color="auto" w:fill="auto"/>
                  <w:noWrap w:val="0"/>
                  <w:vAlign w:val="center"/>
                </w:tcPr>
                <w:p w14:paraId="57AE61AA">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2025年06月12日</w:t>
                  </w:r>
                </w:p>
              </w:tc>
              <w:tc>
                <w:tcPr>
                  <w:tcW w:w="1194" w:type="pct"/>
                  <w:tcBorders>
                    <w:tl2br w:val="nil"/>
                    <w:tr2bl w:val="nil"/>
                  </w:tcBorders>
                  <w:shd w:val="clear" w:color="auto" w:fill="auto"/>
                  <w:noWrap w:val="0"/>
                  <w:vAlign w:val="center"/>
                </w:tcPr>
                <w:p w14:paraId="3F1C7D03">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西南侧厂界</w:t>
                  </w:r>
                  <w:r>
                    <w:rPr>
                      <w:rFonts w:hint="default" w:ascii="Times New Roman" w:hAnsi="Times New Roman" w:eastAsia="宋体" w:cs="Times New Roman"/>
                      <w:szCs w:val="21"/>
                      <w:lang w:val="en-US" w:eastAsia="zh-CN"/>
                    </w:rPr>
                    <w:t>外</w:t>
                  </w:r>
                  <w:r>
                    <w:rPr>
                      <w:rFonts w:hint="eastAsia" w:ascii="Times New Roman" w:hAnsi="Times New Roman" w:eastAsia="宋体" w:cs="Times New Roman"/>
                      <w:szCs w:val="21"/>
                      <w:lang w:val="en-US" w:eastAsia="zh-CN"/>
                    </w:rPr>
                    <w:t>1</w:t>
                  </w:r>
                  <w:r>
                    <w:rPr>
                      <w:rFonts w:hint="default" w:ascii="Times New Roman" w:hAnsi="Times New Roman" w:eastAsia="宋体" w:cs="Times New Roman"/>
                      <w:szCs w:val="21"/>
                      <w:lang w:val="en-US" w:eastAsia="zh-CN"/>
                    </w:rPr>
                    <w:t>米N1</w:t>
                  </w:r>
                </w:p>
              </w:tc>
              <w:tc>
                <w:tcPr>
                  <w:tcW w:w="754" w:type="pct"/>
                  <w:tcBorders>
                    <w:tl2br w:val="nil"/>
                    <w:tr2bl w:val="nil"/>
                  </w:tcBorders>
                  <w:shd w:val="clear" w:color="auto" w:fill="auto"/>
                  <w:noWrap w:val="0"/>
                  <w:vAlign w:val="center"/>
                </w:tcPr>
                <w:p w14:paraId="5AF212E1">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54.7</w:t>
                  </w:r>
                </w:p>
              </w:tc>
              <w:tc>
                <w:tcPr>
                  <w:tcW w:w="755" w:type="pct"/>
                  <w:tcBorders>
                    <w:tl2br w:val="nil"/>
                    <w:tr2bl w:val="nil"/>
                  </w:tcBorders>
                  <w:shd w:val="clear" w:color="auto" w:fill="auto"/>
                  <w:noWrap w:val="0"/>
                  <w:vAlign w:val="center"/>
                </w:tcPr>
                <w:p w14:paraId="2D7BD531">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43.4</w:t>
                  </w:r>
                </w:p>
              </w:tc>
              <w:tc>
                <w:tcPr>
                  <w:tcW w:w="755" w:type="pct"/>
                  <w:vMerge w:val="continue"/>
                  <w:tcBorders>
                    <w:tl2br w:val="nil"/>
                    <w:tr2bl w:val="nil"/>
                  </w:tcBorders>
                  <w:shd w:val="clear" w:color="auto" w:fill="auto"/>
                  <w:noWrap w:val="0"/>
                  <w:vAlign w:val="center"/>
                </w:tcPr>
                <w:p w14:paraId="239F1CA4">
                  <w:pPr>
                    <w:widowControl/>
                    <w:jc w:val="center"/>
                    <w:textAlignment w:val="center"/>
                    <w:rPr>
                      <w:rFonts w:hint="eastAsia" w:ascii="Times New Roman" w:hAnsi="Times New Roman" w:eastAsia="宋体" w:cs="Times New Roman"/>
                      <w:szCs w:val="21"/>
                      <w:lang w:val="en-US" w:eastAsia="zh-CN"/>
                    </w:rPr>
                  </w:pPr>
                </w:p>
              </w:tc>
              <w:tc>
                <w:tcPr>
                  <w:tcW w:w="755" w:type="pct"/>
                  <w:vMerge w:val="continue"/>
                  <w:tcBorders>
                    <w:tl2br w:val="nil"/>
                    <w:tr2bl w:val="nil"/>
                  </w:tcBorders>
                  <w:shd w:val="clear" w:color="auto" w:fill="auto"/>
                  <w:noWrap w:val="0"/>
                  <w:vAlign w:val="center"/>
                </w:tcPr>
                <w:p w14:paraId="66A9F470">
                  <w:pPr>
                    <w:widowControl/>
                    <w:jc w:val="center"/>
                    <w:textAlignment w:val="center"/>
                    <w:rPr>
                      <w:rFonts w:hint="eastAsia" w:ascii="Times New Roman" w:hAnsi="Times New Roman" w:eastAsia="宋体" w:cs="Times New Roman"/>
                      <w:szCs w:val="21"/>
                      <w:lang w:val="en-US" w:eastAsia="zh-CN"/>
                    </w:rPr>
                  </w:pPr>
                </w:p>
              </w:tc>
            </w:tr>
            <w:tr w14:paraId="3902706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cantSplit/>
                <w:trHeight w:val="567" w:hRule="atLeast"/>
                <w:jc w:val="center"/>
              </w:trPr>
              <w:tc>
                <w:tcPr>
                  <w:tcW w:w="784" w:type="pct"/>
                  <w:vMerge w:val="continue"/>
                  <w:tcBorders>
                    <w:tl2br w:val="nil"/>
                    <w:tr2bl w:val="nil"/>
                  </w:tcBorders>
                  <w:shd w:val="clear" w:color="auto" w:fill="auto"/>
                  <w:noWrap w:val="0"/>
                  <w:vAlign w:val="center"/>
                </w:tcPr>
                <w:p w14:paraId="7E55AAB2">
                  <w:pPr>
                    <w:widowControl/>
                    <w:jc w:val="center"/>
                    <w:textAlignment w:val="center"/>
                    <w:rPr>
                      <w:rFonts w:hint="default" w:ascii="Times New Roman" w:hAnsi="Times New Roman" w:eastAsia="宋体" w:cs="Times New Roman"/>
                      <w:szCs w:val="21"/>
                      <w:lang w:val="en-US" w:eastAsia="zh-CN"/>
                    </w:rPr>
                  </w:pPr>
                </w:p>
              </w:tc>
              <w:tc>
                <w:tcPr>
                  <w:tcW w:w="1194" w:type="pct"/>
                  <w:tcBorders>
                    <w:tl2br w:val="nil"/>
                    <w:tr2bl w:val="nil"/>
                  </w:tcBorders>
                  <w:shd w:val="clear" w:color="auto" w:fill="auto"/>
                  <w:noWrap w:val="0"/>
                  <w:vAlign w:val="center"/>
                </w:tcPr>
                <w:p w14:paraId="4A3080E7">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东南侧厂界</w:t>
                  </w:r>
                  <w:r>
                    <w:rPr>
                      <w:rFonts w:hint="default" w:ascii="Times New Roman" w:hAnsi="Times New Roman" w:eastAsia="宋体" w:cs="Times New Roman"/>
                      <w:szCs w:val="21"/>
                      <w:lang w:val="en-US" w:eastAsia="zh-CN"/>
                    </w:rPr>
                    <w:t>外</w:t>
                  </w:r>
                  <w:r>
                    <w:rPr>
                      <w:rFonts w:hint="eastAsia" w:ascii="Times New Roman" w:hAnsi="Times New Roman" w:eastAsia="宋体" w:cs="Times New Roman"/>
                      <w:szCs w:val="21"/>
                      <w:lang w:val="en-US" w:eastAsia="zh-CN"/>
                    </w:rPr>
                    <w:t>1</w:t>
                  </w:r>
                  <w:r>
                    <w:rPr>
                      <w:rFonts w:hint="default" w:ascii="Times New Roman" w:hAnsi="Times New Roman" w:eastAsia="宋体" w:cs="Times New Roman"/>
                      <w:szCs w:val="21"/>
                      <w:lang w:val="en-US" w:eastAsia="zh-CN"/>
                    </w:rPr>
                    <w:t>米N2</w:t>
                  </w:r>
                </w:p>
              </w:tc>
              <w:tc>
                <w:tcPr>
                  <w:tcW w:w="754" w:type="pct"/>
                  <w:tcBorders>
                    <w:tl2br w:val="nil"/>
                    <w:tr2bl w:val="nil"/>
                  </w:tcBorders>
                  <w:shd w:val="clear" w:color="auto" w:fill="auto"/>
                  <w:noWrap w:val="0"/>
                  <w:vAlign w:val="center"/>
                </w:tcPr>
                <w:p w14:paraId="67D9489C">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53.7</w:t>
                  </w:r>
                </w:p>
              </w:tc>
              <w:tc>
                <w:tcPr>
                  <w:tcW w:w="755" w:type="pct"/>
                  <w:tcBorders>
                    <w:tl2br w:val="nil"/>
                    <w:tr2bl w:val="nil"/>
                  </w:tcBorders>
                  <w:shd w:val="clear" w:color="auto" w:fill="auto"/>
                  <w:noWrap w:val="0"/>
                  <w:vAlign w:val="center"/>
                </w:tcPr>
                <w:p w14:paraId="4D459D98">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46.1</w:t>
                  </w:r>
                </w:p>
              </w:tc>
              <w:tc>
                <w:tcPr>
                  <w:tcW w:w="755" w:type="pct"/>
                  <w:vMerge w:val="continue"/>
                  <w:tcBorders>
                    <w:tl2br w:val="nil"/>
                    <w:tr2bl w:val="nil"/>
                  </w:tcBorders>
                  <w:shd w:val="clear" w:color="auto" w:fill="auto"/>
                  <w:noWrap w:val="0"/>
                  <w:vAlign w:val="center"/>
                </w:tcPr>
                <w:p w14:paraId="39B7BBDB">
                  <w:pPr>
                    <w:widowControl/>
                    <w:jc w:val="center"/>
                    <w:textAlignment w:val="center"/>
                    <w:rPr>
                      <w:rFonts w:hint="eastAsia" w:ascii="Times New Roman" w:hAnsi="Times New Roman" w:eastAsia="宋体" w:cs="Times New Roman"/>
                      <w:szCs w:val="21"/>
                      <w:lang w:val="en-US" w:eastAsia="zh-CN"/>
                    </w:rPr>
                  </w:pPr>
                </w:p>
              </w:tc>
              <w:tc>
                <w:tcPr>
                  <w:tcW w:w="755" w:type="pct"/>
                  <w:vMerge w:val="continue"/>
                  <w:tcBorders>
                    <w:tl2br w:val="nil"/>
                    <w:tr2bl w:val="nil"/>
                  </w:tcBorders>
                  <w:shd w:val="clear" w:color="auto" w:fill="auto"/>
                  <w:noWrap w:val="0"/>
                  <w:vAlign w:val="center"/>
                </w:tcPr>
                <w:p w14:paraId="6C826CA3">
                  <w:pPr>
                    <w:widowControl/>
                    <w:jc w:val="center"/>
                    <w:textAlignment w:val="center"/>
                    <w:rPr>
                      <w:rFonts w:hint="eastAsia" w:ascii="Times New Roman" w:hAnsi="Times New Roman" w:eastAsia="宋体" w:cs="Times New Roman"/>
                      <w:szCs w:val="21"/>
                      <w:lang w:val="en-US" w:eastAsia="zh-CN"/>
                    </w:rPr>
                  </w:pPr>
                </w:p>
              </w:tc>
            </w:tr>
            <w:tr w14:paraId="59BC30A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567" w:hRule="atLeast"/>
                <w:jc w:val="center"/>
              </w:trPr>
              <w:tc>
                <w:tcPr>
                  <w:tcW w:w="784" w:type="pct"/>
                  <w:vMerge w:val="continue"/>
                  <w:tcBorders>
                    <w:tl2br w:val="nil"/>
                    <w:tr2bl w:val="nil"/>
                  </w:tcBorders>
                  <w:shd w:val="clear" w:color="auto" w:fill="auto"/>
                  <w:noWrap w:val="0"/>
                  <w:vAlign w:val="center"/>
                </w:tcPr>
                <w:p w14:paraId="6AACD608">
                  <w:pPr>
                    <w:widowControl/>
                    <w:jc w:val="center"/>
                    <w:textAlignment w:val="center"/>
                    <w:rPr>
                      <w:rFonts w:hint="default" w:ascii="Times New Roman" w:hAnsi="Times New Roman" w:eastAsia="宋体" w:cs="Times New Roman"/>
                      <w:szCs w:val="21"/>
                      <w:lang w:val="en-US" w:eastAsia="zh-CN"/>
                    </w:rPr>
                  </w:pPr>
                </w:p>
              </w:tc>
              <w:tc>
                <w:tcPr>
                  <w:tcW w:w="1194" w:type="pct"/>
                  <w:tcBorders>
                    <w:tl2br w:val="nil"/>
                    <w:tr2bl w:val="nil"/>
                  </w:tcBorders>
                  <w:shd w:val="clear" w:color="auto" w:fill="auto"/>
                  <w:noWrap w:val="0"/>
                  <w:vAlign w:val="center"/>
                </w:tcPr>
                <w:p w14:paraId="6DC3D080">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东北</w:t>
                  </w:r>
                  <w:r>
                    <w:rPr>
                      <w:rFonts w:hint="default" w:ascii="Times New Roman" w:hAnsi="Times New Roman" w:eastAsia="宋体" w:cs="Times New Roman"/>
                      <w:szCs w:val="21"/>
                      <w:lang w:val="en-US" w:eastAsia="zh-CN"/>
                    </w:rPr>
                    <w:t>侧</w:t>
                  </w:r>
                  <w:r>
                    <w:rPr>
                      <w:rFonts w:hint="eastAsia" w:ascii="Times New Roman" w:hAnsi="Times New Roman" w:eastAsia="宋体" w:cs="Times New Roman"/>
                      <w:szCs w:val="21"/>
                      <w:lang w:val="en-US" w:eastAsia="zh-CN"/>
                    </w:rPr>
                    <w:t>厂界</w:t>
                  </w:r>
                  <w:r>
                    <w:rPr>
                      <w:rFonts w:hint="default" w:ascii="Times New Roman" w:hAnsi="Times New Roman" w:eastAsia="宋体" w:cs="Times New Roman"/>
                      <w:szCs w:val="21"/>
                      <w:lang w:val="en-US" w:eastAsia="zh-CN"/>
                    </w:rPr>
                    <w:t>外</w:t>
                  </w:r>
                  <w:r>
                    <w:rPr>
                      <w:rFonts w:hint="eastAsia" w:ascii="Times New Roman" w:hAnsi="Times New Roman" w:eastAsia="宋体" w:cs="Times New Roman"/>
                      <w:szCs w:val="21"/>
                      <w:lang w:val="en-US" w:eastAsia="zh-CN"/>
                    </w:rPr>
                    <w:t>1</w:t>
                  </w:r>
                  <w:r>
                    <w:rPr>
                      <w:rFonts w:hint="default" w:ascii="Times New Roman" w:hAnsi="Times New Roman" w:eastAsia="宋体" w:cs="Times New Roman"/>
                      <w:szCs w:val="21"/>
                      <w:lang w:val="en-US" w:eastAsia="zh-CN"/>
                    </w:rPr>
                    <w:t>米N</w:t>
                  </w:r>
                  <w:r>
                    <w:rPr>
                      <w:rFonts w:hint="eastAsia" w:ascii="Times New Roman" w:hAnsi="Times New Roman" w:eastAsia="宋体" w:cs="Times New Roman"/>
                      <w:szCs w:val="21"/>
                      <w:lang w:val="en-US" w:eastAsia="zh-CN"/>
                    </w:rPr>
                    <w:t>3</w:t>
                  </w:r>
                </w:p>
              </w:tc>
              <w:tc>
                <w:tcPr>
                  <w:tcW w:w="754" w:type="pct"/>
                  <w:tcBorders>
                    <w:tl2br w:val="nil"/>
                    <w:tr2bl w:val="nil"/>
                  </w:tcBorders>
                  <w:shd w:val="clear" w:color="auto" w:fill="auto"/>
                  <w:noWrap w:val="0"/>
                  <w:vAlign w:val="center"/>
                </w:tcPr>
                <w:p w14:paraId="3E246043">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58.1</w:t>
                  </w:r>
                </w:p>
              </w:tc>
              <w:tc>
                <w:tcPr>
                  <w:tcW w:w="755" w:type="pct"/>
                  <w:tcBorders>
                    <w:tl2br w:val="nil"/>
                    <w:tr2bl w:val="nil"/>
                  </w:tcBorders>
                  <w:shd w:val="clear" w:color="auto" w:fill="auto"/>
                  <w:noWrap w:val="0"/>
                  <w:vAlign w:val="center"/>
                </w:tcPr>
                <w:p w14:paraId="5A5C929B">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46.4</w:t>
                  </w:r>
                </w:p>
              </w:tc>
              <w:tc>
                <w:tcPr>
                  <w:tcW w:w="755" w:type="pct"/>
                  <w:vMerge w:val="continue"/>
                  <w:tcBorders>
                    <w:tl2br w:val="nil"/>
                    <w:tr2bl w:val="nil"/>
                  </w:tcBorders>
                  <w:shd w:val="clear" w:color="auto" w:fill="auto"/>
                  <w:noWrap w:val="0"/>
                  <w:vAlign w:val="center"/>
                </w:tcPr>
                <w:p w14:paraId="6146631C">
                  <w:pPr>
                    <w:widowControl/>
                    <w:jc w:val="center"/>
                    <w:textAlignment w:val="center"/>
                    <w:rPr>
                      <w:rFonts w:hint="eastAsia" w:ascii="Times New Roman" w:hAnsi="Times New Roman" w:eastAsia="宋体" w:cs="Times New Roman"/>
                      <w:szCs w:val="21"/>
                      <w:lang w:val="en-US" w:eastAsia="zh-CN"/>
                    </w:rPr>
                  </w:pPr>
                </w:p>
              </w:tc>
              <w:tc>
                <w:tcPr>
                  <w:tcW w:w="755" w:type="pct"/>
                  <w:vMerge w:val="continue"/>
                  <w:tcBorders>
                    <w:tl2br w:val="nil"/>
                    <w:tr2bl w:val="nil"/>
                  </w:tcBorders>
                  <w:shd w:val="clear" w:color="auto" w:fill="auto"/>
                  <w:noWrap w:val="0"/>
                  <w:vAlign w:val="center"/>
                </w:tcPr>
                <w:p w14:paraId="602082AA">
                  <w:pPr>
                    <w:widowControl/>
                    <w:jc w:val="center"/>
                    <w:textAlignment w:val="center"/>
                    <w:rPr>
                      <w:rFonts w:hint="eastAsia" w:ascii="Times New Roman" w:hAnsi="Times New Roman" w:eastAsia="宋体" w:cs="Times New Roman"/>
                      <w:szCs w:val="21"/>
                      <w:lang w:val="en-US" w:eastAsia="zh-CN"/>
                    </w:rPr>
                  </w:pPr>
                </w:p>
              </w:tc>
            </w:tr>
            <w:tr w14:paraId="0B5667A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PrEx>
              <w:trPr>
                <w:cantSplit/>
                <w:trHeight w:val="567" w:hRule="atLeast"/>
                <w:jc w:val="center"/>
              </w:trPr>
              <w:tc>
                <w:tcPr>
                  <w:tcW w:w="784" w:type="pct"/>
                  <w:vMerge w:val="continue"/>
                  <w:tcBorders>
                    <w:tl2br w:val="nil"/>
                    <w:tr2bl w:val="nil"/>
                  </w:tcBorders>
                  <w:shd w:val="clear" w:color="auto" w:fill="auto"/>
                  <w:noWrap w:val="0"/>
                  <w:vAlign w:val="center"/>
                </w:tcPr>
                <w:p w14:paraId="0BD061DB">
                  <w:pPr>
                    <w:widowControl/>
                    <w:jc w:val="center"/>
                    <w:textAlignment w:val="center"/>
                    <w:rPr>
                      <w:rFonts w:hint="default" w:ascii="Times New Roman" w:hAnsi="Times New Roman" w:eastAsia="宋体" w:cs="Times New Roman"/>
                      <w:szCs w:val="21"/>
                      <w:lang w:val="en-US" w:eastAsia="zh-CN"/>
                    </w:rPr>
                  </w:pPr>
                </w:p>
              </w:tc>
              <w:tc>
                <w:tcPr>
                  <w:tcW w:w="1194" w:type="pct"/>
                  <w:tcBorders>
                    <w:tl2br w:val="nil"/>
                    <w:tr2bl w:val="nil"/>
                  </w:tcBorders>
                  <w:shd w:val="clear" w:color="auto" w:fill="auto"/>
                  <w:noWrap w:val="0"/>
                  <w:vAlign w:val="center"/>
                </w:tcPr>
                <w:p w14:paraId="374B9021">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西北侧厂界</w:t>
                  </w:r>
                  <w:r>
                    <w:rPr>
                      <w:rFonts w:hint="default" w:ascii="Times New Roman" w:hAnsi="Times New Roman" w:eastAsia="宋体" w:cs="Times New Roman"/>
                      <w:szCs w:val="21"/>
                      <w:lang w:val="en-US" w:eastAsia="zh-CN"/>
                    </w:rPr>
                    <w:t>外</w:t>
                  </w:r>
                  <w:r>
                    <w:rPr>
                      <w:rFonts w:hint="eastAsia" w:ascii="Times New Roman" w:hAnsi="Times New Roman" w:eastAsia="宋体" w:cs="Times New Roman"/>
                      <w:szCs w:val="21"/>
                      <w:lang w:val="en-US" w:eastAsia="zh-CN"/>
                    </w:rPr>
                    <w:t>1</w:t>
                  </w:r>
                  <w:r>
                    <w:rPr>
                      <w:rFonts w:hint="default" w:ascii="Times New Roman" w:hAnsi="Times New Roman" w:eastAsia="宋体" w:cs="Times New Roman"/>
                      <w:szCs w:val="21"/>
                      <w:lang w:val="en-US" w:eastAsia="zh-CN"/>
                    </w:rPr>
                    <w:t>米N</w:t>
                  </w:r>
                  <w:r>
                    <w:rPr>
                      <w:rFonts w:hint="eastAsia" w:ascii="Times New Roman" w:hAnsi="Times New Roman" w:eastAsia="宋体" w:cs="Times New Roman"/>
                      <w:szCs w:val="21"/>
                      <w:lang w:val="en-US" w:eastAsia="zh-CN"/>
                    </w:rPr>
                    <w:t>4</w:t>
                  </w:r>
                </w:p>
              </w:tc>
              <w:tc>
                <w:tcPr>
                  <w:tcW w:w="754" w:type="pct"/>
                  <w:tcBorders>
                    <w:tl2br w:val="nil"/>
                    <w:tr2bl w:val="nil"/>
                  </w:tcBorders>
                  <w:shd w:val="clear" w:color="auto" w:fill="auto"/>
                  <w:noWrap w:val="0"/>
                  <w:vAlign w:val="center"/>
                </w:tcPr>
                <w:p w14:paraId="61445A42">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53.6</w:t>
                  </w:r>
                </w:p>
              </w:tc>
              <w:tc>
                <w:tcPr>
                  <w:tcW w:w="755" w:type="pct"/>
                  <w:tcBorders>
                    <w:tl2br w:val="nil"/>
                    <w:tr2bl w:val="nil"/>
                  </w:tcBorders>
                  <w:shd w:val="clear" w:color="auto" w:fill="auto"/>
                  <w:noWrap w:val="0"/>
                  <w:vAlign w:val="center"/>
                </w:tcPr>
                <w:p w14:paraId="0EC0D55D">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45.3</w:t>
                  </w:r>
                </w:p>
              </w:tc>
              <w:tc>
                <w:tcPr>
                  <w:tcW w:w="755" w:type="pct"/>
                  <w:vMerge w:val="continue"/>
                  <w:tcBorders>
                    <w:tl2br w:val="nil"/>
                    <w:tr2bl w:val="nil"/>
                  </w:tcBorders>
                  <w:shd w:val="clear" w:color="auto" w:fill="auto"/>
                  <w:noWrap w:val="0"/>
                  <w:vAlign w:val="center"/>
                </w:tcPr>
                <w:p w14:paraId="13D366FD">
                  <w:pPr>
                    <w:widowControl/>
                    <w:jc w:val="center"/>
                    <w:textAlignment w:val="center"/>
                    <w:rPr>
                      <w:rFonts w:hint="eastAsia" w:ascii="Times New Roman" w:hAnsi="Times New Roman" w:eastAsia="宋体" w:cs="Times New Roman"/>
                      <w:szCs w:val="21"/>
                      <w:lang w:val="en-US" w:eastAsia="zh-CN"/>
                    </w:rPr>
                  </w:pPr>
                </w:p>
              </w:tc>
              <w:tc>
                <w:tcPr>
                  <w:tcW w:w="755" w:type="pct"/>
                  <w:vMerge w:val="continue"/>
                  <w:tcBorders>
                    <w:tl2br w:val="nil"/>
                    <w:tr2bl w:val="nil"/>
                  </w:tcBorders>
                  <w:shd w:val="clear" w:color="auto" w:fill="auto"/>
                  <w:noWrap w:val="0"/>
                  <w:vAlign w:val="center"/>
                </w:tcPr>
                <w:p w14:paraId="5A322240">
                  <w:pPr>
                    <w:widowControl/>
                    <w:jc w:val="center"/>
                    <w:textAlignment w:val="center"/>
                    <w:rPr>
                      <w:rFonts w:hint="eastAsia" w:ascii="Times New Roman" w:hAnsi="Times New Roman" w:eastAsia="宋体" w:cs="Times New Roman"/>
                      <w:szCs w:val="21"/>
                      <w:lang w:val="en-US" w:eastAsia="zh-CN"/>
                    </w:rPr>
                  </w:pPr>
                </w:p>
              </w:tc>
            </w:tr>
            <w:tr w14:paraId="6D1C9FB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567" w:hRule="atLeast"/>
                <w:jc w:val="center"/>
              </w:trPr>
              <w:tc>
                <w:tcPr>
                  <w:tcW w:w="784" w:type="pct"/>
                  <w:vMerge w:val="continue"/>
                  <w:tcBorders>
                    <w:tl2br w:val="nil"/>
                    <w:tr2bl w:val="nil"/>
                  </w:tcBorders>
                  <w:shd w:val="clear" w:color="auto" w:fill="auto"/>
                  <w:noWrap w:val="0"/>
                  <w:vAlign w:val="center"/>
                </w:tcPr>
                <w:p w14:paraId="2AAE8BF6">
                  <w:pPr>
                    <w:widowControl/>
                    <w:jc w:val="center"/>
                    <w:textAlignment w:val="center"/>
                    <w:rPr>
                      <w:rFonts w:hint="default" w:ascii="Times New Roman" w:hAnsi="Times New Roman" w:eastAsia="宋体" w:cs="Times New Roman"/>
                      <w:szCs w:val="21"/>
                      <w:lang w:val="en-US" w:eastAsia="zh-CN"/>
                    </w:rPr>
                  </w:pPr>
                </w:p>
              </w:tc>
              <w:tc>
                <w:tcPr>
                  <w:tcW w:w="1194" w:type="pct"/>
                  <w:tcBorders>
                    <w:tl2br w:val="nil"/>
                    <w:tr2bl w:val="nil"/>
                  </w:tcBorders>
                  <w:shd w:val="clear" w:color="auto" w:fill="auto"/>
                  <w:noWrap w:val="0"/>
                  <w:vAlign w:val="center"/>
                </w:tcPr>
                <w:p w14:paraId="0BD732D0">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东侧丽山村N5</w:t>
                  </w:r>
                </w:p>
              </w:tc>
              <w:tc>
                <w:tcPr>
                  <w:tcW w:w="754" w:type="pct"/>
                  <w:tcBorders>
                    <w:tl2br w:val="nil"/>
                    <w:tr2bl w:val="nil"/>
                  </w:tcBorders>
                  <w:shd w:val="clear" w:color="auto" w:fill="auto"/>
                  <w:noWrap w:val="0"/>
                  <w:vAlign w:val="center"/>
                </w:tcPr>
                <w:p w14:paraId="7C8A110C">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54.8</w:t>
                  </w:r>
                </w:p>
              </w:tc>
              <w:tc>
                <w:tcPr>
                  <w:tcW w:w="755" w:type="pct"/>
                  <w:tcBorders>
                    <w:tl2br w:val="nil"/>
                    <w:tr2bl w:val="nil"/>
                  </w:tcBorders>
                  <w:shd w:val="clear" w:color="auto" w:fill="auto"/>
                  <w:noWrap w:val="0"/>
                  <w:vAlign w:val="center"/>
                </w:tcPr>
                <w:p w14:paraId="277E74BB">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45.5</w:t>
                  </w:r>
                </w:p>
              </w:tc>
              <w:tc>
                <w:tcPr>
                  <w:tcW w:w="755" w:type="pct"/>
                  <w:vMerge w:val="continue"/>
                  <w:tcBorders>
                    <w:tl2br w:val="nil"/>
                    <w:tr2bl w:val="nil"/>
                  </w:tcBorders>
                  <w:shd w:val="clear" w:color="auto" w:fill="auto"/>
                  <w:noWrap w:val="0"/>
                  <w:vAlign w:val="center"/>
                </w:tcPr>
                <w:p w14:paraId="19A1157B">
                  <w:pPr>
                    <w:widowControl/>
                    <w:jc w:val="center"/>
                    <w:textAlignment w:val="center"/>
                    <w:rPr>
                      <w:rFonts w:hint="eastAsia" w:ascii="Times New Roman" w:hAnsi="Times New Roman" w:eastAsia="宋体" w:cs="Times New Roman"/>
                      <w:szCs w:val="21"/>
                      <w:lang w:val="en-US" w:eastAsia="zh-CN"/>
                    </w:rPr>
                  </w:pPr>
                </w:p>
              </w:tc>
              <w:tc>
                <w:tcPr>
                  <w:tcW w:w="755" w:type="pct"/>
                  <w:vMerge w:val="continue"/>
                  <w:tcBorders>
                    <w:tl2br w:val="nil"/>
                    <w:tr2bl w:val="nil"/>
                  </w:tcBorders>
                  <w:shd w:val="clear" w:color="auto" w:fill="auto"/>
                  <w:noWrap w:val="0"/>
                  <w:vAlign w:val="center"/>
                </w:tcPr>
                <w:p w14:paraId="06AC3CF8">
                  <w:pPr>
                    <w:widowControl/>
                    <w:jc w:val="center"/>
                    <w:textAlignment w:val="center"/>
                    <w:rPr>
                      <w:rFonts w:hint="eastAsia" w:ascii="Times New Roman" w:hAnsi="Times New Roman" w:eastAsia="宋体" w:cs="Times New Roman"/>
                      <w:szCs w:val="21"/>
                      <w:lang w:val="en-US" w:eastAsia="zh-CN"/>
                    </w:rPr>
                  </w:pPr>
                </w:p>
              </w:tc>
            </w:tr>
          </w:tbl>
          <w:p w14:paraId="4CC9F263">
            <w:pPr>
              <w:rPr>
                <w:rFonts w:hint="default"/>
                <w:lang w:val="en-US" w:eastAsia="zh-CN"/>
              </w:rPr>
            </w:pPr>
          </w:p>
          <w:p w14:paraId="24AB9DB7">
            <w:pPr>
              <w:pStyle w:val="151"/>
              <w:ind w:firstLine="560"/>
              <w:rPr>
                <w:rFonts w:hint="default" w:ascii="Times New Roman" w:hAnsi="Times New Roman" w:eastAsia="宋体" w:cs="Times New Roman"/>
                <w:b w:val="0"/>
                <w:bCs w:val="0"/>
                <w:snapToGrid/>
                <w:color w:val="auto"/>
                <w:kern w:val="28"/>
                <w:sz w:val="24"/>
                <w:szCs w:val="22"/>
                <w:highlight w:val="none"/>
                <w:u w:val="none"/>
                <w:lang w:val="en-US" w:eastAsia="zh-CN" w:bidi="ar-SA"/>
              </w:rPr>
            </w:pPr>
            <w:r>
              <w:rPr>
                <w:rFonts w:hint="eastAsia" w:ascii="Times New Roman" w:hAnsi="Times New Roman" w:eastAsia="宋体" w:cs="Times New Roman"/>
                <w:b w:val="0"/>
                <w:bCs w:val="0"/>
                <w:snapToGrid/>
                <w:color w:val="auto"/>
                <w:kern w:val="28"/>
                <w:sz w:val="24"/>
                <w:szCs w:val="22"/>
                <w:highlight w:val="none"/>
                <w:u w:val="none"/>
                <w:lang w:val="en-US" w:eastAsia="zh-CN" w:bidi="ar-SA"/>
              </w:rPr>
              <w:t>（4）固废</w:t>
            </w:r>
          </w:p>
          <w:p w14:paraId="3C2AE5E5">
            <w:pPr>
              <w:pStyle w:val="88"/>
              <w:ind w:firstLine="480"/>
              <w:rPr>
                <w:rFonts w:hint="eastAsia" w:ascii="Times New Roman" w:hAnsi="Times New Roman" w:eastAsia="宋体" w:cs="Times New Roman"/>
                <w:b w:val="0"/>
                <w:bCs w:val="0"/>
                <w:snapToGrid/>
                <w:color w:val="auto"/>
                <w:kern w:val="28"/>
                <w:sz w:val="24"/>
                <w:szCs w:val="22"/>
                <w:highlight w:val="none"/>
                <w:u w:val="none"/>
                <w:lang w:val="en-US" w:eastAsia="zh-CN" w:bidi="ar-SA"/>
              </w:rPr>
            </w:pPr>
            <w:r>
              <w:rPr>
                <w:rFonts w:hint="eastAsia" w:ascii="Times New Roman" w:hAnsi="Times New Roman" w:eastAsia="宋体" w:cs="Times New Roman"/>
                <w:b w:val="0"/>
                <w:bCs w:val="0"/>
                <w:snapToGrid/>
                <w:color w:val="auto"/>
                <w:kern w:val="28"/>
                <w:sz w:val="24"/>
                <w:szCs w:val="22"/>
                <w:highlight w:val="none"/>
                <w:u w:val="none"/>
                <w:lang w:val="en-US" w:eastAsia="zh-CN" w:bidi="ar-SA"/>
              </w:rPr>
              <w:t>现有项目工程产生的固体废物主要为废边角料和生活垃圾。根据建设单位提供的统计资料及现场调查，项目固体废物产生及处置情况见表</w:t>
            </w:r>
          </w:p>
          <w:p w14:paraId="6912F1BE">
            <w:pPr>
              <w:pStyle w:val="42"/>
              <w:tabs>
                <w:tab w:val="left" w:pos="0"/>
                <w:tab w:val="clear" w:pos="420"/>
              </w:tabs>
              <w:bidi w:val="0"/>
              <w:rPr>
                <w:rFonts w:hint="default" w:ascii="Times New Roman" w:hAnsi="Times New Roman" w:eastAsia="宋体" w:cs="Times New Roman"/>
                <w:color w:val="auto"/>
                <w:highlight w:val="none"/>
                <w:u w:val="none" w:color="auto"/>
                <w:lang w:val="en-US" w:eastAsia="en-US"/>
              </w:rPr>
            </w:pPr>
            <w:r>
              <w:rPr>
                <w:rFonts w:hint="default" w:ascii="Times New Roman" w:hAnsi="Times New Roman" w:eastAsia="宋体" w:cs="Times New Roman"/>
                <w:color w:val="auto"/>
                <w:highlight w:val="none"/>
                <w:u w:val="none" w:color="auto"/>
                <w:lang w:val="en-US" w:eastAsia="en-US"/>
              </w:rPr>
              <w:t>项目固体废物产生及排放情况</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321"/>
              <w:gridCol w:w="1186"/>
              <w:gridCol w:w="1545"/>
              <w:gridCol w:w="1313"/>
              <w:gridCol w:w="1342"/>
              <w:gridCol w:w="983"/>
              <w:gridCol w:w="1112"/>
            </w:tblGrid>
            <w:tr w14:paraId="7090722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1" w:hRule="atLeast"/>
                <w:jc w:val="center"/>
              </w:trPr>
              <w:tc>
                <w:tcPr>
                  <w:tcW w:w="750" w:type="pct"/>
                  <w:noWrap w:val="0"/>
                  <w:vAlign w:val="center"/>
                </w:tcPr>
                <w:p w14:paraId="44063F2D">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名称</w:t>
                  </w:r>
                </w:p>
              </w:tc>
              <w:tc>
                <w:tcPr>
                  <w:tcW w:w="673" w:type="pct"/>
                  <w:noWrap w:val="0"/>
                  <w:vAlign w:val="center"/>
                </w:tcPr>
                <w:p w14:paraId="08A38F2A">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产生工序</w:t>
                  </w:r>
                </w:p>
              </w:tc>
              <w:tc>
                <w:tcPr>
                  <w:tcW w:w="877" w:type="pct"/>
                  <w:noWrap w:val="0"/>
                  <w:vAlign w:val="center"/>
                </w:tcPr>
                <w:p w14:paraId="0B4CFE35">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主要成分</w:t>
                  </w:r>
                </w:p>
              </w:tc>
              <w:tc>
                <w:tcPr>
                  <w:tcW w:w="745" w:type="pct"/>
                  <w:noWrap w:val="0"/>
                  <w:vAlign w:val="center"/>
                </w:tcPr>
                <w:p w14:paraId="105C4050">
                  <w:pPr>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val="en-US" w:eastAsia="zh-CN"/>
                    </w:rPr>
                    <w:t>属性</w:t>
                  </w:r>
                </w:p>
              </w:tc>
              <w:tc>
                <w:tcPr>
                  <w:tcW w:w="762" w:type="pct"/>
                  <w:noWrap w:val="0"/>
                  <w:vAlign w:val="center"/>
                </w:tcPr>
                <w:p w14:paraId="138C981E">
                  <w:pPr>
                    <w:pStyle w:val="156"/>
                    <w:ind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废物代码</w:t>
                  </w:r>
                </w:p>
              </w:tc>
              <w:tc>
                <w:tcPr>
                  <w:tcW w:w="558" w:type="pct"/>
                  <w:noWrap w:val="0"/>
                  <w:vAlign w:val="center"/>
                </w:tcPr>
                <w:p w14:paraId="56A6FAF8">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产生量（t/a）</w:t>
                  </w:r>
                </w:p>
              </w:tc>
              <w:tc>
                <w:tcPr>
                  <w:tcW w:w="631" w:type="pct"/>
                  <w:noWrap w:val="0"/>
                  <w:vAlign w:val="center"/>
                </w:tcPr>
                <w:p w14:paraId="2AA8310F">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处置去向</w:t>
                  </w:r>
                </w:p>
              </w:tc>
            </w:tr>
            <w:tr w14:paraId="6AFF1B5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7" w:hRule="atLeast"/>
                <w:jc w:val="center"/>
              </w:trPr>
              <w:tc>
                <w:tcPr>
                  <w:tcW w:w="750" w:type="pct"/>
                  <w:noWrap w:val="0"/>
                  <w:vAlign w:val="center"/>
                </w:tcPr>
                <w:p w14:paraId="7E0F7ACA">
                  <w:pPr>
                    <w:pStyle w:val="156"/>
                    <w:ind w:firstLine="0" w:firstLineChars="0"/>
                    <w:jc w:val="center"/>
                    <w:rPr>
                      <w:rFonts w:hint="default" w:ascii="Times New Roman" w:hAnsi="Times New Roman" w:eastAsia="宋体" w:cs="Times New Roman"/>
                      <w:color w:val="000000"/>
                      <w:sz w:val="21"/>
                      <w:szCs w:val="21"/>
                      <w:lang w:val="en-US" w:eastAsia="zh-CN"/>
                    </w:rPr>
                  </w:pPr>
                  <w:r>
                    <w:rPr>
                      <w:color w:val="000000"/>
                      <w:sz w:val="21"/>
                      <w:szCs w:val="21"/>
                    </w:rPr>
                    <w:t>边角料</w:t>
                  </w:r>
                </w:p>
              </w:tc>
              <w:tc>
                <w:tcPr>
                  <w:tcW w:w="673" w:type="pct"/>
                  <w:noWrap w:val="0"/>
                  <w:vAlign w:val="center"/>
                </w:tcPr>
                <w:p w14:paraId="317BC4DE">
                  <w:pPr>
                    <w:pStyle w:val="156"/>
                    <w:ind w:firstLine="0" w:firstLineChars="0"/>
                    <w:jc w:val="center"/>
                    <w:rPr>
                      <w:rFonts w:hint="default" w:ascii="Times New Roman" w:hAnsi="Times New Roman" w:eastAsia="宋体" w:cs="Times New Roman"/>
                      <w:color w:val="000000"/>
                      <w:sz w:val="21"/>
                      <w:szCs w:val="21"/>
                      <w:lang w:val="en-US" w:eastAsia="zh-CN"/>
                    </w:rPr>
                  </w:pPr>
                  <w:r>
                    <w:rPr>
                      <w:rFonts w:hint="eastAsia"/>
                      <w:color w:val="000000"/>
                      <w:sz w:val="21"/>
                      <w:szCs w:val="21"/>
                    </w:rPr>
                    <w:t>固态</w:t>
                  </w:r>
                </w:p>
              </w:tc>
              <w:tc>
                <w:tcPr>
                  <w:tcW w:w="877" w:type="pct"/>
                  <w:noWrap w:val="0"/>
                  <w:vAlign w:val="center"/>
                </w:tcPr>
                <w:p w14:paraId="464C3A96">
                  <w:pPr>
                    <w:pStyle w:val="156"/>
                    <w:ind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水泥、石灰等</w:t>
                  </w:r>
                </w:p>
              </w:tc>
              <w:tc>
                <w:tcPr>
                  <w:tcW w:w="745" w:type="pct"/>
                  <w:noWrap w:val="0"/>
                  <w:vAlign w:val="center"/>
                </w:tcPr>
                <w:p w14:paraId="546D84EA">
                  <w:pPr>
                    <w:pStyle w:val="156"/>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u w:val="none" w:color="auto"/>
                      <w:lang w:val="en-US" w:eastAsia="zh-CN"/>
                    </w:rPr>
                    <w:t>一般废物</w:t>
                  </w:r>
                </w:p>
              </w:tc>
              <w:tc>
                <w:tcPr>
                  <w:tcW w:w="762" w:type="pct"/>
                  <w:noWrap w:val="0"/>
                  <w:vAlign w:val="center"/>
                </w:tcPr>
                <w:p w14:paraId="14ABD15A">
                  <w:pPr>
                    <w:pStyle w:val="157"/>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color w:val="000000"/>
                      <w:kern w:val="0"/>
                      <w:sz w:val="21"/>
                      <w:szCs w:val="21"/>
                      <w:u w:val="none" w:color="auto"/>
                      <w:lang w:val="en-US" w:eastAsia="zh-CN" w:bidi="ar-SA"/>
                    </w:rPr>
                  </w:pPr>
                  <w:r>
                    <w:rPr>
                      <w:rFonts w:hint="default" w:ascii="Times New Roman" w:hAnsi="Times New Roman" w:eastAsia="宋体" w:cs="Times New Roman"/>
                      <w:color w:val="000000"/>
                      <w:sz w:val="21"/>
                      <w:szCs w:val="21"/>
                      <w:lang w:val="en-US" w:eastAsia="zh-CN"/>
                    </w:rPr>
                    <w:t>900-999</w:t>
                  </w:r>
                  <w:r>
                    <w:rPr>
                      <w:rFonts w:hint="eastAsia" w:ascii="Times New Roman" w:hAnsi="Times New Roman" w:eastAsia="宋体" w:cs="Times New Roman"/>
                      <w:color w:val="000000"/>
                      <w:sz w:val="21"/>
                      <w:szCs w:val="21"/>
                      <w:lang w:val="en-US" w:eastAsia="zh-CN"/>
                    </w:rPr>
                    <w:t>-99</w:t>
                  </w:r>
                </w:p>
              </w:tc>
              <w:tc>
                <w:tcPr>
                  <w:tcW w:w="558" w:type="pct"/>
                  <w:noWrap w:val="0"/>
                  <w:vAlign w:val="center"/>
                </w:tcPr>
                <w:p w14:paraId="32BE5F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5274.1</w:t>
                  </w:r>
                </w:p>
              </w:tc>
              <w:tc>
                <w:tcPr>
                  <w:tcW w:w="631" w:type="pct"/>
                  <w:noWrap w:val="0"/>
                  <w:vAlign w:val="center"/>
                </w:tcPr>
                <w:p w14:paraId="352AD54D">
                  <w:pPr>
                    <w:spacing w:line="240" w:lineRule="auto"/>
                    <w:ind w:firstLine="0" w:firstLineChars="0"/>
                    <w:jc w:val="center"/>
                    <w:rPr>
                      <w:rFonts w:hint="default" w:ascii="Times New Roman" w:hAnsi="Times New Roman" w:eastAsia="宋体" w:cs="Times New Roman"/>
                      <w:color w:val="000000"/>
                      <w:spacing w:val="-6"/>
                      <w:kern w:val="2"/>
                      <w:sz w:val="21"/>
                      <w:szCs w:val="21"/>
                      <w:lang w:val="en-US" w:eastAsia="zh-CN" w:bidi="ar-SA"/>
                    </w:rPr>
                  </w:pPr>
                  <w:r>
                    <w:rPr>
                      <w:rFonts w:hint="eastAsia" w:ascii="Times New Roman" w:hAnsi="Times New Roman" w:eastAsia="宋体" w:cs="Times New Roman"/>
                      <w:bCs/>
                      <w:caps w:val="0"/>
                      <w:color w:val="000000"/>
                      <w:kern w:val="2"/>
                      <w:sz w:val="21"/>
                      <w:szCs w:val="21"/>
                      <w:vertAlign w:val="baseline"/>
                      <w:lang w:val="en-US" w:eastAsia="zh-CN" w:bidi="ar-SA"/>
                    </w:rPr>
                    <w:t>回用生产</w:t>
                  </w:r>
                </w:p>
              </w:tc>
            </w:tr>
            <w:tr w14:paraId="683342F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7" w:hRule="atLeast"/>
                <w:jc w:val="center"/>
              </w:trPr>
              <w:tc>
                <w:tcPr>
                  <w:tcW w:w="750" w:type="pct"/>
                  <w:noWrap w:val="0"/>
                  <w:vAlign w:val="center"/>
                </w:tcPr>
                <w:p w14:paraId="1D3F6959">
                  <w:pPr>
                    <w:pStyle w:val="156"/>
                    <w:ind w:firstLine="0" w:firstLineChars="0"/>
                    <w:jc w:val="center"/>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生活垃圾</w:t>
                  </w:r>
                </w:p>
              </w:tc>
              <w:tc>
                <w:tcPr>
                  <w:tcW w:w="673" w:type="pct"/>
                  <w:noWrap w:val="0"/>
                  <w:vAlign w:val="center"/>
                </w:tcPr>
                <w:p w14:paraId="383C1D67">
                  <w:pPr>
                    <w:pStyle w:val="156"/>
                    <w:ind w:firstLine="0" w:firstLineChars="0"/>
                    <w:jc w:val="center"/>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员工生活</w:t>
                  </w:r>
                </w:p>
              </w:tc>
              <w:tc>
                <w:tcPr>
                  <w:tcW w:w="877" w:type="pct"/>
                  <w:noWrap w:val="0"/>
                  <w:vAlign w:val="center"/>
                </w:tcPr>
                <w:p w14:paraId="2DA54324">
                  <w:pPr>
                    <w:pStyle w:val="156"/>
                    <w:ind w:firstLine="0" w:firstLineChars="0"/>
                    <w:jc w:val="center"/>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废纸张</w:t>
                  </w:r>
                  <w:r>
                    <w:rPr>
                      <w:rFonts w:hint="eastAsia" w:ascii="Times New Roman" w:hAnsi="Times New Roman" w:eastAsia="宋体" w:cs="Times New Roman"/>
                      <w:color w:val="000000"/>
                      <w:sz w:val="21"/>
                      <w:szCs w:val="21"/>
                      <w:lang w:val="en-US" w:eastAsia="zh-CN"/>
                    </w:rPr>
                    <w:t>、果皮、</w:t>
                  </w:r>
                  <w:r>
                    <w:rPr>
                      <w:rFonts w:hint="default" w:ascii="Times New Roman" w:hAnsi="Times New Roman" w:eastAsia="宋体" w:cs="Times New Roman"/>
                      <w:color w:val="000000"/>
                      <w:sz w:val="21"/>
                      <w:szCs w:val="21"/>
                      <w:lang w:val="en-US" w:eastAsia="zh-CN"/>
                    </w:rPr>
                    <w:t>包装物等</w:t>
                  </w:r>
                </w:p>
              </w:tc>
              <w:tc>
                <w:tcPr>
                  <w:tcW w:w="745" w:type="pct"/>
                  <w:noWrap w:val="0"/>
                  <w:vAlign w:val="center"/>
                </w:tcPr>
                <w:p w14:paraId="216BFC4D">
                  <w:pPr>
                    <w:pStyle w:val="156"/>
                    <w:ind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一般固废</w:t>
                  </w:r>
                </w:p>
              </w:tc>
              <w:tc>
                <w:tcPr>
                  <w:tcW w:w="762" w:type="pct"/>
                  <w:noWrap w:val="0"/>
                  <w:vAlign w:val="center"/>
                </w:tcPr>
                <w:p w14:paraId="1EAC85C3">
                  <w:pPr>
                    <w:pStyle w:val="156"/>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900-999-99</w:t>
                  </w:r>
                </w:p>
              </w:tc>
              <w:tc>
                <w:tcPr>
                  <w:tcW w:w="558" w:type="pct"/>
                  <w:noWrap w:val="0"/>
                  <w:vAlign w:val="center"/>
                </w:tcPr>
                <w:p w14:paraId="52888C7E">
                  <w:pPr>
                    <w:pStyle w:val="15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7.5</w:t>
                  </w:r>
                </w:p>
              </w:tc>
              <w:tc>
                <w:tcPr>
                  <w:tcW w:w="631" w:type="pct"/>
                  <w:noWrap w:val="0"/>
                  <w:vAlign w:val="center"/>
                </w:tcPr>
                <w:p w14:paraId="034CD5F7">
                  <w:pPr>
                    <w:spacing w:line="240" w:lineRule="auto"/>
                    <w:ind w:firstLine="0" w:firstLineChars="0"/>
                    <w:jc w:val="center"/>
                    <w:rPr>
                      <w:rFonts w:hint="default" w:ascii="Times New Roman" w:hAnsi="Times New Roman" w:eastAsia="宋体" w:cs="Times New Roman"/>
                      <w:color w:val="000000"/>
                      <w:spacing w:val="-6"/>
                      <w:kern w:val="2"/>
                      <w:sz w:val="21"/>
                      <w:szCs w:val="21"/>
                      <w:lang w:val="en-US" w:eastAsia="zh-CN" w:bidi="ar-SA"/>
                    </w:rPr>
                  </w:pPr>
                  <w:r>
                    <w:rPr>
                      <w:rFonts w:hint="eastAsia" w:ascii="Times New Roman" w:hAnsi="Times New Roman" w:eastAsia="宋体" w:cs="Times New Roman"/>
                      <w:color w:val="000000"/>
                      <w:spacing w:val="-6"/>
                      <w:sz w:val="21"/>
                      <w:szCs w:val="21"/>
                      <w:lang w:val="en-US" w:eastAsia="zh-CN"/>
                    </w:rPr>
                    <w:t>环卫部门清运</w:t>
                  </w:r>
                </w:p>
              </w:tc>
            </w:tr>
          </w:tbl>
          <w:p w14:paraId="29971443">
            <w:pPr>
              <w:pStyle w:val="5"/>
              <w:bidi w:val="0"/>
              <w:rPr>
                <w:rFonts w:hint="default"/>
                <w:lang w:val="en-US" w:eastAsia="zh-CN"/>
              </w:rPr>
            </w:pPr>
            <w:r>
              <w:rPr>
                <w:rFonts w:hint="eastAsia"/>
                <w:lang w:val="en-US" w:eastAsia="zh-CN"/>
              </w:rPr>
              <w:t>排污资料</w:t>
            </w:r>
          </w:p>
          <w:p w14:paraId="6D82D484">
            <w:pPr>
              <w:pStyle w:val="88"/>
              <w:ind w:firstLine="48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现有工程已于2022年</w:t>
            </w:r>
            <w:r>
              <w:rPr>
                <w:rFonts w:hint="eastAsia" w:eastAsia="宋体" w:cs="Times New Roman"/>
                <w:color w:val="auto"/>
                <w:highlight w:val="none"/>
                <w:lang w:val="en-US" w:eastAsia="zh-CN"/>
              </w:rPr>
              <w:t>9</w:t>
            </w:r>
            <w:r>
              <w:rPr>
                <w:rFonts w:hint="eastAsia" w:ascii="Times New Roman" w:hAnsi="Times New Roman" w:eastAsia="宋体" w:cs="Times New Roman"/>
                <w:color w:val="auto"/>
                <w:highlight w:val="none"/>
                <w:lang w:val="en-US" w:eastAsia="zh-CN"/>
              </w:rPr>
              <w:t>月取得固定污染源排污登记回执，登记编号：</w:t>
            </w:r>
            <w:r>
              <w:rPr>
                <w:rFonts w:hint="eastAsia"/>
                <w:color w:val="000000" w:themeColor="text1"/>
                <w14:textFill>
                  <w14:solidFill>
                    <w14:schemeClr w14:val="tx1"/>
                  </w14:solidFill>
                </w14:textFill>
              </w:rPr>
              <w:t>91350124MA8UJR0KX2001X</w:t>
            </w:r>
            <w:r>
              <w:rPr>
                <w:rFonts w:hint="eastAsia" w:ascii="Times New Roman" w:hAnsi="Times New Roman" w:eastAsia="宋体" w:cs="Times New Roman"/>
                <w:color w:val="auto"/>
                <w:highlight w:val="none"/>
                <w:lang w:val="en-US" w:eastAsia="zh-CN"/>
              </w:rPr>
              <w:t>，详见附件7。</w:t>
            </w:r>
          </w:p>
          <w:p w14:paraId="58CE93C4">
            <w:pPr>
              <w:pStyle w:val="5"/>
              <w:bidi w:val="0"/>
              <w:rPr>
                <w:rFonts w:hint="default"/>
                <w:lang w:val="en-US" w:eastAsia="zh-CN"/>
              </w:rPr>
            </w:pPr>
            <w:r>
              <w:rPr>
                <w:rFonts w:hint="default"/>
                <w:lang w:val="en-US" w:eastAsia="zh-CN"/>
              </w:rPr>
              <w:t>现有项目</w:t>
            </w:r>
            <w:r>
              <w:rPr>
                <w:rFonts w:hint="eastAsia"/>
                <w:lang w:val="en-US" w:eastAsia="zh-CN"/>
              </w:rPr>
              <w:t>的环保投诉情况、事故和处罚情况</w:t>
            </w:r>
          </w:p>
          <w:p w14:paraId="37BCB463">
            <w:pPr>
              <w:pStyle w:val="88"/>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eastAsia"/>
                <w:color w:val="auto"/>
                <w:highlight w:val="none"/>
                <w:lang w:val="en-US" w:eastAsia="zh-CN"/>
              </w:rPr>
            </w:pPr>
            <w:r>
              <w:rPr>
                <w:rFonts w:hint="default" w:ascii="Times New Roman" w:hAnsi="Times New Roman" w:eastAsia="宋体" w:cs="Times New Roman"/>
                <w:color w:val="auto"/>
                <w:sz w:val="24"/>
                <w:highlight w:val="none"/>
                <w:u w:val="none"/>
              </w:rPr>
              <w:t>根据建设单位了解的情况和网络查询，</w:t>
            </w:r>
            <w:r>
              <w:rPr>
                <w:rFonts w:hint="default" w:ascii="Times New Roman" w:hAnsi="Times New Roman" w:eastAsia="宋体" w:cs="Times New Roman"/>
                <w:color w:val="auto"/>
                <w:sz w:val="24"/>
                <w:szCs w:val="24"/>
                <w:highlight w:val="none"/>
                <w:u w:val="none"/>
                <w:lang w:val="en-US" w:eastAsia="zh-CN"/>
              </w:rPr>
              <w:t>项目</w:t>
            </w:r>
            <w:r>
              <w:rPr>
                <w:rFonts w:hint="default" w:ascii="Times New Roman" w:hAnsi="Times New Roman" w:eastAsia="宋体" w:cs="Times New Roman"/>
                <w:color w:val="auto"/>
                <w:sz w:val="24"/>
                <w:szCs w:val="24"/>
                <w:highlight w:val="none"/>
                <w:u w:val="none"/>
                <w:lang w:eastAsia="zh-CN"/>
              </w:rPr>
              <w:t>投产</w:t>
            </w:r>
            <w:r>
              <w:rPr>
                <w:rFonts w:hint="default" w:ascii="Times New Roman" w:hAnsi="Times New Roman" w:eastAsia="宋体" w:cs="Times New Roman"/>
                <w:color w:val="auto"/>
                <w:sz w:val="24"/>
                <w:szCs w:val="24"/>
                <w:highlight w:val="none"/>
                <w:u w:val="none"/>
                <w:lang w:val="en-US" w:eastAsia="zh-CN"/>
              </w:rPr>
              <w:t>以来，未收到周边居民及企业的环境污染投诉事件，也未受到</w:t>
            </w:r>
            <w:r>
              <w:rPr>
                <w:rFonts w:hint="default" w:ascii="Times New Roman" w:hAnsi="Times New Roman" w:eastAsia="宋体" w:cs="Times New Roman"/>
                <w:color w:val="auto"/>
                <w:sz w:val="24"/>
                <w:highlight w:val="none"/>
                <w:u w:val="none"/>
                <w:lang w:eastAsia="zh-CN"/>
              </w:rPr>
              <w:t>生态环境行政主管部门的</w:t>
            </w:r>
            <w:r>
              <w:rPr>
                <w:rFonts w:hint="default" w:ascii="Times New Roman" w:hAnsi="Times New Roman" w:eastAsia="宋体" w:cs="Times New Roman"/>
                <w:color w:val="auto"/>
                <w:sz w:val="24"/>
                <w:highlight w:val="none"/>
                <w:u w:val="none"/>
              </w:rPr>
              <w:t>处罚，</w:t>
            </w:r>
            <w:r>
              <w:rPr>
                <w:rFonts w:hint="default" w:ascii="Times New Roman" w:hAnsi="Times New Roman" w:eastAsia="宋体" w:cs="Times New Roman"/>
                <w:color w:val="auto"/>
                <w:sz w:val="24"/>
                <w:highlight w:val="none"/>
                <w:u w:val="none"/>
                <w:lang w:eastAsia="zh-CN"/>
              </w:rPr>
              <w:t>未发生环境风险事故等</w:t>
            </w:r>
            <w:r>
              <w:rPr>
                <w:rFonts w:hint="default" w:ascii="Times New Roman" w:hAnsi="Times New Roman" w:eastAsia="宋体" w:cs="Times New Roman"/>
                <w:color w:val="auto"/>
                <w:sz w:val="24"/>
                <w:highlight w:val="none"/>
                <w:u w:val="none"/>
                <w:lang w:val="en-GB"/>
              </w:rPr>
              <w:t>。</w:t>
            </w:r>
          </w:p>
          <w:p w14:paraId="071996D6">
            <w:pPr>
              <w:pStyle w:val="5"/>
              <w:bidi w:val="0"/>
              <w:rPr>
                <w:rFonts w:hint="eastAsia"/>
                <w:lang w:val="en-US" w:eastAsia="zh-CN"/>
              </w:rPr>
            </w:pPr>
            <w:r>
              <w:rPr>
                <w:rFonts w:hint="eastAsia"/>
                <w:lang w:val="en-US" w:eastAsia="zh-CN"/>
              </w:rPr>
              <w:t>现有项目存在的问题及整改意见</w:t>
            </w:r>
          </w:p>
          <w:p w14:paraId="4FF4396C">
            <w:pPr>
              <w:pStyle w:val="119"/>
              <w:ind w:left="0" w:leftChars="0" w:firstLine="480" w:firstLineChars="200"/>
              <w:rPr>
                <w:rFonts w:hint="eastAsia" w:ascii="Times New Roman" w:hAnsi="Times New Roman" w:eastAsia="宋体" w:cs="Times New Roman"/>
                <w:b w:val="0"/>
                <w:color w:val="auto"/>
                <w:kern w:val="2"/>
                <w:sz w:val="24"/>
                <w:szCs w:val="24"/>
                <w:highlight w:val="none"/>
                <w:u w:val="none"/>
                <w:lang w:val="en-US" w:eastAsia="zh-CN" w:bidi="ar-SA"/>
              </w:rPr>
            </w:pPr>
            <w:r>
              <w:rPr>
                <w:rFonts w:hint="eastAsia" w:ascii="Times New Roman" w:hAnsi="Times New Roman" w:eastAsia="宋体" w:cs="Times New Roman"/>
                <w:b w:val="0"/>
                <w:color w:val="auto"/>
                <w:kern w:val="2"/>
                <w:sz w:val="24"/>
                <w:szCs w:val="24"/>
                <w:highlight w:val="none"/>
                <w:u w:val="none"/>
                <w:lang w:val="en-US" w:eastAsia="zh-CN" w:bidi="ar-SA"/>
              </w:rPr>
              <w:t>无。</w:t>
            </w:r>
          </w:p>
          <w:p w14:paraId="4465B910">
            <w:pPr>
              <w:pStyle w:val="88"/>
              <w:ind w:firstLine="480"/>
              <w:rPr>
                <w:rFonts w:hint="eastAsia" w:ascii="Times New Roman" w:hAnsi="Times New Roman" w:eastAsia="宋体" w:cs="Times New Roman"/>
                <w:b w:val="0"/>
                <w:bCs w:val="0"/>
                <w:snapToGrid/>
                <w:color w:val="auto"/>
                <w:kern w:val="28"/>
                <w:sz w:val="24"/>
                <w:szCs w:val="22"/>
                <w:highlight w:val="none"/>
                <w:u w:val="none"/>
                <w:lang w:val="en-US" w:eastAsia="zh-CN" w:bidi="ar-SA"/>
              </w:rPr>
            </w:pPr>
          </w:p>
          <w:p w14:paraId="4CFBBA11">
            <w:pPr>
              <w:rPr>
                <w:rFonts w:hint="default"/>
                <w:lang w:val="en-US" w:eastAsia="zh-CN"/>
              </w:rPr>
            </w:pPr>
          </w:p>
        </w:tc>
      </w:tr>
    </w:tbl>
    <w:p w14:paraId="3DE04DC6">
      <w:pPr>
        <w:pStyle w:val="30"/>
        <w:jc w:val="both"/>
        <w:rPr>
          <w:rFonts w:ascii="黑体" w:hAnsi="黑体" w:eastAsia="黑体"/>
          <w:snapToGrid w:val="0"/>
          <w:color w:val="000000" w:themeColor="text1"/>
          <w:sz w:val="36"/>
          <w:szCs w:val="36"/>
          <w:highlight w:val="none"/>
          <w14:textFill>
            <w14:solidFill>
              <w14:schemeClr w14:val="tx1"/>
            </w14:solidFill>
          </w14:textFill>
        </w:rPr>
        <w:sectPr>
          <w:pgSz w:w="11905" w:h="16838"/>
          <w:pgMar w:top="1417" w:right="1417" w:bottom="1417" w:left="1417" w:header="851" w:footer="1077" w:gutter="0"/>
          <w:pgBorders>
            <w:top w:val="none" w:sz="0" w:space="0"/>
            <w:left w:val="none" w:sz="0" w:space="0"/>
            <w:bottom w:val="none" w:sz="0" w:space="0"/>
            <w:right w:val="none" w:sz="0" w:space="0"/>
          </w:pgBorders>
          <w:pgNumType w:fmt="decimal"/>
          <w:cols w:space="0" w:num="1"/>
          <w:docGrid w:linePitch="312" w:charSpace="0"/>
        </w:sectPr>
      </w:pPr>
    </w:p>
    <w:p w14:paraId="7E6354A7">
      <w:pPr>
        <w:pStyle w:val="2"/>
        <w:numPr>
          <w:ilvl w:val="0"/>
          <w:numId w:val="1"/>
        </w:numPr>
        <w:bidi w:val="0"/>
        <w:ind w:left="432" w:leftChars="0" w:hanging="432" w:firstLineChars="0"/>
        <w:rPr>
          <w:rFonts w:hint="eastAsia"/>
          <w:color w:val="000000" w:themeColor="text1"/>
          <w:highlight w:val="none"/>
          <w14:textFill>
            <w14:solidFill>
              <w14:schemeClr w14:val="tx1"/>
            </w14:solidFill>
          </w14:textFill>
        </w:rPr>
      </w:pPr>
      <w:bookmarkStart w:id="25" w:name="_Toc24049"/>
      <w:bookmarkStart w:id="26" w:name="_Toc26415"/>
      <w:bookmarkStart w:id="27" w:name="_Toc6808"/>
      <w:bookmarkStart w:id="28" w:name="_Toc19680"/>
      <w:bookmarkStart w:id="29" w:name="_Toc32468"/>
      <w:r>
        <w:rPr>
          <w:rFonts w:hint="eastAsia"/>
          <w:color w:val="000000" w:themeColor="text1"/>
          <w:highlight w:val="none"/>
          <w14:textFill>
            <w14:solidFill>
              <w14:schemeClr w14:val="tx1"/>
            </w14:solidFill>
          </w14:textFill>
        </w:rPr>
        <w:t>区域环境质量现状、环境保护目标及评价标准</w:t>
      </w:r>
      <w:bookmarkEnd w:id="25"/>
      <w:bookmarkEnd w:id="26"/>
      <w:bookmarkEnd w:id="27"/>
      <w:bookmarkEnd w:id="28"/>
      <w:bookmarkEnd w:id="29"/>
    </w:p>
    <w:tbl>
      <w:tblPr>
        <w:tblStyle w:val="32"/>
        <w:tblW w:w="92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3"/>
        <w:gridCol w:w="8864"/>
      </w:tblGrid>
      <w:tr w14:paraId="3FF3FF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6" w:type="dxa"/>
            <w:vAlign w:val="center"/>
          </w:tcPr>
          <w:p w14:paraId="004551CD">
            <w:pPr>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区域</w:t>
            </w:r>
          </w:p>
          <w:p w14:paraId="5424B324">
            <w:pPr>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环境</w:t>
            </w:r>
          </w:p>
          <w:p w14:paraId="7521AF75">
            <w:pPr>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质量</w:t>
            </w:r>
          </w:p>
          <w:p w14:paraId="5EC18EA8">
            <w:pPr>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现状</w:t>
            </w:r>
          </w:p>
        </w:tc>
        <w:tc>
          <w:tcPr>
            <w:tcW w:w="8461" w:type="dxa"/>
            <w:vAlign w:val="center"/>
          </w:tcPr>
          <w:p w14:paraId="01BA5FE6">
            <w:pPr>
              <w:pStyle w:val="3"/>
              <w:numPr>
                <w:ilvl w:val="1"/>
                <w:numId w:val="1"/>
              </w:numPr>
              <w:bidi w:val="0"/>
              <w:ind w:left="0" w:leftChars="0" w:firstLine="0" w:firstLineChars="0"/>
              <w:rPr>
                <w:color w:val="000000" w:themeColor="text1"/>
                <w:highlight w:val="none"/>
                <w14:textFill>
                  <w14:solidFill>
                    <w14:schemeClr w14:val="tx1"/>
                  </w14:solidFill>
                </w14:textFill>
              </w:rPr>
            </w:pPr>
            <w:bookmarkStart w:id="30" w:name="_Toc12042"/>
            <w:r>
              <w:rPr>
                <w:rFonts w:hint="eastAsia"/>
                <w:color w:val="000000" w:themeColor="text1"/>
                <w:highlight w:val="none"/>
                <w14:textFill>
                  <w14:solidFill>
                    <w14:schemeClr w14:val="tx1"/>
                  </w14:solidFill>
                </w14:textFill>
              </w:rPr>
              <w:t>区域环境质量现状</w:t>
            </w:r>
            <w:bookmarkEnd w:id="30"/>
          </w:p>
          <w:p w14:paraId="32A35DBB">
            <w:pPr>
              <w:pStyle w:val="4"/>
              <w:numPr>
                <w:ilvl w:val="2"/>
                <w:numId w:val="1"/>
              </w:numPr>
              <w:bidi w:val="0"/>
              <w:ind w:left="720" w:leftChars="0" w:hanging="720" w:firstLineChars="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地表水环境质量现状</w:t>
            </w:r>
          </w:p>
          <w:p w14:paraId="4EF403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1</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）地表水功能区划</w:t>
            </w:r>
          </w:p>
          <w:p w14:paraId="6719CDBB">
            <w:pPr>
              <w:pStyle w:val="44"/>
              <w:shd w:val="clear"/>
              <w:ind w:firstLine="48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项目区域附近地表水体为</w:t>
            </w:r>
            <w:r>
              <w:rPr>
                <w:rFonts w:hint="eastAsia"/>
                <w:color w:val="000000" w:themeColor="text1"/>
                <w:highlight w:val="none"/>
                <w:lang w:val="en-US" w:eastAsia="zh-CN"/>
                <w14:textFill>
                  <w14:solidFill>
                    <w14:schemeClr w14:val="tx1"/>
                  </w14:solidFill>
                </w14:textFill>
              </w:rPr>
              <w:t>梅西支流——</w:t>
            </w:r>
            <w:r>
              <w:rPr>
                <w:rFonts w:hint="eastAsia"/>
                <w:color w:val="000000" w:themeColor="text1"/>
                <w:highlight w:val="none"/>
                <w14:textFill>
                  <w14:solidFill>
                    <w14:schemeClr w14:val="tx1"/>
                  </w14:solidFill>
                </w14:textFill>
              </w:rPr>
              <w:t>芝溪。根据《福州市地表水环境功能区划划定方案》中</w:t>
            </w:r>
            <w:r>
              <w:rPr>
                <w:rFonts w:hint="eastAsia"/>
                <w:color w:val="000000" w:themeColor="text1"/>
                <w:highlight w:val="none"/>
                <w:lang w:val="en-US" w:eastAsia="zh-CN"/>
                <w14:textFill>
                  <w14:solidFill>
                    <w14:schemeClr w14:val="tx1"/>
                  </w14:solidFill>
                </w14:textFill>
              </w:rPr>
              <w:t>的规定</w:t>
            </w:r>
            <w:r>
              <w:rPr>
                <w:rFonts w:hint="eastAsia"/>
                <w:color w:val="000000" w:themeColor="text1"/>
                <w:highlight w:val="none"/>
                <w14:textFill>
                  <w14:solidFill>
                    <w14:schemeClr w14:val="tx1"/>
                  </w14:solidFill>
                </w14:textFill>
              </w:rPr>
              <w:t>，芝溪全河段的主要功能为渔业用水和农业用水，其水环境功能区划为Ⅲ类区，水质执行《地表水环境质量标准》（GB3838-2002）Ⅲ类标准</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具体详见表</w:t>
            </w:r>
            <w:r>
              <w:rPr>
                <w:rFonts w:hint="eastAsia"/>
                <w:color w:val="000000" w:themeColor="text1"/>
                <w:highlight w:val="none"/>
                <w:lang w:val="en-US" w:eastAsia="zh-CN"/>
                <w14:textFill>
                  <w14:solidFill>
                    <w14:schemeClr w14:val="tx1"/>
                  </w14:solidFill>
                </w14:textFill>
              </w:rPr>
              <w:t>3.1-1。</w:t>
            </w:r>
          </w:p>
          <w:p w14:paraId="2C3BB64A">
            <w:pPr>
              <w:pStyle w:val="42"/>
              <w:keepNext/>
              <w:keepLines/>
              <w:pageBreakBefore w:val="0"/>
              <w:widowControl w:val="0"/>
              <w:numPr>
                <w:ilvl w:val="7"/>
                <w:numId w:val="10"/>
              </w:numPr>
              <w:tabs>
                <w:tab w:val="left" w:pos="0"/>
              </w:tabs>
              <w:kinsoku/>
              <w:wordWrap/>
              <w:overflowPunct/>
              <w:topLinePunct w:val="0"/>
              <w:autoSpaceDE/>
              <w:autoSpaceDN/>
              <w:bidi w:val="0"/>
              <w:adjustRightInd/>
              <w:snapToGrid/>
              <w:spacing w:before="0" w:after="0"/>
              <w:ind w:left="630" w:leftChars="0" w:firstLineChars="0"/>
              <w:textAlignment w:val="auto"/>
              <w:rPr>
                <w:rFonts w:hint="eastAsia" w:ascii="Times New Roman" w:hAnsi="Times New Roman" w:eastAsia="宋体"/>
                <w:color w:val="000000" w:themeColor="text1"/>
                <w:highlight w:val="none"/>
                <w14:textFill>
                  <w14:solidFill>
                    <w14:schemeClr w14:val="tx1"/>
                  </w14:solidFill>
                </w14:textFill>
              </w:rPr>
            </w:pPr>
            <w:bookmarkStart w:id="31" w:name="_Ref6142"/>
            <w:r>
              <w:rPr>
                <w:rFonts w:hint="eastAsia" w:ascii="Times New Roman" w:hAnsi="Times New Roman" w:eastAsia="宋体"/>
                <w:color w:val="000000" w:themeColor="text1"/>
                <w:highlight w:val="none"/>
                <w14:textFill>
                  <w14:solidFill>
                    <w14:schemeClr w14:val="tx1"/>
                  </w14:solidFill>
                </w14:textFill>
              </w:rPr>
              <w:t xml:space="preserve"> </w:t>
            </w:r>
            <w:bookmarkEnd w:id="31"/>
            <w:r>
              <w:rPr>
                <w:rFonts w:hint="eastAsia" w:ascii="Times New Roman" w:hAnsi="Times New Roman" w:eastAsia="宋体"/>
                <w:color w:val="000000" w:themeColor="text1"/>
                <w:highlight w:val="none"/>
                <w14:textFill>
                  <w14:solidFill>
                    <w14:schemeClr w14:val="tx1"/>
                  </w14:solidFill>
                </w14:textFill>
              </w:rPr>
              <w:t>地表水环境质量标准（摘录） 单位：mg/L（除pH外）</w:t>
            </w:r>
          </w:p>
          <w:tbl>
            <w:tblPr>
              <w:tblStyle w:val="32"/>
              <w:tblW w:w="4998"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939"/>
              <w:gridCol w:w="2899"/>
              <w:gridCol w:w="1236"/>
              <w:gridCol w:w="1199"/>
              <w:gridCol w:w="1167"/>
              <w:gridCol w:w="1175"/>
            </w:tblGrid>
            <w:tr w14:paraId="789D4C4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545" w:type="pct"/>
                  <w:tcBorders>
                    <w:left w:val="nil"/>
                    <w:bottom w:val="single" w:color="000000" w:sz="2" w:space="0"/>
                    <w:right w:val="single" w:color="000000" w:sz="2" w:space="0"/>
                  </w:tcBorders>
                  <w:vAlign w:val="center"/>
                </w:tcPr>
                <w:p w14:paraId="17A498BE">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sz w:val="21"/>
                    </w:rPr>
                  </w:pPr>
                  <w:r>
                    <w:rPr>
                      <w:spacing w:val="-8"/>
                      <w:sz w:val="21"/>
                    </w:rPr>
                    <w:t>序号</w:t>
                  </w:r>
                </w:p>
              </w:tc>
              <w:tc>
                <w:tcPr>
                  <w:tcW w:w="1682" w:type="pct"/>
                  <w:tcBorders>
                    <w:left w:val="single" w:color="000000" w:sz="2" w:space="0"/>
                    <w:bottom w:val="single" w:color="000000" w:sz="2" w:space="0"/>
                    <w:right w:val="single" w:color="000000" w:sz="2" w:space="0"/>
                  </w:tcBorders>
                  <w:vAlign w:val="center"/>
                </w:tcPr>
                <w:p w14:paraId="7CDE8727">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sz w:val="21"/>
                    </w:rPr>
                  </w:pPr>
                  <w:r>
                    <w:rPr>
                      <w:spacing w:val="-8"/>
                      <w:sz w:val="21"/>
                    </w:rPr>
                    <w:t>项目</w:t>
                  </w:r>
                </w:p>
              </w:tc>
              <w:tc>
                <w:tcPr>
                  <w:tcW w:w="717" w:type="pct"/>
                  <w:tcBorders>
                    <w:left w:val="single" w:color="000000" w:sz="2" w:space="0"/>
                    <w:bottom w:val="single" w:color="000000" w:sz="2" w:space="0"/>
                    <w:right w:val="single" w:color="000000" w:sz="2" w:space="0"/>
                  </w:tcBorders>
                  <w:vAlign w:val="center"/>
                </w:tcPr>
                <w:p w14:paraId="4099B962">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sz w:val="21"/>
                    </w:rPr>
                  </w:pPr>
                  <w:r>
                    <w:rPr>
                      <w:spacing w:val="-6"/>
                      <w:sz w:val="21"/>
                    </w:rPr>
                    <w:t>Ⅱ类</w:t>
                  </w:r>
                </w:p>
              </w:tc>
              <w:tc>
                <w:tcPr>
                  <w:tcW w:w="696" w:type="pct"/>
                  <w:tcBorders>
                    <w:left w:val="single" w:color="000000" w:sz="2" w:space="0"/>
                    <w:bottom w:val="single" w:color="000000" w:sz="2" w:space="0"/>
                    <w:right w:val="single" w:color="000000" w:sz="2" w:space="0"/>
                  </w:tcBorders>
                  <w:shd w:val="clear" w:color="auto" w:fill="A3A3A3"/>
                  <w:vAlign w:val="center"/>
                </w:tcPr>
                <w:p w14:paraId="14126355">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sz w:val="21"/>
                    </w:rPr>
                  </w:pPr>
                  <w:r>
                    <w:rPr>
                      <w:spacing w:val="-8"/>
                      <w:sz w:val="21"/>
                    </w:rPr>
                    <w:t>Ⅲ类</w:t>
                  </w:r>
                </w:p>
              </w:tc>
              <w:tc>
                <w:tcPr>
                  <w:tcW w:w="677" w:type="pct"/>
                  <w:tcBorders>
                    <w:left w:val="single" w:color="000000" w:sz="2" w:space="0"/>
                    <w:bottom w:val="single" w:color="000000" w:sz="2" w:space="0"/>
                    <w:right w:val="single" w:color="000000" w:sz="2" w:space="0"/>
                  </w:tcBorders>
                  <w:vAlign w:val="center"/>
                </w:tcPr>
                <w:p w14:paraId="2105552C">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sz w:val="21"/>
                    </w:rPr>
                  </w:pPr>
                  <w:r>
                    <w:rPr>
                      <w:spacing w:val="-6"/>
                      <w:sz w:val="21"/>
                    </w:rPr>
                    <w:t>Ⅳ类</w:t>
                  </w:r>
                </w:p>
              </w:tc>
              <w:tc>
                <w:tcPr>
                  <w:tcW w:w="680" w:type="pct"/>
                  <w:tcBorders>
                    <w:left w:val="single" w:color="000000" w:sz="2" w:space="0"/>
                    <w:bottom w:val="single" w:color="000000" w:sz="2" w:space="0"/>
                    <w:right w:val="nil"/>
                  </w:tcBorders>
                  <w:vAlign w:val="center"/>
                </w:tcPr>
                <w:p w14:paraId="27E073AB">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sz w:val="21"/>
                    </w:rPr>
                  </w:pPr>
                  <w:r>
                    <w:rPr>
                      <w:spacing w:val="-6"/>
                      <w:sz w:val="21"/>
                    </w:rPr>
                    <w:t>Ⅴ类</w:t>
                  </w:r>
                </w:p>
              </w:tc>
            </w:tr>
            <w:tr w14:paraId="0402F18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545" w:type="pct"/>
                  <w:tcBorders>
                    <w:top w:val="single" w:color="000000" w:sz="2" w:space="0"/>
                    <w:left w:val="nil"/>
                    <w:bottom w:val="single" w:color="000000" w:sz="2" w:space="0"/>
                    <w:right w:val="single" w:color="000000" w:sz="2" w:space="0"/>
                  </w:tcBorders>
                  <w:vAlign w:val="center"/>
                </w:tcPr>
                <w:p w14:paraId="309B46E2">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pacing w:val="-10"/>
                      <w:sz w:val="21"/>
                    </w:rPr>
                    <w:t>1</w:t>
                  </w:r>
                </w:p>
              </w:tc>
              <w:tc>
                <w:tcPr>
                  <w:tcW w:w="1682" w:type="pct"/>
                  <w:tcBorders>
                    <w:top w:val="single" w:color="000000" w:sz="2" w:space="0"/>
                    <w:left w:val="single" w:color="000000" w:sz="2" w:space="0"/>
                    <w:bottom w:val="single" w:color="000000" w:sz="2" w:space="0"/>
                    <w:right w:val="single" w:color="000000" w:sz="2" w:space="0"/>
                  </w:tcBorders>
                  <w:vAlign w:val="center"/>
                </w:tcPr>
                <w:p w14:paraId="3652E3CD">
                  <w:pPr>
                    <w:pStyle w:val="95"/>
                    <w:keepNext w:val="0"/>
                    <w:keepLines w:val="0"/>
                    <w:pageBreakBefore w:val="0"/>
                    <w:widowControl w:val="0"/>
                    <w:kinsoku/>
                    <w:wordWrap/>
                    <w:overflowPunct/>
                    <w:topLinePunct w:val="0"/>
                    <w:autoSpaceDE/>
                    <w:autoSpaceDN/>
                    <w:bidi w:val="0"/>
                    <w:adjustRightInd/>
                    <w:snapToGrid/>
                    <w:ind w:left="0" w:right="0"/>
                    <w:textAlignment w:val="auto"/>
                    <w:rPr>
                      <w:rFonts w:ascii="Times New Roman" w:eastAsia="Times New Roman"/>
                      <w:sz w:val="21"/>
                    </w:rPr>
                  </w:pPr>
                  <w:r>
                    <w:rPr>
                      <w:rFonts w:ascii="Times New Roman" w:eastAsia="Times New Roman"/>
                      <w:spacing w:val="-2"/>
                      <w:sz w:val="21"/>
                    </w:rPr>
                    <w:t>pH(</w:t>
                  </w:r>
                  <w:r>
                    <w:rPr>
                      <w:spacing w:val="-2"/>
                      <w:sz w:val="21"/>
                    </w:rPr>
                    <w:t>无量纲</w:t>
                  </w:r>
                  <w:r>
                    <w:rPr>
                      <w:rFonts w:ascii="Times New Roman" w:eastAsia="Times New Roman"/>
                      <w:spacing w:val="-10"/>
                      <w:sz w:val="21"/>
                    </w:rPr>
                    <w:t>)</w:t>
                  </w:r>
                </w:p>
              </w:tc>
              <w:tc>
                <w:tcPr>
                  <w:tcW w:w="2772" w:type="pct"/>
                  <w:gridSpan w:val="4"/>
                  <w:tcBorders>
                    <w:top w:val="single" w:color="000000" w:sz="2" w:space="0"/>
                    <w:left w:val="single" w:color="000000" w:sz="2" w:space="0"/>
                    <w:bottom w:val="single" w:color="000000" w:sz="2" w:space="0"/>
                    <w:right w:val="nil"/>
                  </w:tcBorders>
                  <w:shd w:val="clear" w:color="auto" w:fill="A3A3A3"/>
                  <w:vAlign w:val="center"/>
                </w:tcPr>
                <w:p w14:paraId="31CB822B">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eastAsia="Times New Roman"/>
                      <w:sz w:val="21"/>
                    </w:rPr>
                  </w:pPr>
                  <w:r>
                    <w:rPr>
                      <w:rFonts w:ascii="Times New Roman" w:eastAsia="Times New Roman"/>
                      <w:spacing w:val="-5"/>
                      <w:sz w:val="21"/>
                    </w:rPr>
                    <w:t>6</w:t>
                  </w:r>
                  <w:r>
                    <w:rPr>
                      <w:spacing w:val="-5"/>
                      <w:sz w:val="21"/>
                    </w:rPr>
                    <w:t>～</w:t>
                  </w:r>
                  <w:r>
                    <w:rPr>
                      <w:rFonts w:ascii="Times New Roman" w:eastAsia="Times New Roman"/>
                      <w:spacing w:val="-5"/>
                      <w:sz w:val="21"/>
                    </w:rPr>
                    <w:t>9</w:t>
                  </w:r>
                </w:p>
              </w:tc>
            </w:tr>
            <w:tr w14:paraId="1862135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545" w:type="pct"/>
                  <w:tcBorders>
                    <w:top w:val="single" w:color="000000" w:sz="2" w:space="0"/>
                    <w:left w:val="nil"/>
                    <w:bottom w:val="single" w:color="000000" w:sz="2" w:space="0"/>
                    <w:right w:val="single" w:color="000000" w:sz="2" w:space="0"/>
                  </w:tcBorders>
                  <w:vAlign w:val="center"/>
                </w:tcPr>
                <w:p w14:paraId="7FBB5177">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pacing w:val="-10"/>
                      <w:sz w:val="21"/>
                    </w:rPr>
                    <w:t>2</w:t>
                  </w:r>
                </w:p>
              </w:tc>
              <w:tc>
                <w:tcPr>
                  <w:tcW w:w="1682" w:type="pct"/>
                  <w:tcBorders>
                    <w:top w:val="single" w:color="000000" w:sz="2" w:space="0"/>
                    <w:left w:val="single" w:color="000000" w:sz="2" w:space="0"/>
                    <w:bottom w:val="single" w:color="000000" w:sz="2" w:space="0"/>
                    <w:right w:val="single" w:color="000000" w:sz="2" w:space="0"/>
                  </w:tcBorders>
                  <w:vAlign w:val="center"/>
                </w:tcPr>
                <w:p w14:paraId="520D3B3C">
                  <w:pPr>
                    <w:pStyle w:val="95"/>
                    <w:keepNext w:val="0"/>
                    <w:keepLines w:val="0"/>
                    <w:pageBreakBefore w:val="0"/>
                    <w:widowControl w:val="0"/>
                    <w:kinsoku/>
                    <w:wordWrap/>
                    <w:overflowPunct/>
                    <w:topLinePunct w:val="0"/>
                    <w:autoSpaceDE/>
                    <w:autoSpaceDN/>
                    <w:bidi w:val="0"/>
                    <w:adjustRightInd/>
                    <w:snapToGrid/>
                    <w:ind w:left="0" w:right="0"/>
                    <w:textAlignment w:val="auto"/>
                    <w:rPr>
                      <w:rFonts w:ascii="Times New Roman" w:hAnsi="Times New Roman" w:eastAsia="Times New Roman"/>
                      <w:sz w:val="21"/>
                    </w:rPr>
                  </w:pPr>
                  <w:r>
                    <w:rPr>
                      <w:sz w:val="21"/>
                    </w:rPr>
                    <w:t>溶解氧</w:t>
                  </w:r>
                  <w:r>
                    <w:rPr>
                      <w:rFonts w:ascii="Times New Roman" w:hAnsi="Times New Roman" w:eastAsia="Times New Roman"/>
                      <w:sz w:val="21"/>
                    </w:rPr>
                    <w:t>(DO)</w:t>
                  </w:r>
                  <w:r>
                    <w:rPr>
                      <w:rFonts w:ascii="Times New Roman" w:hAnsi="Times New Roman" w:eastAsia="Times New Roman"/>
                      <w:spacing w:val="-9"/>
                      <w:sz w:val="21"/>
                    </w:rPr>
                    <w:t xml:space="preserve"> ≥</w:t>
                  </w:r>
                </w:p>
              </w:tc>
              <w:tc>
                <w:tcPr>
                  <w:tcW w:w="717" w:type="pct"/>
                  <w:tcBorders>
                    <w:top w:val="single" w:color="000000" w:sz="2" w:space="0"/>
                    <w:left w:val="single" w:color="000000" w:sz="2" w:space="0"/>
                    <w:bottom w:val="single" w:color="000000" w:sz="2" w:space="0"/>
                    <w:right w:val="single" w:color="000000" w:sz="4" w:space="0"/>
                  </w:tcBorders>
                  <w:vAlign w:val="center"/>
                </w:tcPr>
                <w:p w14:paraId="7616103E">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pacing w:val="-10"/>
                      <w:sz w:val="21"/>
                    </w:rPr>
                    <w:t>6</w:t>
                  </w:r>
                </w:p>
              </w:tc>
              <w:tc>
                <w:tcPr>
                  <w:tcW w:w="696" w:type="pct"/>
                  <w:tcBorders>
                    <w:top w:val="single" w:color="000000" w:sz="2" w:space="0"/>
                    <w:left w:val="single" w:color="000000" w:sz="4" w:space="0"/>
                    <w:bottom w:val="single" w:color="000000" w:sz="2" w:space="0"/>
                    <w:right w:val="single" w:color="000000" w:sz="4" w:space="0"/>
                  </w:tcBorders>
                  <w:shd w:val="clear" w:color="auto" w:fill="A3A3A3"/>
                  <w:vAlign w:val="center"/>
                </w:tcPr>
                <w:p w14:paraId="29166B3E">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pacing w:val="-10"/>
                      <w:sz w:val="21"/>
                    </w:rPr>
                    <w:t>5</w:t>
                  </w:r>
                </w:p>
              </w:tc>
              <w:tc>
                <w:tcPr>
                  <w:tcW w:w="677" w:type="pct"/>
                  <w:tcBorders>
                    <w:top w:val="single" w:color="000000" w:sz="2" w:space="0"/>
                    <w:left w:val="single" w:color="000000" w:sz="4" w:space="0"/>
                    <w:bottom w:val="single" w:color="000000" w:sz="2" w:space="0"/>
                    <w:right w:val="single" w:color="000000" w:sz="4" w:space="0"/>
                  </w:tcBorders>
                  <w:vAlign w:val="center"/>
                </w:tcPr>
                <w:p w14:paraId="03724485">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pacing w:val="-10"/>
                      <w:sz w:val="21"/>
                    </w:rPr>
                    <w:t>3</w:t>
                  </w:r>
                </w:p>
              </w:tc>
              <w:tc>
                <w:tcPr>
                  <w:tcW w:w="680" w:type="pct"/>
                  <w:tcBorders>
                    <w:top w:val="single" w:color="000000" w:sz="2" w:space="0"/>
                    <w:left w:val="single" w:color="000000" w:sz="4" w:space="0"/>
                    <w:bottom w:val="single" w:color="000000" w:sz="2" w:space="0"/>
                    <w:right w:val="nil"/>
                  </w:tcBorders>
                  <w:vAlign w:val="center"/>
                </w:tcPr>
                <w:p w14:paraId="6A5C5F3E">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pacing w:val="-10"/>
                      <w:sz w:val="21"/>
                    </w:rPr>
                    <w:t>2</w:t>
                  </w:r>
                </w:p>
              </w:tc>
            </w:tr>
            <w:tr w14:paraId="41DE5DB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545" w:type="pct"/>
                  <w:tcBorders>
                    <w:top w:val="single" w:color="000000" w:sz="2" w:space="0"/>
                    <w:left w:val="nil"/>
                    <w:bottom w:val="single" w:color="000000" w:sz="2" w:space="0"/>
                    <w:right w:val="single" w:color="000000" w:sz="2" w:space="0"/>
                  </w:tcBorders>
                  <w:vAlign w:val="center"/>
                </w:tcPr>
                <w:p w14:paraId="1C2F7535">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pacing w:val="-10"/>
                      <w:sz w:val="21"/>
                    </w:rPr>
                    <w:t>3</w:t>
                  </w:r>
                </w:p>
              </w:tc>
              <w:tc>
                <w:tcPr>
                  <w:tcW w:w="1682" w:type="pct"/>
                  <w:tcBorders>
                    <w:top w:val="single" w:color="000000" w:sz="2" w:space="0"/>
                    <w:left w:val="single" w:color="000000" w:sz="2" w:space="0"/>
                    <w:bottom w:val="single" w:color="000000" w:sz="2" w:space="0"/>
                    <w:right w:val="single" w:color="000000" w:sz="2" w:space="0"/>
                  </w:tcBorders>
                  <w:vAlign w:val="center"/>
                </w:tcPr>
                <w:p w14:paraId="20E5AE14">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Times New Roman"/>
                      <w:position w:val="2"/>
                      <w:sz w:val="21"/>
                    </w:rPr>
                  </w:pPr>
                  <w:r>
                    <w:rPr>
                      <w:rFonts w:ascii="Times New Roman" w:hAnsi="Times New Roman"/>
                      <w:spacing w:val="-2"/>
                      <w:position w:val="2"/>
                      <w:sz w:val="21"/>
                    </w:rPr>
                    <w:t>COD</w:t>
                  </w:r>
                  <w:r>
                    <w:rPr>
                      <w:rFonts w:ascii="Times New Roman" w:hAnsi="Times New Roman"/>
                      <w:spacing w:val="-2"/>
                      <w:sz w:val="13"/>
                    </w:rPr>
                    <w:t>Mn</w:t>
                  </w:r>
                  <w:r>
                    <w:rPr>
                      <w:rFonts w:ascii="Times New Roman" w:hAnsi="Times New Roman"/>
                      <w:spacing w:val="-2"/>
                      <w:position w:val="2"/>
                      <w:sz w:val="21"/>
                    </w:rPr>
                    <w:t>≤</w:t>
                  </w:r>
                </w:p>
              </w:tc>
              <w:tc>
                <w:tcPr>
                  <w:tcW w:w="717" w:type="pct"/>
                  <w:tcBorders>
                    <w:top w:val="single" w:color="000000" w:sz="2" w:space="0"/>
                    <w:left w:val="single" w:color="000000" w:sz="2" w:space="0"/>
                    <w:bottom w:val="single" w:color="000000" w:sz="2" w:space="0"/>
                    <w:right w:val="single" w:color="000000" w:sz="4" w:space="0"/>
                  </w:tcBorders>
                  <w:vAlign w:val="center"/>
                </w:tcPr>
                <w:p w14:paraId="3D25A146">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pacing w:val="-10"/>
                      <w:sz w:val="21"/>
                    </w:rPr>
                    <w:t>4</w:t>
                  </w:r>
                </w:p>
              </w:tc>
              <w:tc>
                <w:tcPr>
                  <w:tcW w:w="696" w:type="pct"/>
                  <w:tcBorders>
                    <w:top w:val="single" w:color="000000" w:sz="2" w:space="0"/>
                    <w:left w:val="single" w:color="000000" w:sz="4" w:space="0"/>
                    <w:bottom w:val="single" w:color="000000" w:sz="2" w:space="0"/>
                    <w:right w:val="single" w:color="000000" w:sz="4" w:space="0"/>
                  </w:tcBorders>
                  <w:shd w:val="clear" w:color="auto" w:fill="A3A3A3"/>
                  <w:vAlign w:val="center"/>
                </w:tcPr>
                <w:p w14:paraId="6082F800">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pacing w:val="-10"/>
                      <w:sz w:val="21"/>
                    </w:rPr>
                    <w:t>6</w:t>
                  </w:r>
                </w:p>
              </w:tc>
              <w:tc>
                <w:tcPr>
                  <w:tcW w:w="677" w:type="pct"/>
                  <w:tcBorders>
                    <w:top w:val="single" w:color="000000" w:sz="2" w:space="0"/>
                    <w:left w:val="single" w:color="000000" w:sz="4" w:space="0"/>
                    <w:bottom w:val="single" w:color="000000" w:sz="2" w:space="0"/>
                    <w:right w:val="single" w:color="000000" w:sz="4" w:space="0"/>
                  </w:tcBorders>
                  <w:vAlign w:val="center"/>
                </w:tcPr>
                <w:p w14:paraId="5AF8D484">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pacing w:val="-5"/>
                      <w:sz w:val="21"/>
                    </w:rPr>
                    <w:t>10</w:t>
                  </w:r>
                </w:p>
              </w:tc>
              <w:tc>
                <w:tcPr>
                  <w:tcW w:w="680" w:type="pct"/>
                  <w:tcBorders>
                    <w:top w:val="single" w:color="000000" w:sz="2" w:space="0"/>
                    <w:left w:val="single" w:color="000000" w:sz="4" w:space="0"/>
                    <w:bottom w:val="single" w:color="000000" w:sz="2" w:space="0"/>
                    <w:right w:val="nil"/>
                  </w:tcBorders>
                  <w:vAlign w:val="center"/>
                </w:tcPr>
                <w:p w14:paraId="45AE977A">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pacing w:val="-5"/>
                      <w:sz w:val="21"/>
                    </w:rPr>
                    <w:t>15</w:t>
                  </w:r>
                </w:p>
              </w:tc>
            </w:tr>
            <w:tr w14:paraId="26B4747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545" w:type="pct"/>
                  <w:tcBorders>
                    <w:top w:val="single" w:color="000000" w:sz="2" w:space="0"/>
                    <w:left w:val="nil"/>
                    <w:bottom w:val="single" w:color="000000" w:sz="2" w:space="0"/>
                    <w:right w:val="single" w:color="000000" w:sz="2" w:space="0"/>
                  </w:tcBorders>
                  <w:vAlign w:val="center"/>
                </w:tcPr>
                <w:p w14:paraId="576072EA">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pacing w:val="-10"/>
                      <w:sz w:val="21"/>
                    </w:rPr>
                    <w:t>4</w:t>
                  </w:r>
                </w:p>
              </w:tc>
              <w:tc>
                <w:tcPr>
                  <w:tcW w:w="1682" w:type="pct"/>
                  <w:tcBorders>
                    <w:top w:val="single" w:color="000000" w:sz="2" w:space="0"/>
                    <w:left w:val="single" w:color="000000" w:sz="2" w:space="0"/>
                    <w:bottom w:val="single" w:color="000000" w:sz="2" w:space="0"/>
                    <w:right w:val="single" w:color="000000" w:sz="2" w:space="0"/>
                  </w:tcBorders>
                  <w:vAlign w:val="center"/>
                </w:tcPr>
                <w:p w14:paraId="77057E6D">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Times New Roman"/>
                      <w:sz w:val="21"/>
                    </w:rPr>
                  </w:pPr>
                  <w:r>
                    <w:rPr>
                      <w:rFonts w:ascii="Times New Roman" w:hAnsi="Times New Roman"/>
                      <w:spacing w:val="-5"/>
                      <w:sz w:val="21"/>
                    </w:rPr>
                    <w:t>DO≤</w:t>
                  </w:r>
                </w:p>
              </w:tc>
              <w:tc>
                <w:tcPr>
                  <w:tcW w:w="717" w:type="pct"/>
                  <w:tcBorders>
                    <w:top w:val="single" w:color="000000" w:sz="2" w:space="0"/>
                    <w:left w:val="single" w:color="000000" w:sz="2" w:space="0"/>
                    <w:bottom w:val="single" w:color="000000" w:sz="2" w:space="0"/>
                    <w:right w:val="single" w:color="000000" w:sz="2" w:space="0"/>
                  </w:tcBorders>
                  <w:vAlign w:val="center"/>
                </w:tcPr>
                <w:p w14:paraId="4472704A">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pacing w:val="-10"/>
                      <w:sz w:val="21"/>
                    </w:rPr>
                    <w:t>6</w:t>
                  </w:r>
                </w:p>
              </w:tc>
              <w:tc>
                <w:tcPr>
                  <w:tcW w:w="696" w:type="pct"/>
                  <w:tcBorders>
                    <w:top w:val="single" w:color="000000" w:sz="2" w:space="0"/>
                    <w:left w:val="single" w:color="000000" w:sz="2" w:space="0"/>
                    <w:bottom w:val="single" w:color="000000" w:sz="2" w:space="0"/>
                    <w:right w:val="single" w:color="000000" w:sz="2" w:space="0"/>
                  </w:tcBorders>
                  <w:shd w:val="clear" w:color="auto" w:fill="A3A3A3"/>
                  <w:vAlign w:val="center"/>
                </w:tcPr>
                <w:p w14:paraId="73F569D6">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pacing w:val="-10"/>
                      <w:sz w:val="21"/>
                    </w:rPr>
                    <w:t>5</w:t>
                  </w:r>
                </w:p>
              </w:tc>
              <w:tc>
                <w:tcPr>
                  <w:tcW w:w="677" w:type="pct"/>
                  <w:tcBorders>
                    <w:top w:val="single" w:color="000000" w:sz="2" w:space="0"/>
                    <w:left w:val="single" w:color="000000" w:sz="2" w:space="0"/>
                    <w:bottom w:val="single" w:color="000000" w:sz="2" w:space="0"/>
                    <w:right w:val="single" w:color="000000" w:sz="2" w:space="0"/>
                  </w:tcBorders>
                  <w:vAlign w:val="center"/>
                </w:tcPr>
                <w:p w14:paraId="6BFF266A">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pacing w:val="-10"/>
                      <w:sz w:val="21"/>
                    </w:rPr>
                    <w:t>3</w:t>
                  </w:r>
                </w:p>
              </w:tc>
              <w:tc>
                <w:tcPr>
                  <w:tcW w:w="680" w:type="pct"/>
                  <w:tcBorders>
                    <w:top w:val="single" w:color="000000" w:sz="2" w:space="0"/>
                    <w:left w:val="single" w:color="000000" w:sz="2" w:space="0"/>
                    <w:bottom w:val="single" w:color="000000" w:sz="2" w:space="0"/>
                    <w:right w:val="nil"/>
                  </w:tcBorders>
                  <w:vAlign w:val="center"/>
                </w:tcPr>
                <w:p w14:paraId="61F5FD2E">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pacing w:val="-10"/>
                      <w:sz w:val="21"/>
                    </w:rPr>
                    <w:t>2</w:t>
                  </w:r>
                </w:p>
              </w:tc>
            </w:tr>
            <w:tr w14:paraId="17BB01A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545" w:type="pct"/>
                  <w:tcBorders>
                    <w:top w:val="single" w:color="000000" w:sz="2" w:space="0"/>
                    <w:left w:val="nil"/>
                    <w:bottom w:val="single" w:color="000000" w:sz="2" w:space="0"/>
                    <w:right w:val="single" w:color="000000" w:sz="2" w:space="0"/>
                  </w:tcBorders>
                  <w:vAlign w:val="center"/>
                </w:tcPr>
                <w:p w14:paraId="3E1B7808">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pacing w:val="-10"/>
                      <w:sz w:val="21"/>
                    </w:rPr>
                    <w:t>5</w:t>
                  </w:r>
                </w:p>
              </w:tc>
              <w:tc>
                <w:tcPr>
                  <w:tcW w:w="1682" w:type="pct"/>
                  <w:tcBorders>
                    <w:top w:val="single" w:color="000000" w:sz="2" w:space="0"/>
                    <w:left w:val="single" w:color="000000" w:sz="2" w:space="0"/>
                    <w:bottom w:val="single" w:color="000000" w:sz="2" w:space="0"/>
                    <w:right w:val="single" w:color="000000" w:sz="2" w:space="0"/>
                  </w:tcBorders>
                  <w:vAlign w:val="center"/>
                </w:tcPr>
                <w:p w14:paraId="6137BF9A">
                  <w:pPr>
                    <w:pStyle w:val="95"/>
                    <w:keepNext w:val="0"/>
                    <w:keepLines w:val="0"/>
                    <w:pageBreakBefore w:val="0"/>
                    <w:widowControl w:val="0"/>
                    <w:kinsoku/>
                    <w:wordWrap/>
                    <w:overflowPunct/>
                    <w:topLinePunct w:val="0"/>
                    <w:autoSpaceDE/>
                    <w:autoSpaceDN/>
                    <w:bidi w:val="0"/>
                    <w:adjustRightInd/>
                    <w:snapToGrid/>
                    <w:ind w:left="0" w:right="0"/>
                    <w:textAlignment w:val="auto"/>
                    <w:rPr>
                      <w:rFonts w:ascii="Times New Roman" w:hAnsi="Times New Roman"/>
                      <w:position w:val="2"/>
                      <w:sz w:val="21"/>
                    </w:rPr>
                  </w:pPr>
                  <w:r>
                    <w:rPr>
                      <w:rFonts w:ascii="Times New Roman" w:hAnsi="Times New Roman"/>
                      <w:spacing w:val="-2"/>
                      <w:position w:val="2"/>
                      <w:sz w:val="21"/>
                    </w:rPr>
                    <w:t>NH</w:t>
                  </w:r>
                  <w:r>
                    <w:rPr>
                      <w:rFonts w:ascii="Times New Roman" w:hAnsi="Times New Roman"/>
                      <w:spacing w:val="-2"/>
                      <w:sz w:val="13"/>
                    </w:rPr>
                    <w:t>3</w:t>
                  </w:r>
                  <w:r>
                    <w:rPr>
                      <w:rFonts w:ascii="Times New Roman" w:hAnsi="Times New Roman"/>
                      <w:spacing w:val="-2"/>
                      <w:position w:val="2"/>
                      <w:sz w:val="21"/>
                    </w:rPr>
                    <w:t>-</w:t>
                  </w:r>
                  <w:r>
                    <w:rPr>
                      <w:rFonts w:ascii="Times New Roman" w:hAnsi="Times New Roman"/>
                      <w:spacing w:val="-5"/>
                      <w:position w:val="2"/>
                      <w:sz w:val="21"/>
                    </w:rPr>
                    <w:t>N≤</w:t>
                  </w:r>
                </w:p>
              </w:tc>
              <w:tc>
                <w:tcPr>
                  <w:tcW w:w="717" w:type="pct"/>
                  <w:tcBorders>
                    <w:top w:val="single" w:color="000000" w:sz="2" w:space="0"/>
                    <w:left w:val="single" w:color="000000" w:sz="2" w:space="0"/>
                    <w:bottom w:val="single" w:color="000000" w:sz="2" w:space="0"/>
                    <w:right w:val="single" w:color="000000" w:sz="2" w:space="0"/>
                  </w:tcBorders>
                  <w:vAlign w:val="center"/>
                </w:tcPr>
                <w:p w14:paraId="4EB55538">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pacing w:val="-5"/>
                      <w:sz w:val="21"/>
                    </w:rPr>
                    <w:t>0.5</w:t>
                  </w:r>
                </w:p>
              </w:tc>
              <w:tc>
                <w:tcPr>
                  <w:tcW w:w="696" w:type="pct"/>
                  <w:tcBorders>
                    <w:top w:val="single" w:color="000000" w:sz="2" w:space="0"/>
                    <w:left w:val="single" w:color="000000" w:sz="2" w:space="0"/>
                    <w:bottom w:val="single" w:color="000000" w:sz="2" w:space="0"/>
                    <w:right w:val="single" w:color="000000" w:sz="2" w:space="0"/>
                  </w:tcBorders>
                  <w:shd w:val="clear" w:color="auto" w:fill="A3A3A3"/>
                  <w:vAlign w:val="center"/>
                </w:tcPr>
                <w:p w14:paraId="749826A2">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pacing w:val="-5"/>
                      <w:sz w:val="21"/>
                    </w:rPr>
                    <w:t>1.0</w:t>
                  </w:r>
                </w:p>
              </w:tc>
              <w:tc>
                <w:tcPr>
                  <w:tcW w:w="677" w:type="pct"/>
                  <w:tcBorders>
                    <w:top w:val="single" w:color="000000" w:sz="2" w:space="0"/>
                    <w:left w:val="single" w:color="000000" w:sz="2" w:space="0"/>
                    <w:bottom w:val="single" w:color="000000" w:sz="2" w:space="0"/>
                    <w:right w:val="single" w:color="000000" w:sz="2" w:space="0"/>
                  </w:tcBorders>
                  <w:vAlign w:val="center"/>
                </w:tcPr>
                <w:p w14:paraId="4496092F">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pacing w:val="-5"/>
                      <w:sz w:val="21"/>
                    </w:rPr>
                    <w:t>1.5</w:t>
                  </w:r>
                </w:p>
              </w:tc>
              <w:tc>
                <w:tcPr>
                  <w:tcW w:w="680" w:type="pct"/>
                  <w:tcBorders>
                    <w:top w:val="single" w:color="000000" w:sz="2" w:space="0"/>
                    <w:left w:val="single" w:color="000000" w:sz="2" w:space="0"/>
                    <w:bottom w:val="single" w:color="000000" w:sz="2" w:space="0"/>
                    <w:right w:val="nil"/>
                  </w:tcBorders>
                  <w:vAlign w:val="center"/>
                </w:tcPr>
                <w:p w14:paraId="0259864C">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pacing w:val="-5"/>
                      <w:sz w:val="21"/>
                    </w:rPr>
                    <w:t>2.0</w:t>
                  </w:r>
                </w:p>
              </w:tc>
            </w:tr>
            <w:tr w14:paraId="730B627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545" w:type="pct"/>
                  <w:tcBorders>
                    <w:top w:val="single" w:color="000000" w:sz="2" w:space="0"/>
                    <w:left w:val="nil"/>
                    <w:right w:val="single" w:color="000000" w:sz="2" w:space="0"/>
                  </w:tcBorders>
                  <w:vAlign w:val="center"/>
                </w:tcPr>
                <w:p w14:paraId="65DD1F43">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pacing w:val="-10"/>
                      <w:sz w:val="21"/>
                    </w:rPr>
                    <w:t>6</w:t>
                  </w:r>
                </w:p>
              </w:tc>
              <w:tc>
                <w:tcPr>
                  <w:tcW w:w="1682" w:type="pct"/>
                  <w:tcBorders>
                    <w:top w:val="single" w:color="000000" w:sz="2" w:space="0"/>
                    <w:left w:val="single" w:color="000000" w:sz="2" w:space="0"/>
                    <w:right w:val="single" w:color="000000" w:sz="2" w:space="0"/>
                  </w:tcBorders>
                  <w:vAlign w:val="center"/>
                </w:tcPr>
                <w:p w14:paraId="0B80911C">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Times New Roman"/>
                      <w:position w:val="2"/>
                      <w:sz w:val="21"/>
                    </w:rPr>
                  </w:pPr>
                  <w:r>
                    <w:rPr>
                      <w:rFonts w:ascii="Times New Roman" w:hAnsi="Times New Roman"/>
                      <w:spacing w:val="-2"/>
                      <w:position w:val="2"/>
                      <w:sz w:val="21"/>
                    </w:rPr>
                    <w:t>BOD</w:t>
                  </w:r>
                  <w:r>
                    <w:rPr>
                      <w:rFonts w:ascii="Times New Roman" w:hAnsi="Times New Roman"/>
                      <w:spacing w:val="-2"/>
                      <w:sz w:val="13"/>
                    </w:rPr>
                    <w:t>5</w:t>
                  </w:r>
                  <w:r>
                    <w:rPr>
                      <w:rFonts w:ascii="Times New Roman" w:hAnsi="Times New Roman"/>
                      <w:spacing w:val="-2"/>
                      <w:position w:val="2"/>
                      <w:sz w:val="21"/>
                    </w:rPr>
                    <w:t>≤</w:t>
                  </w:r>
                </w:p>
              </w:tc>
              <w:tc>
                <w:tcPr>
                  <w:tcW w:w="717" w:type="pct"/>
                  <w:tcBorders>
                    <w:top w:val="single" w:color="000000" w:sz="2" w:space="0"/>
                    <w:left w:val="single" w:color="000000" w:sz="2" w:space="0"/>
                    <w:right w:val="single" w:color="000000" w:sz="2" w:space="0"/>
                  </w:tcBorders>
                  <w:vAlign w:val="center"/>
                </w:tcPr>
                <w:p w14:paraId="1FACA916">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pacing w:val="-10"/>
                      <w:sz w:val="21"/>
                    </w:rPr>
                    <w:t>3</w:t>
                  </w:r>
                </w:p>
              </w:tc>
              <w:tc>
                <w:tcPr>
                  <w:tcW w:w="696" w:type="pct"/>
                  <w:tcBorders>
                    <w:top w:val="single" w:color="000000" w:sz="2" w:space="0"/>
                    <w:left w:val="single" w:color="000000" w:sz="2" w:space="0"/>
                    <w:right w:val="single" w:color="000000" w:sz="2" w:space="0"/>
                  </w:tcBorders>
                  <w:shd w:val="clear" w:color="auto" w:fill="A3A3A3"/>
                  <w:vAlign w:val="center"/>
                </w:tcPr>
                <w:p w14:paraId="74EAC8EA">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pacing w:val="-10"/>
                      <w:sz w:val="21"/>
                    </w:rPr>
                    <w:t>4</w:t>
                  </w:r>
                </w:p>
              </w:tc>
              <w:tc>
                <w:tcPr>
                  <w:tcW w:w="677" w:type="pct"/>
                  <w:tcBorders>
                    <w:top w:val="single" w:color="000000" w:sz="2" w:space="0"/>
                    <w:left w:val="single" w:color="000000" w:sz="2" w:space="0"/>
                    <w:right w:val="single" w:color="000000" w:sz="2" w:space="0"/>
                  </w:tcBorders>
                  <w:vAlign w:val="center"/>
                </w:tcPr>
                <w:p w14:paraId="3D7D1FFE">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pacing w:val="-10"/>
                      <w:sz w:val="21"/>
                    </w:rPr>
                    <w:t>6</w:t>
                  </w:r>
                </w:p>
              </w:tc>
              <w:tc>
                <w:tcPr>
                  <w:tcW w:w="680" w:type="pct"/>
                  <w:tcBorders>
                    <w:top w:val="single" w:color="000000" w:sz="2" w:space="0"/>
                    <w:left w:val="single" w:color="000000" w:sz="2" w:space="0"/>
                    <w:right w:val="nil"/>
                  </w:tcBorders>
                  <w:vAlign w:val="center"/>
                </w:tcPr>
                <w:p w14:paraId="6DDA0DBF">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pacing w:val="-5"/>
                      <w:sz w:val="21"/>
                    </w:rPr>
                    <w:t>10</w:t>
                  </w:r>
                </w:p>
              </w:tc>
            </w:tr>
          </w:tbl>
          <w:p w14:paraId="3C7E50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）地表水环境现状</w:t>
            </w:r>
          </w:p>
          <w:p w14:paraId="317D49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pPr>
            <w:r>
              <w:rPr>
                <w:rFonts w:hint="eastAsia" w:cs="Times New Roman"/>
                <w:color w:val="000000" w:themeColor="text1"/>
                <w:kern w:val="2"/>
                <w:sz w:val="24"/>
                <w:szCs w:val="20"/>
                <w:highlight w:val="none"/>
                <w:lang w:val="en-US" w:eastAsia="zh-CN" w:bidi="ar-SA"/>
                <w14:textFill>
                  <w14:solidFill>
                    <w14:schemeClr w14:val="tx1"/>
                  </w14:solidFill>
                </w14:textFill>
              </w:rPr>
              <w:t>①</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地表水水质现状调查</w:t>
            </w:r>
          </w:p>
          <w:p w14:paraId="76225A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为了解项目地表水水质环境质量现状，根据福州市人民政府网站发布的2024年，全省主要流域总体水质为优，国控断面Ⅰ～Ⅲ类水质比例100％,Ⅰ～Ⅱ类水质比例77.1％；国控及省控断面Ⅰ～Ⅲ类水质比例99.7％，其中Ⅰ～Ⅱ类水质比例80.0％，各类水质比例如下：Ⅰ类占2.4％，Ⅱ类占77.6％，Ⅲ类占19.7％，Ⅳ类占0.3％，无Ⅴ类和劣Ⅴ类水</w:t>
            </w:r>
            <w:r>
              <w:rPr>
                <w:rFonts w:hint="eastAsia" w:cs="Times New Roman"/>
                <w:color w:val="000000" w:themeColor="text1"/>
                <w:kern w:val="2"/>
                <w:sz w:val="24"/>
                <w:szCs w:val="20"/>
                <w:highlight w:val="none"/>
                <w:lang w:val="en-US" w:eastAsia="zh-CN" w:bidi="ar-SA"/>
                <w14:textFill>
                  <w14:solidFill>
                    <w14:schemeClr w14:val="tx1"/>
                  </w14:solidFill>
                </w14:textFill>
              </w:rPr>
              <w:t>，详见图3.1-1。</w:t>
            </w:r>
          </w:p>
          <w:p w14:paraId="0084C9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2024年，全省主要流域总体水质从相对较好开始排序，具体为：闽江、交溪、九龙江、汀江（韩江）、霍童溪、晋江、萩芦溪、东西溪、木兰溪、敖江、漳江、诏安东溪、鹿溪、龙江</w:t>
            </w:r>
            <w:r>
              <w:rPr>
                <w:rFonts w:hint="eastAsia" w:cs="Times New Roman"/>
                <w:color w:val="000000" w:themeColor="text1"/>
                <w:kern w:val="2"/>
                <w:sz w:val="24"/>
                <w:szCs w:val="20"/>
                <w:highlight w:val="none"/>
                <w:lang w:val="en-US" w:eastAsia="zh-CN" w:bidi="ar-SA"/>
                <w14:textFill>
                  <w14:solidFill>
                    <w14:schemeClr w14:val="tx1"/>
                  </w14:solidFill>
                </w14:textFill>
              </w:rPr>
              <w:t>，详见图3.1-2。</w:t>
            </w:r>
          </w:p>
          <w:p w14:paraId="73700E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cs="Times New Roman"/>
                <w:color w:val="000000" w:themeColor="text1"/>
                <w:kern w:val="2"/>
                <w:sz w:val="24"/>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本项目不涉及生产废水排放，污水经处理达标后排入市政污水管网，送往</w:t>
            </w:r>
            <w:r>
              <w:rPr>
                <w:rFonts w:hint="eastAsia" w:cs="Times New Roman"/>
                <w:color w:val="000000" w:themeColor="text1"/>
                <w:kern w:val="2"/>
                <w:sz w:val="24"/>
                <w:szCs w:val="20"/>
                <w:highlight w:val="none"/>
                <w:lang w:val="en-US" w:eastAsia="zh-CN" w:bidi="ar-SA"/>
                <w14:textFill>
                  <w14:solidFill>
                    <w14:schemeClr w14:val="tx1"/>
                  </w14:solidFill>
                </w14:textFill>
              </w:rPr>
              <w:t>闽清县白金工业园区污水处理厂</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集中处理，项目污水不直接排入周边地表水体，几乎不会改变周边水环境质量现状。</w:t>
            </w:r>
            <w:r>
              <w:drawing>
                <wp:inline distT="0" distB="0" distL="114300" distR="114300">
                  <wp:extent cx="5560060" cy="3710940"/>
                  <wp:effectExtent l="0" t="0" r="2540" b="381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pic:cNvPicPr>
                            <a:picLocks noChangeAspect="1"/>
                          </pic:cNvPicPr>
                        </pic:nvPicPr>
                        <pic:blipFill>
                          <a:blip r:embed="rId12"/>
                          <a:stretch>
                            <a:fillRect/>
                          </a:stretch>
                        </pic:blipFill>
                        <pic:spPr>
                          <a:xfrm>
                            <a:off x="0" y="0"/>
                            <a:ext cx="5560060" cy="3710940"/>
                          </a:xfrm>
                          <a:prstGeom prst="rect">
                            <a:avLst/>
                          </a:prstGeom>
                          <a:noFill/>
                          <a:ln>
                            <a:noFill/>
                          </a:ln>
                        </pic:spPr>
                      </pic:pic>
                    </a:graphicData>
                  </a:graphic>
                </wp:inline>
              </w:drawing>
            </w:r>
          </w:p>
          <w:p w14:paraId="36C1A5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center"/>
              <w:textAlignment w:val="auto"/>
              <w:rPr>
                <w:rFonts w:hint="eastAsia" w:cs="Times New Roman"/>
                <w:b/>
                <w:bCs/>
                <w:color w:val="000000" w:themeColor="text1"/>
                <w:kern w:val="2"/>
                <w:sz w:val="24"/>
                <w:szCs w:val="20"/>
                <w:highlight w:val="none"/>
                <w:lang w:val="en-US" w:eastAsia="zh-CN" w:bidi="ar-SA"/>
                <w14:textFill>
                  <w14:solidFill>
                    <w14:schemeClr w14:val="tx1"/>
                  </w14:solidFill>
                </w14:textFill>
              </w:rPr>
            </w:pPr>
            <w:r>
              <w:drawing>
                <wp:anchor distT="0" distB="0" distL="114300" distR="114300" simplePos="0" relativeHeight="251662336" behindDoc="0" locked="0" layoutInCell="1" allowOverlap="1">
                  <wp:simplePos x="0" y="0"/>
                  <wp:positionH relativeFrom="column">
                    <wp:posOffset>-40640</wp:posOffset>
                  </wp:positionH>
                  <wp:positionV relativeFrom="paragraph">
                    <wp:posOffset>353695</wp:posOffset>
                  </wp:positionV>
                  <wp:extent cx="5554345" cy="2183765"/>
                  <wp:effectExtent l="0" t="0" r="8255" b="6985"/>
                  <wp:wrapTopAndBottom/>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13"/>
                          <a:stretch>
                            <a:fillRect/>
                          </a:stretch>
                        </pic:blipFill>
                        <pic:spPr>
                          <a:xfrm>
                            <a:off x="0" y="0"/>
                            <a:ext cx="5554345" cy="2183765"/>
                          </a:xfrm>
                          <a:prstGeom prst="rect">
                            <a:avLst/>
                          </a:prstGeom>
                          <a:noFill/>
                          <a:ln>
                            <a:noFill/>
                          </a:ln>
                        </pic:spPr>
                      </pic:pic>
                    </a:graphicData>
                  </a:graphic>
                </wp:anchor>
              </w:drawing>
            </w:r>
            <w:r>
              <w:rPr>
                <w:rFonts w:hint="eastAsia" w:cs="Times New Roman"/>
                <w:b/>
                <w:bCs/>
                <w:color w:val="000000" w:themeColor="text1"/>
                <w:kern w:val="2"/>
                <w:sz w:val="24"/>
                <w:szCs w:val="20"/>
                <w:highlight w:val="none"/>
                <w:lang w:val="en-US" w:eastAsia="zh-CN" w:bidi="ar-SA"/>
                <w14:textFill>
                  <w14:solidFill>
                    <w14:schemeClr w14:val="tx1"/>
                  </w14:solidFill>
                </w14:textFill>
              </w:rPr>
              <w:t>图3.1-1 福建省流域水环境质量状况（2024年）</w:t>
            </w:r>
          </w:p>
          <w:p w14:paraId="135FEB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center"/>
              <w:textAlignment w:val="auto"/>
              <w:rPr>
                <w:rFonts w:hint="default" w:cs="Times New Roman"/>
                <w:b/>
                <w:bCs/>
                <w:color w:val="000000" w:themeColor="text1"/>
                <w:kern w:val="2"/>
                <w:sz w:val="24"/>
                <w:szCs w:val="20"/>
                <w:highlight w:val="none"/>
                <w:lang w:val="en-US" w:eastAsia="zh-CN" w:bidi="ar-SA"/>
                <w14:textFill>
                  <w14:solidFill>
                    <w14:schemeClr w14:val="tx1"/>
                  </w14:solidFill>
                </w14:textFill>
              </w:rPr>
            </w:pPr>
            <w:r>
              <w:rPr>
                <w:rFonts w:hint="eastAsia" w:cs="Times New Roman"/>
                <w:b/>
                <w:bCs/>
                <w:color w:val="000000" w:themeColor="text1"/>
                <w:kern w:val="2"/>
                <w:sz w:val="24"/>
                <w:szCs w:val="20"/>
                <w:highlight w:val="none"/>
                <w:lang w:val="en-US" w:eastAsia="zh-CN" w:bidi="ar-SA"/>
                <w14:textFill>
                  <w14:solidFill>
                    <w14:schemeClr w14:val="tx1"/>
                  </w14:solidFill>
                </w14:textFill>
              </w:rPr>
              <w:t>图3.1-2 福建省地表水水质状况排序（2024年）</w:t>
            </w:r>
          </w:p>
          <w:p w14:paraId="5B0D33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pPr>
            <w:r>
              <w:rPr>
                <w:rFonts w:hint="eastAsia" w:cs="Times New Roman"/>
                <w:color w:val="000000" w:themeColor="text1"/>
                <w:kern w:val="2"/>
                <w:sz w:val="24"/>
                <w:szCs w:val="20"/>
                <w:highlight w:val="none"/>
                <w:lang w:val="en-US" w:eastAsia="zh-CN" w:bidi="ar-SA"/>
                <w14:textFill>
                  <w14:solidFill>
                    <w14:schemeClr w14:val="tx1"/>
                  </w14:solidFill>
                </w14:textFill>
              </w:rPr>
              <w:t>②</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引用资料的有效性分析</w:t>
            </w:r>
          </w:p>
          <w:p w14:paraId="74AF04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根据《建设项目环境影响报告表编制技术指南（污染影响类）（试行）》（环办环评</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202</w:t>
            </w:r>
            <w:r>
              <w:rPr>
                <w:rFonts w:hint="eastAsia"/>
                <w:color w:val="000000" w:themeColor="text1"/>
                <w:sz w:val="24"/>
                <w:szCs w:val="24"/>
                <w:highlight w:val="none"/>
                <w:lang w:val="en-US" w:eastAsia="zh-CN"/>
                <w14:textFill>
                  <w14:solidFill>
                    <w14:schemeClr w14:val="tx1"/>
                  </w14:solidFill>
                </w14:textFill>
              </w:rPr>
              <w:t>0</w:t>
            </w:r>
            <w:r>
              <w:rPr>
                <w:rFonts w:hint="eastAsia"/>
                <w:color w:val="000000" w:themeColor="text1"/>
                <w:sz w:val="24"/>
                <w:szCs w:val="24"/>
                <w:highlight w:val="none"/>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3号）的要求：“地表水环境区域环境质量现状引用与建设项目距离近的有效数据，包括近3年的规划环境影响评价的监测数据，所在流域控制单元内国家、地方控制断面监测数据，生态环境主管部门发布的水环境质量数据或地表水达标情况的结论”，本次评价选取福州市人民政府网站发布的水环境质量状</w:t>
            </w:r>
            <w:r>
              <w:rPr>
                <w:rFonts w:hint="eastAsia" w:cs="Times New Roman"/>
                <w:color w:val="000000" w:themeColor="text1"/>
                <w:kern w:val="2"/>
                <w:sz w:val="24"/>
                <w:szCs w:val="20"/>
                <w:highlight w:val="none"/>
                <w:lang w:val="en-US" w:eastAsia="zh-CN" w:bidi="ar-SA"/>
                <w14:textFill>
                  <w14:solidFill>
                    <w14:schemeClr w14:val="tx1"/>
                  </w14:solidFill>
                </w14:textFill>
              </w:rPr>
              <w:t>况</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，符合</w:t>
            </w:r>
            <w:r>
              <w:rPr>
                <w:rFonts w:hint="eastAsia" w:cs="Times New Roman"/>
                <w:color w:val="000000" w:themeColor="text1"/>
                <w:kern w:val="2"/>
                <w:sz w:val="24"/>
                <w:szCs w:val="20"/>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建设项目环境影响报告表编制技术指南（污染影响类）（试行）》（环办环评</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202</w:t>
            </w:r>
            <w:r>
              <w:rPr>
                <w:rFonts w:hint="eastAsia"/>
                <w:color w:val="000000" w:themeColor="text1"/>
                <w:sz w:val="24"/>
                <w:szCs w:val="24"/>
                <w:highlight w:val="none"/>
                <w:lang w:val="en-US" w:eastAsia="zh-CN"/>
                <w14:textFill>
                  <w14:solidFill>
                    <w14:schemeClr w14:val="tx1"/>
                  </w14:solidFill>
                </w14:textFill>
              </w:rPr>
              <w:t>0</w:t>
            </w:r>
            <w:r>
              <w:rPr>
                <w:rFonts w:hint="eastAsia"/>
                <w:color w:val="000000" w:themeColor="text1"/>
                <w:sz w:val="24"/>
                <w:szCs w:val="24"/>
                <w:highlight w:val="none"/>
                <w14:textFill>
                  <w14:solidFill>
                    <w14:schemeClr w14:val="tx1"/>
                  </w14:solidFill>
                </w14:textFill>
              </w:rPr>
              <w:t>〕</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33号）的要求。</w:t>
            </w:r>
          </w:p>
          <w:p w14:paraId="38AAEF60">
            <w:pPr>
              <w:pStyle w:val="4"/>
              <w:numPr>
                <w:ilvl w:val="2"/>
                <w:numId w:val="1"/>
              </w:numPr>
              <w:bidi w:val="0"/>
              <w:ind w:left="720" w:leftChars="0" w:hanging="720" w:firstLineChars="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大气环境质量现状</w:t>
            </w:r>
          </w:p>
          <w:p w14:paraId="2314E8A1">
            <w:pPr>
              <w:pStyle w:val="5"/>
              <w:bidi w:val="0"/>
              <w:rPr>
                <w:rFonts w:hint="default"/>
              </w:rPr>
            </w:pPr>
            <w:r>
              <w:rPr>
                <w:rFonts w:hint="default"/>
                <w:lang w:val="en-US" w:eastAsia="zh-CN"/>
              </w:rPr>
              <w:t>区域达标判断</w:t>
            </w:r>
          </w:p>
          <w:p w14:paraId="4C89A908">
            <w:pPr>
              <w:pStyle w:val="44"/>
              <w:bidi w:val="0"/>
              <w:rPr>
                <w:rFonts w:hint="eastAsia"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根据福州市人民政府榕政综[2014]30号文件正式批准实施《福州市环境空气质量功能区划(报批稿)》的规定，项目所在区域环境空气功能规划为二类区，环境空气质量执行《环境空气质量标准》(GB3095-2012)及其修改单中的二级标准。非甲烷总烃参照执行《大气污染物综合排放标准详解》(国家环境保护局科技标准司)中规定的标准限值，具体详见表3.1-2。</w:t>
            </w:r>
          </w:p>
          <w:p w14:paraId="5EF2CE0B">
            <w:pPr>
              <w:pStyle w:val="42"/>
              <w:keepNext/>
              <w:keepLines/>
              <w:pageBreakBefore w:val="0"/>
              <w:widowControl w:val="0"/>
              <w:numPr>
                <w:ilvl w:val="7"/>
                <w:numId w:val="10"/>
              </w:numPr>
              <w:tabs>
                <w:tab w:val="left" w:pos="0"/>
              </w:tabs>
              <w:kinsoku/>
              <w:wordWrap/>
              <w:overflowPunct/>
              <w:topLinePunct w:val="0"/>
              <w:autoSpaceDE/>
              <w:autoSpaceDN/>
              <w:bidi w:val="0"/>
              <w:adjustRightInd/>
              <w:snapToGrid/>
              <w:spacing w:before="0" w:after="0"/>
              <w:ind w:left="630" w:leftChars="0" w:firstLineChars="0"/>
              <w:textAlignment w:val="auto"/>
              <w:rPr>
                <w:rFonts w:hint="default"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环境空气标准一览表</w:t>
            </w:r>
          </w:p>
          <w:tbl>
            <w:tblPr>
              <w:tblStyle w:val="33"/>
              <w:tblW w:w="4998"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683"/>
              <w:gridCol w:w="2420"/>
              <w:gridCol w:w="1929"/>
              <w:gridCol w:w="2613"/>
            </w:tblGrid>
            <w:tr w14:paraId="1794A96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97" w:hRule="atLeast"/>
              </w:trPr>
              <w:tc>
                <w:tcPr>
                  <w:tcW w:w="973" w:type="pct"/>
                  <w:tcBorders>
                    <w:tl2br w:val="nil"/>
                    <w:tr2bl w:val="nil"/>
                  </w:tcBorders>
                  <w:vAlign w:val="center"/>
                </w:tcPr>
                <w:p w14:paraId="2953A59C">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vertAlign w:val="baseline"/>
                    </w:rPr>
                  </w:pPr>
                  <w:r>
                    <w:rPr>
                      <w:rFonts w:ascii="Times New Roman" w:hAnsi="Times New Roman" w:eastAsia="宋体"/>
                      <w:spacing w:val="-4"/>
                      <w:sz w:val="21"/>
                    </w:rPr>
                    <w:t>污染物名称</w:t>
                  </w:r>
                </w:p>
              </w:tc>
              <w:tc>
                <w:tcPr>
                  <w:tcW w:w="1399" w:type="pct"/>
                  <w:tcBorders>
                    <w:tl2br w:val="nil"/>
                    <w:tr2bl w:val="nil"/>
                  </w:tcBorders>
                  <w:vAlign w:val="center"/>
                </w:tcPr>
                <w:p w14:paraId="741D5900">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vertAlign w:val="baseline"/>
                    </w:rPr>
                  </w:pPr>
                  <w:r>
                    <w:rPr>
                      <w:rFonts w:ascii="Times New Roman" w:hAnsi="Times New Roman" w:eastAsia="宋体"/>
                      <w:spacing w:val="-7"/>
                      <w:sz w:val="21"/>
                    </w:rPr>
                    <w:t>取值时间</w:t>
                  </w:r>
                </w:p>
              </w:tc>
              <w:tc>
                <w:tcPr>
                  <w:tcW w:w="1115" w:type="pct"/>
                  <w:tcBorders>
                    <w:tl2br w:val="nil"/>
                    <w:tr2bl w:val="nil"/>
                  </w:tcBorders>
                  <w:vAlign w:val="center"/>
                </w:tcPr>
                <w:p w14:paraId="57D46F4B">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vertAlign w:val="baseline"/>
                    </w:rPr>
                  </w:pPr>
                  <w:r>
                    <w:rPr>
                      <w:rFonts w:ascii="Times New Roman" w:hAnsi="Times New Roman" w:eastAsia="宋体"/>
                      <w:spacing w:val="-7"/>
                      <w:sz w:val="21"/>
                    </w:rPr>
                    <w:t>浓度限值</w:t>
                  </w:r>
                </w:p>
              </w:tc>
              <w:tc>
                <w:tcPr>
                  <w:tcW w:w="1511" w:type="pct"/>
                  <w:tcBorders>
                    <w:tl2br w:val="nil"/>
                    <w:tr2bl w:val="nil"/>
                  </w:tcBorders>
                  <w:vAlign w:val="center"/>
                </w:tcPr>
                <w:p w14:paraId="019D9981">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firstLine="0"/>
                    <w:textAlignment w:val="auto"/>
                    <w:rPr>
                      <w:rFonts w:hint="default" w:ascii="Times New Roman" w:hAnsi="Times New Roman" w:eastAsia="宋体"/>
                      <w:vertAlign w:val="baseline"/>
                    </w:rPr>
                  </w:pPr>
                  <w:r>
                    <w:rPr>
                      <w:rFonts w:ascii="Times New Roman" w:hAnsi="Times New Roman" w:eastAsia="宋体"/>
                      <w:spacing w:val="-7"/>
                      <w:sz w:val="21"/>
                    </w:rPr>
                    <w:t>标准来源</w:t>
                  </w:r>
                </w:p>
              </w:tc>
            </w:tr>
            <w:tr w14:paraId="602C27A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973" w:type="pct"/>
                  <w:vMerge w:val="restart"/>
                  <w:tcBorders>
                    <w:tl2br w:val="nil"/>
                    <w:tr2bl w:val="nil"/>
                  </w:tcBorders>
                  <w:vAlign w:val="center"/>
                </w:tcPr>
                <w:p w14:paraId="2ED05469">
                  <w:pPr>
                    <w:pStyle w:val="9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sz w:val="13"/>
                    </w:rPr>
                  </w:pPr>
                </w:p>
                <w:p w14:paraId="47A8B053">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vertAlign w:val="baseline"/>
                    </w:rPr>
                  </w:pPr>
                  <w:r>
                    <w:rPr>
                      <w:rFonts w:ascii="Times New Roman" w:hAnsi="Times New Roman" w:eastAsia="宋体"/>
                      <w:spacing w:val="-4"/>
                      <w:position w:val="2"/>
                      <w:sz w:val="21"/>
                    </w:rPr>
                    <w:t>PM</w:t>
                  </w:r>
                  <w:r>
                    <w:rPr>
                      <w:rFonts w:ascii="Times New Roman" w:hAnsi="Times New Roman" w:eastAsia="宋体"/>
                      <w:spacing w:val="-4"/>
                      <w:sz w:val="13"/>
                    </w:rPr>
                    <w:t>10</w:t>
                  </w:r>
                </w:p>
              </w:tc>
              <w:tc>
                <w:tcPr>
                  <w:tcW w:w="1399" w:type="pct"/>
                  <w:tcBorders>
                    <w:tl2br w:val="nil"/>
                    <w:tr2bl w:val="nil"/>
                  </w:tcBorders>
                  <w:vAlign w:val="center"/>
                </w:tcPr>
                <w:p w14:paraId="30EA0E91">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vertAlign w:val="baseline"/>
                    </w:rPr>
                  </w:pPr>
                  <w:r>
                    <w:rPr>
                      <w:rFonts w:ascii="Times New Roman" w:hAnsi="Times New Roman" w:eastAsia="宋体"/>
                      <w:spacing w:val="-5"/>
                      <w:sz w:val="21"/>
                    </w:rPr>
                    <w:t>年平均</w:t>
                  </w:r>
                </w:p>
              </w:tc>
              <w:tc>
                <w:tcPr>
                  <w:tcW w:w="1115" w:type="pct"/>
                  <w:tcBorders>
                    <w:tl2br w:val="nil"/>
                    <w:tr2bl w:val="nil"/>
                  </w:tcBorders>
                  <w:vAlign w:val="center"/>
                </w:tcPr>
                <w:p w14:paraId="6C81FA60">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vertAlign w:val="baseline"/>
                      <w:lang w:val="en-US" w:eastAsia="zh-CN"/>
                    </w:rPr>
                  </w:pPr>
                  <w:r>
                    <w:rPr>
                      <w:rFonts w:ascii="Times New Roman" w:hAnsi="Times New Roman" w:eastAsia="宋体"/>
                      <w:spacing w:val="-2"/>
                      <w:sz w:val="21"/>
                    </w:rPr>
                    <w:t>70μg/m</w:t>
                  </w:r>
                  <w:r>
                    <w:rPr>
                      <w:rFonts w:hint="eastAsia" w:ascii="Times New Roman" w:hAnsi="Times New Roman" w:eastAsia="宋体"/>
                      <w:spacing w:val="-2"/>
                      <w:sz w:val="21"/>
                      <w:vertAlign w:val="superscript"/>
                      <w:lang w:val="en-US" w:eastAsia="zh-CN"/>
                    </w:rPr>
                    <w:t>3</w:t>
                  </w:r>
                </w:p>
              </w:tc>
              <w:tc>
                <w:tcPr>
                  <w:tcW w:w="1511" w:type="pct"/>
                  <w:vMerge w:val="restart"/>
                  <w:tcBorders>
                    <w:tl2br w:val="nil"/>
                    <w:tr2bl w:val="nil"/>
                  </w:tcBorders>
                  <w:vAlign w:val="center"/>
                </w:tcPr>
                <w:p w14:paraId="3418B397">
                  <w:pPr>
                    <w:pStyle w:val="9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spacing w:val="-3"/>
                      <w:sz w:val="21"/>
                    </w:rPr>
                    <w:t>《环境空气质量标准》</w:t>
                  </w:r>
                </w:p>
                <w:p w14:paraId="50BA546E">
                  <w:pPr>
                    <w:pStyle w:val="9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vertAlign w:val="baseline"/>
                    </w:rPr>
                  </w:pPr>
                  <w:r>
                    <w:rPr>
                      <w:rFonts w:ascii="Times New Roman" w:hAnsi="Times New Roman" w:eastAsia="宋体"/>
                      <w:spacing w:val="-2"/>
                      <w:sz w:val="21"/>
                    </w:rPr>
                    <w:t>(GB3095-2012)</w:t>
                  </w:r>
                  <w:r>
                    <w:rPr>
                      <w:rFonts w:ascii="Times New Roman" w:hAnsi="Times New Roman" w:eastAsia="宋体"/>
                      <w:spacing w:val="-4"/>
                      <w:sz w:val="21"/>
                    </w:rPr>
                    <w:t>及其修改单中的二级标准</w:t>
                  </w:r>
                </w:p>
              </w:tc>
            </w:tr>
            <w:tr w14:paraId="7441F5A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973" w:type="pct"/>
                  <w:vMerge w:val="continue"/>
                  <w:tcBorders>
                    <w:tl2br w:val="nil"/>
                    <w:tr2bl w:val="nil"/>
                  </w:tcBorders>
                  <w:vAlign w:val="center"/>
                </w:tcPr>
                <w:p w14:paraId="2B1AEAE4">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vertAlign w:val="baseline"/>
                    </w:rPr>
                  </w:pPr>
                </w:p>
              </w:tc>
              <w:tc>
                <w:tcPr>
                  <w:tcW w:w="1399" w:type="pct"/>
                  <w:tcBorders>
                    <w:tl2br w:val="nil"/>
                    <w:tr2bl w:val="nil"/>
                  </w:tcBorders>
                  <w:vAlign w:val="center"/>
                </w:tcPr>
                <w:p w14:paraId="5EDDF70F">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vertAlign w:val="baseline"/>
                    </w:rPr>
                  </w:pPr>
                  <w:r>
                    <w:rPr>
                      <w:rFonts w:ascii="Times New Roman" w:hAnsi="Times New Roman" w:eastAsia="宋体"/>
                      <w:sz w:val="21"/>
                    </w:rPr>
                    <w:t>24</w:t>
                  </w:r>
                  <w:r>
                    <w:rPr>
                      <w:rFonts w:ascii="Times New Roman" w:hAnsi="Times New Roman" w:eastAsia="宋体"/>
                      <w:spacing w:val="-3"/>
                      <w:sz w:val="21"/>
                    </w:rPr>
                    <w:t>小时平均</w:t>
                  </w:r>
                </w:p>
              </w:tc>
              <w:tc>
                <w:tcPr>
                  <w:tcW w:w="1115" w:type="pct"/>
                  <w:tcBorders>
                    <w:tl2br w:val="nil"/>
                    <w:tr2bl w:val="nil"/>
                  </w:tcBorders>
                  <w:vAlign w:val="center"/>
                </w:tcPr>
                <w:p w14:paraId="7429595A">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vertAlign w:val="baseline"/>
                    </w:rPr>
                  </w:pPr>
                  <w:r>
                    <w:rPr>
                      <w:rFonts w:ascii="Times New Roman" w:hAnsi="Times New Roman" w:eastAsia="宋体"/>
                      <w:spacing w:val="-2"/>
                      <w:sz w:val="21"/>
                    </w:rPr>
                    <w:t>150μg/m</w:t>
                  </w:r>
                  <w:r>
                    <w:rPr>
                      <w:rFonts w:ascii="Times New Roman" w:hAnsi="Times New Roman" w:eastAsia="宋体"/>
                      <w:spacing w:val="-2"/>
                      <w:sz w:val="21"/>
                      <w:vertAlign w:val="superscript"/>
                    </w:rPr>
                    <w:t>3</w:t>
                  </w:r>
                </w:p>
              </w:tc>
              <w:tc>
                <w:tcPr>
                  <w:tcW w:w="1511" w:type="pct"/>
                  <w:vMerge w:val="continue"/>
                  <w:tcBorders>
                    <w:tl2br w:val="nil"/>
                    <w:tr2bl w:val="nil"/>
                  </w:tcBorders>
                  <w:vAlign w:val="center"/>
                </w:tcPr>
                <w:p w14:paraId="4B95C812">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vertAlign w:val="baseline"/>
                    </w:rPr>
                  </w:pPr>
                </w:p>
              </w:tc>
            </w:tr>
            <w:tr w14:paraId="6FF944B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973" w:type="pct"/>
                  <w:vMerge w:val="restart"/>
                  <w:tcBorders>
                    <w:tl2br w:val="nil"/>
                    <w:tr2bl w:val="nil"/>
                  </w:tcBorders>
                  <w:vAlign w:val="center"/>
                </w:tcPr>
                <w:p w14:paraId="1654A315">
                  <w:pPr>
                    <w:pStyle w:val="9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sz w:val="13"/>
                    </w:rPr>
                  </w:pPr>
                </w:p>
                <w:p w14:paraId="3F4BCD55">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firstLine="0"/>
                    <w:textAlignment w:val="auto"/>
                    <w:rPr>
                      <w:rFonts w:hint="default" w:ascii="Times New Roman" w:hAnsi="Times New Roman" w:eastAsia="宋体"/>
                      <w:vertAlign w:val="baseline"/>
                    </w:rPr>
                  </w:pPr>
                  <w:r>
                    <w:rPr>
                      <w:rFonts w:ascii="Times New Roman" w:hAnsi="Times New Roman" w:eastAsia="宋体"/>
                      <w:spacing w:val="-2"/>
                      <w:w w:val="105"/>
                      <w:position w:val="2"/>
                      <w:sz w:val="21"/>
                    </w:rPr>
                    <w:t>PM</w:t>
                  </w:r>
                  <w:r>
                    <w:rPr>
                      <w:rFonts w:ascii="Times New Roman" w:hAnsi="Times New Roman" w:eastAsia="宋体"/>
                      <w:spacing w:val="-2"/>
                      <w:w w:val="105"/>
                      <w:sz w:val="13"/>
                    </w:rPr>
                    <w:t>2.5</w:t>
                  </w:r>
                </w:p>
              </w:tc>
              <w:tc>
                <w:tcPr>
                  <w:tcW w:w="1399" w:type="pct"/>
                  <w:tcBorders>
                    <w:tl2br w:val="nil"/>
                    <w:tr2bl w:val="nil"/>
                  </w:tcBorders>
                  <w:vAlign w:val="center"/>
                </w:tcPr>
                <w:p w14:paraId="57B51C0B">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vertAlign w:val="baseline"/>
                    </w:rPr>
                  </w:pPr>
                  <w:r>
                    <w:rPr>
                      <w:rFonts w:ascii="Times New Roman" w:hAnsi="Times New Roman" w:eastAsia="宋体"/>
                      <w:spacing w:val="-5"/>
                      <w:sz w:val="21"/>
                    </w:rPr>
                    <w:t>年平均</w:t>
                  </w:r>
                </w:p>
              </w:tc>
              <w:tc>
                <w:tcPr>
                  <w:tcW w:w="1115" w:type="pct"/>
                  <w:tcBorders>
                    <w:tl2br w:val="nil"/>
                    <w:tr2bl w:val="nil"/>
                  </w:tcBorders>
                  <w:vAlign w:val="center"/>
                </w:tcPr>
                <w:p w14:paraId="3E8DB67B">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vertAlign w:val="baseline"/>
                    </w:rPr>
                  </w:pPr>
                  <w:r>
                    <w:rPr>
                      <w:rFonts w:ascii="Times New Roman" w:hAnsi="Times New Roman" w:eastAsia="宋体"/>
                      <w:spacing w:val="-2"/>
                      <w:sz w:val="21"/>
                    </w:rPr>
                    <w:t>35μg/m</w:t>
                  </w:r>
                  <w:r>
                    <w:rPr>
                      <w:rFonts w:ascii="Times New Roman" w:hAnsi="Times New Roman" w:eastAsia="宋体"/>
                      <w:spacing w:val="-2"/>
                      <w:position w:val="7"/>
                      <w:sz w:val="13"/>
                    </w:rPr>
                    <w:t>3</w:t>
                  </w:r>
                </w:p>
              </w:tc>
              <w:tc>
                <w:tcPr>
                  <w:tcW w:w="1511" w:type="pct"/>
                  <w:vMerge w:val="continue"/>
                  <w:tcBorders>
                    <w:tl2br w:val="nil"/>
                    <w:tr2bl w:val="nil"/>
                  </w:tcBorders>
                  <w:vAlign w:val="center"/>
                </w:tcPr>
                <w:p w14:paraId="53ED5106">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vertAlign w:val="baseline"/>
                    </w:rPr>
                  </w:pPr>
                </w:p>
              </w:tc>
            </w:tr>
            <w:tr w14:paraId="6BD6DAC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973" w:type="pct"/>
                  <w:vMerge w:val="continue"/>
                  <w:tcBorders>
                    <w:tl2br w:val="nil"/>
                    <w:tr2bl w:val="nil"/>
                  </w:tcBorders>
                  <w:vAlign w:val="center"/>
                </w:tcPr>
                <w:p w14:paraId="3BBCFD8E">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vertAlign w:val="baseline"/>
                    </w:rPr>
                  </w:pPr>
                </w:p>
              </w:tc>
              <w:tc>
                <w:tcPr>
                  <w:tcW w:w="1399" w:type="pct"/>
                  <w:tcBorders>
                    <w:tl2br w:val="nil"/>
                    <w:tr2bl w:val="nil"/>
                  </w:tcBorders>
                  <w:vAlign w:val="center"/>
                </w:tcPr>
                <w:p w14:paraId="566532A2">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vertAlign w:val="baseline"/>
                    </w:rPr>
                  </w:pPr>
                  <w:r>
                    <w:rPr>
                      <w:rFonts w:ascii="Times New Roman" w:hAnsi="Times New Roman" w:eastAsia="宋体"/>
                      <w:sz w:val="21"/>
                    </w:rPr>
                    <w:t>24</w:t>
                  </w:r>
                  <w:r>
                    <w:rPr>
                      <w:rFonts w:ascii="Times New Roman" w:hAnsi="Times New Roman" w:eastAsia="宋体"/>
                      <w:spacing w:val="-3"/>
                      <w:sz w:val="21"/>
                    </w:rPr>
                    <w:t>小时平均</w:t>
                  </w:r>
                </w:p>
              </w:tc>
              <w:tc>
                <w:tcPr>
                  <w:tcW w:w="1115" w:type="pct"/>
                  <w:tcBorders>
                    <w:tl2br w:val="nil"/>
                    <w:tr2bl w:val="nil"/>
                  </w:tcBorders>
                  <w:vAlign w:val="center"/>
                </w:tcPr>
                <w:p w14:paraId="66395B44">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vertAlign w:val="baseline"/>
                    </w:rPr>
                  </w:pPr>
                  <w:r>
                    <w:rPr>
                      <w:rFonts w:ascii="Times New Roman" w:hAnsi="Times New Roman" w:eastAsia="宋体"/>
                      <w:spacing w:val="-2"/>
                      <w:sz w:val="21"/>
                    </w:rPr>
                    <w:t>75μg/m</w:t>
                  </w:r>
                  <w:r>
                    <w:rPr>
                      <w:rFonts w:ascii="Times New Roman" w:hAnsi="Times New Roman" w:eastAsia="宋体"/>
                      <w:spacing w:val="-2"/>
                      <w:sz w:val="21"/>
                      <w:vertAlign w:val="superscript"/>
                    </w:rPr>
                    <w:t>3</w:t>
                  </w:r>
                </w:p>
              </w:tc>
              <w:tc>
                <w:tcPr>
                  <w:tcW w:w="1511" w:type="pct"/>
                  <w:vMerge w:val="continue"/>
                  <w:tcBorders>
                    <w:tl2br w:val="nil"/>
                    <w:tr2bl w:val="nil"/>
                  </w:tcBorders>
                  <w:vAlign w:val="center"/>
                </w:tcPr>
                <w:p w14:paraId="484C815B">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vertAlign w:val="baseline"/>
                    </w:rPr>
                  </w:pPr>
                </w:p>
              </w:tc>
            </w:tr>
            <w:tr w14:paraId="72E39B9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973" w:type="pct"/>
                  <w:vMerge w:val="restart"/>
                  <w:tcBorders>
                    <w:tl2br w:val="nil"/>
                    <w:tr2bl w:val="nil"/>
                  </w:tcBorders>
                  <w:vAlign w:val="center"/>
                </w:tcPr>
                <w:p w14:paraId="00F6C9B2">
                  <w:pPr>
                    <w:pStyle w:val="9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sz w:val="21"/>
                    </w:rPr>
                  </w:pPr>
                </w:p>
                <w:p w14:paraId="52105256">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vertAlign w:val="baseline"/>
                    </w:rPr>
                  </w:pPr>
                  <w:r>
                    <w:rPr>
                      <w:rFonts w:ascii="Times New Roman" w:hAnsi="Times New Roman" w:eastAsia="宋体"/>
                      <w:spacing w:val="-5"/>
                      <w:position w:val="2"/>
                      <w:sz w:val="21"/>
                    </w:rPr>
                    <w:t>SO</w:t>
                  </w:r>
                  <w:r>
                    <w:rPr>
                      <w:rFonts w:ascii="Times New Roman" w:hAnsi="Times New Roman" w:eastAsia="宋体"/>
                      <w:spacing w:val="-5"/>
                      <w:sz w:val="13"/>
                    </w:rPr>
                    <w:t>2</w:t>
                  </w:r>
                </w:p>
              </w:tc>
              <w:tc>
                <w:tcPr>
                  <w:tcW w:w="1399" w:type="pct"/>
                  <w:tcBorders>
                    <w:tl2br w:val="nil"/>
                    <w:tr2bl w:val="nil"/>
                  </w:tcBorders>
                  <w:vAlign w:val="center"/>
                </w:tcPr>
                <w:p w14:paraId="3A7EE02C">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vertAlign w:val="baseline"/>
                    </w:rPr>
                  </w:pPr>
                  <w:r>
                    <w:rPr>
                      <w:rFonts w:ascii="Times New Roman" w:hAnsi="Times New Roman" w:eastAsia="宋体"/>
                      <w:spacing w:val="-5"/>
                      <w:sz w:val="21"/>
                    </w:rPr>
                    <w:t>年平均</w:t>
                  </w:r>
                </w:p>
              </w:tc>
              <w:tc>
                <w:tcPr>
                  <w:tcW w:w="1115" w:type="pct"/>
                  <w:tcBorders>
                    <w:tl2br w:val="nil"/>
                    <w:tr2bl w:val="nil"/>
                  </w:tcBorders>
                  <w:vAlign w:val="center"/>
                </w:tcPr>
                <w:p w14:paraId="61B59E39">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vertAlign w:val="baseline"/>
                    </w:rPr>
                  </w:pPr>
                  <w:r>
                    <w:rPr>
                      <w:rFonts w:ascii="Times New Roman" w:hAnsi="Times New Roman" w:eastAsia="宋体"/>
                      <w:spacing w:val="-2"/>
                      <w:sz w:val="21"/>
                    </w:rPr>
                    <w:t>60μg/m</w:t>
                  </w:r>
                  <w:r>
                    <w:rPr>
                      <w:rFonts w:ascii="Times New Roman" w:hAnsi="Times New Roman" w:eastAsia="宋体"/>
                      <w:spacing w:val="-2"/>
                      <w:sz w:val="21"/>
                      <w:vertAlign w:val="superscript"/>
                    </w:rPr>
                    <w:t>3</w:t>
                  </w:r>
                </w:p>
              </w:tc>
              <w:tc>
                <w:tcPr>
                  <w:tcW w:w="1511" w:type="pct"/>
                  <w:vMerge w:val="continue"/>
                  <w:tcBorders>
                    <w:tl2br w:val="nil"/>
                    <w:tr2bl w:val="nil"/>
                  </w:tcBorders>
                  <w:vAlign w:val="center"/>
                </w:tcPr>
                <w:p w14:paraId="39DF4230">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vertAlign w:val="baseline"/>
                    </w:rPr>
                  </w:pPr>
                </w:p>
              </w:tc>
            </w:tr>
            <w:tr w14:paraId="4D5F26B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973" w:type="pct"/>
                  <w:vMerge w:val="continue"/>
                  <w:tcBorders>
                    <w:tl2br w:val="nil"/>
                    <w:tr2bl w:val="nil"/>
                  </w:tcBorders>
                  <w:vAlign w:val="center"/>
                </w:tcPr>
                <w:p w14:paraId="3BFD08E4">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vertAlign w:val="baseline"/>
                    </w:rPr>
                  </w:pPr>
                </w:p>
              </w:tc>
              <w:tc>
                <w:tcPr>
                  <w:tcW w:w="1399" w:type="pct"/>
                  <w:tcBorders>
                    <w:tl2br w:val="nil"/>
                    <w:tr2bl w:val="nil"/>
                  </w:tcBorders>
                  <w:vAlign w:val="center"/>
                </w:tcPr>
                <w:p w14:paraId="51D211CC">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vertAlign w:val="baseline"/>
                    </w:rPr>
                  </w:pPr>
                  <w:r>
                    <w:rPr>
                      <w:rFonts w:ascii="Times New Roman" w:hAnsi="Times New Roman" w:eastAsia="宋体"/>
                      <w:sz w:val="21"/>
                    </w:rPr>
                    <w:t>24</w:t>
                  </w:r>
                  <w:r>
                    <w:rPr>
                      <w:rFonts w:ascii="Times New Roman" w:hAnsi="Times New Roman" w:eastAsia="宋体"/>
                      <w:spacing w:val="-3"/>
                      <w:sz w:val="21"/>
                    </w:rPr>
                    <w:t>小时平均</w:t>
                  </w:r>
                </w:p>
              </w:tc>
              <w:tc>
                <w:tcPr>
                  <w:tcW w:w="1115" w:type="pct"/>
                  <w:tcBorders>
                    <w:tl2br w:val="nil"/>
                    <w:tr2bl w:val="nil"/>
                  </w:tcBorders>
                  <w:vAlign w:val="center"/>
                </w:tcPr>
                <w:p w14:paraId="18B350D2">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vertAlign w:val="baseline"/>
                    </w:rPr>
                  </w:pPr>
                  <w:r>
                    <w:rPr>
                      <w:rFonts w:ascii="Times New Roman" w:hAnsi="Times New Roman" w:eastAsia="宋体"/>
                      <w:spacing w:val="-2"/>
                      <w:sz w:val="21"/>
                    </w:rPr>
                    <w:t>150μg/m</w:t>
                  </w:r>
                  <w:r>
                    <w:rPr>
                      <w:rFonts w:ascii="Times New Roman" w:hAnsi="Times New Roman" w:eastAsia="宋体"/>
                      <w:spacing w:val="-2"/>
                      <w:position w:val="7"/>
                      <w:sz w:val="13"/>
                    </w:rPr>
                    <w:t>3</w:t>
                  </w:r>
                </w:p>
              </w:tc>
              <w:tc>
                <w:tcPr>
                  <w:tcW w:w="1511" w:type="pct"/>
                  <w:vMerge w:val="continue"/>
                  <w:tcBorders>
                    <w:tl2br w:val="nil"/>
                    <w:tr2bl w:val="nil"/>
                  </w:tcBorders>
                  <w:vAlign w:val="center"/>
                </w:tcPr>
                <w:p w14:paraId="5636C6EF">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vertAlign w:val="baseline"/>
                    </w:rPr>
                  </w:pPr>
                </w:p>
              </w:tc>
            </w:tr>
            <w:tr w14:paraId="617D994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973" w:type="pct"/>
                  <w:vMerge w:val="continue"/>
                  <w:tcBorders>
                    <w:tl2br w:val="nil"/>
                    <w:tr2bl w:val="nil"/>
                  </w:tcBorders>
                  <w:vAlign w:val="center"/>
                </w:tcPr>
                <w:p w14:paraId="52C55C65">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vertAlign w:val="baseline"/>
                    </w:rPr>
                  </w:pPr>
                </w:p>
              </w:tc>
              <w:tc>
                <w:tcPr>
                  <w:tcW w:w="1399" w:type="pct"/>
                  <w:tcBorders>
                    <w:tl2br w:val="nil"/>
                    <w:tr2bl w:val="nil"/>
                  </w:tcBorders>
                  <w:vAlign w:val="center"/>
                </w:tcPr>
                <w:p w14:paraId="36A588AE">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vertAlign w:val="baseline"/>
                    </w:rPr>
                  </w:pPr>
                  <w:r>
                    <w:rPr>
                      <w:rFonts w:ascii="Times New Roman" w:hAnsi="Times New Roman" w:eastAsia="宋体"/>
                      <w:sz w:val="21"/>
                    </w:rPr>
                    <w:t>1</w:t>
                  </w:r>
                  <w:r>
                    <w:rPr>
                      <w:rFonts w:ascii="Times New Roman" w:hAnsi="Times New Roman" w:eastAsia="宋体"/>
                      <w:spacing w:val="-3"/>
                      <w:sz w:val="21"/>
                    </w:rPr>
                    <w:t>小时平均</w:t>
                  </w:r>
                </w:p>
              </w:tc>
              <w:tc>
                <w:tcPr>
                  <w:tcW w:w="1115" w:type="pct"/>
                  <w:tcBorders>
                    <w:tl2br w:val="nil"/>
                    <w:tr2bl w:val="nil"/>
                  </w:tcBorders>
                  <w:vAlign w:val="center"/>
                </w:tcPr>
                <w:p w14:paraId="3BCE6B78">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vertAlign w:val="baseline"/>
                    </w:rPr>
                  </w:pPr>
                  <w:r>
                    <w:rPr>
                      <w:rFonts w:ascii="Times New Roman" w:hAnsi="Times New Roman" w:eastAsia="宋体"/>
                      <w:spacing w:val="-2"/>
                      <w:sz w:val="21"/>
                    </w:rPr>
                    <w:t>500μg/m</w:t>
                  </w:r>
                  <w:r>
                    <w:rPr>
                      <w:rFonts w:ascii="Times New Roman" w:hAnsi="Times New Roman" w:eastAsia="宋体"/>
                      <w:spacing w:val="-2"/>
                      <w:sz w:val="21"/>
                      <w:vertAlign w:val="superscript"/>
                    </w:rPr>
                    <w:t>3</w:t>
                  </w:r>
                </w:p>
              </w:tc>
              <w:tc>
                <w:tcPr>
                  <w:tcW w:w="1511" w:type="pct"/>
                  <w:vMerge w:val="continue"/>
                  <w:tcBorders>
                    <w:tl2br w:val="nil"/>
                    <w:tr2bl w:val="nil"/>
                  </w:tcBorders>
                  <w:vAlign w:val="center"/>
                </w:tcPr>
                <w:p w14:paraId="38E1AFF5">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vertAlign w:val="baseline"/>
                    </w:rPr>
                  </w:pPr>
                </w:p>
              </w:tc>
            </w:tr>
            <w:tr w14:paraId="05F5222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973" w:type="pct"/>
                  <w:vMerge w:val="restart"/>
                  <w:tcBorders>
                    <w:tl2br w:val="nil"/>
                    <w:tr2bl w:val="nil"/>
                  </w:tcBorders>
                  <w:vAlign w:val="center"/>
                </w:tcPr>
                <w:p w14:paraId="3DE47E58">
                  <w:pPr>
                    <w:pStyle w:val="9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sz w:val="21"/>
                    </w:rPr>
                  </w:pPr>
                </w:p>
                <w:p w14:paraId="7634605C">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vertAlign w:val="baseline"/>
                    </w:rPr>
                  </w:pPr>
                  <w:r>
                    <w:rPr>
                      <w:rFonts w:ascii="Times New Roman" w:hAnsi="Times New Roman" w:eastAsia="宋体"/>
                      <w:spacing w:val="-5"/>
                      <w:position w:val="2"/>
                      <w:sz w:val="21"/>
                    </w:rPr>
                    <w:t>NO</w:t>
                  </w:r>
                  <w:r>
                    <w:rPr>
                      <w:rFonts w:ascii="Times New Roman" w:hAnsi="Times New Roman" w:eastAsia="宋体"/>
                      <w:spacing w:val="-5"/>
                      <w:sz w:val="13"/>
                    </w:rPr>
                    <w:t>2</w:t>
                  </w:r>
                </w:p>
              </w:tc>
              <w:tc>
                <w:tcPr>
                  <w:tcW w:w="1399" w:type="pct"/>
                  <w:tcBorders>
                    <w:tl2br w:val="nil"/>
                    <w:tr2bl w:val="nil"/>
                  </w:tcBorders>
                  <w:vAlign w:val="center"/>
                </w:tcPr>
                <w:p w14:paraId="6BEAB1E4">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ascii="Times New Roman" w:hAnsi="Times New Roman" w:eastAsia="宋体"/>
                      <w:sz w:val="21"/>
                    </w:rPr>
                  </w:pPr>
                  <w:r>
                    <w:rPr>
                      <w:rFonts w:ascii="Times New Roman" w:hAnsi="Times New Roman" w:eastAsia="宋体"/>
                      <w:spacing w:val="-5"/>
                      <w:sz w:val="21"/>
                    </w:rPr>
                    <w:t>年平均</w:t>
                  </w:r>
                </w:p>
              </w:tc>
              <w:tc>
                <w:tcPr>
                  <w:tcW w:w="1115" w:type="pct"/>
                  <w:tcBorders>
                    <w:tl2br w:val="nil"/>
                    <w:tr2bl w:val="nil"/>
                  </w:tcBorders>
                  <w:vAlign w:val="center"/>
                </w:tcPr>
                <w:p w14:paraId="2FC3D5F9">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vertAlign w:val="baseline"/>
                    </w:rPr>
                  </w:pPr>
                  <w:r>
                    <w:rPr>
                      <w:rFonts w:ascii="Times New Roman" w:hAnsi="Times New Roman" w:eastAsia="宋体"/>
                      <w:spacing w:val="-2"/>
                      <w:sz w:val="21"/>
                    </w:rPr>
                    <w:t>40μg/m</w:t>
                  </w:r>
                  <w:r>
                    <w:rPr>
                      <w:rFonts w:ascii="Times New Roman" w:hAnsi="Times New Roman" w:eastAsia="宋体"/>
                      <w:spacing w:val="-2"/>
                      <w:sz w:val="21"/>
                      <w:vertAlign w:val="superscript"/>
                    </w:rPr>
                    <w:t>3</w:t>
                  </w:r>
                </w:p>
              </w:tc>
              <w:tc>
                <w:tcPr>
                  <w:tcW w:w="1511" w:type="pct"/>
                  <w:vMerge w:val="continue"/>
                  <w:tcBorders>
                    <w:tl2br w:val="nil"/>
                    <w:tr2bl w:val="nil"/>
                  </w:tcBorders>
                  <w:vAlign w:val="center"/>
                </w:tcPr>
                <w:p w14:paraId="1E21D4C1">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vertAlign w:val="baseline"/>
                    </w:rPr>
                  </w:pPr>
                </w:p>
              </w:tc>
            </w:tr>
            <w:tr w14:paraId="1A0C303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973" w:type="pct"/>
                  <w:vMerge w:val="continue"/>
                  <w:tcBorders>
                    <w:tl2br w:val="nil"/>
                    <w:tr2bl w:val="nil"/>
                  </w:tcBorders>
                  <w:vAlign w:val="center"/>
                </w:tcPr>
                <w:p w14:paraId="3644C770">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vertAlign w:val="baseline"/>
                    </w:rPr>
                  </w:pPr>
                </w:p>
              </w:tc>
              <w:tc>
                <w:tcPr>
                  <w:tcW w:w="1399" w:type="pct"/>
                  <w:tcBorders>
                    <w:tl2br w:val="nil"/>
                    <w:tr2bl w:val="nil"/>
                  </w:tcBorders>
                  <w:vAlign w:val="center"/>
                </w:tcPr>
                <w:p w14:paraId="601E05BE">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ascii="Times New Roman" w:hAnsi="Times New Roman" w:eastAsia="宋体"/>
                      <w:sz w:val="21"/>
                    </w:rPr>
                  </w:pPr>
                  <w:r>
                    <w:rPr>
                      <w:rFonts w:ascii="Times New Roman" w:hAnsi="Times New Roman" w:eastAsia="宋体"/>
                      <w:sz w:val="21"/>
                    </w:rPr>
                    <w:t>24</w:t>
                  </w:r>
                  <w:r>
                    <w:rPr>
                      <w:rFonts w:ascii="Times New Roman" w:hAnsi="Times New Roman" w:eastAsia="宋体"/>
                      <w:spacing w:val="-3"/>
                      <w:sz w:val="21"/>
                    </w:rPr>
                    <w:t>小时平均</w:t>
                  </w:r>
                </w:p>
              </w:tc>
              <w:tc>
                <w:tcPr>
                  <w:tcW w:w="1115" w:type="pct"/>
                  <w:tcBorders>
                    <w:tl2br w:val="nil"/>
                    <w:tr2bl w:val="nil"/>
                  </w:tcBorders>
                  <w:vAlign w:val="center"/>
                </w:tcPr>
                <w:p w14:paraId="3E493281">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vertAlign w:val="baseline"/>
                    </w:rPr>
                  </w:pPr>
                  <w:r>
                    <w:rPr>
                      <w:rFonts w:ascii="Times New Roman" w:hAnsi="Times New Roman" w:eastAsia="宋体"/>
                      <w:spacing w:val="-2"/>
                      <w:sz w:val="21"/>
                    </w:rPr>
                    <w:t>80μg/m</w:t>
                  </w:r>
                  <w:r>
                    <w:rPr>
                      <w:rFonts w:ascii="Times New Roman" w:hAnsi="Times New Roman" w:eastAsia="宋体"/>
                      <w:spacing w:val="-2"/>
                      <w:position w:val="7"/>
                      <w:sz w:val="13"/>
                    </w:rPr>
                    <w:t>3</w:t>
                  </w:r>
                </w:p>
              </w:tc>
              <w:tc>
                <w:tcPr>
                  <w:tcW w:w="1511" w:type="pct"/>
                  <w:vMerge w:val="continue"/>
                  <w:tcBorders>
                    <w:tl2br w:val="nil"/>
                    <w:tr2bl w:val="nil"/>
                  </w:tcBorders>
                  <w:vAlign w:val="center"/>
                </w:tcPr>
                <w:p w14:paraId="6CED5E9F">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vertAlign w:val="baseline"/>
                    </w:rPr>
                  </w:pPr>
                </w:p>
              </w:tc>
            </w:tr>
            <w:tr w14:paraId="5E364C0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973" w:type="pct"/>
                  <w:vMerge w:val="continue"/>
                  <w:tcBorders>
                    <w:tl2br w:val="nil"/>
                    <w:tr2bl w:val="nil"/>
                  </w:tcBorders>
                  <w:vAlign w:val="center"/>
                </w:tcPr>
                <w:p w14:paraId="297267C9">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vertAlign w:val="baseline"/>
                    </w:rPr>
                  </w:pPr>
                </w:p>
              </w:tc>
              <w:tc>
                <w:tcPr>
                  <w:tcW w:w="1399" w:type="pct"/>
                  <w:tcBorders>
                    <w:tl2br w:val="nil"/>
                    <w:tr2bl w:val="nil"/>
                  </w:tcBorders>
                  <w:vAlign w:val="center"/>
                </w:tcPr>
                <w:p w14:paraId="78ACFAC8">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ascii="Times New Roman" w:hAnsi="Times New Roman" w:eastAsia="宋体"/>
                      <w:sz w:val="21"/>
                    </w:rPr>
                  </w:pPr>
                  <w:r>
                    <w:rPr>
                      <w:rFonts w:ascii="Times New Roman" w:hAnsi="Times New Roman" w:eastAsia="宋体"/>
                      <w:sz w:val="21"/>
                    </w:rPr>
                    <w:t>1</w:t>
                  </w:r>
                  <w:r>
                    <w:rPr>
                      <w:rFonts w:ascii="Times New Roman" w:hAnsi="Times New Roman" w:eastAsia="宋体"/>
                      <w:spacing w:val="-3"/>
                      <w:sz w:val="21"/>
                    </w:rPr>
                    <w:t>小时平均</w:t>
                  </w:r>
                </w:p>
              </w:tc>
              <w:tc>
                <w:tcPr>
                  <w:tcW w:w="1115" w:type="pct"/>
                  <w:tcBorders>
                    <w:tl2br w:val="nil"/>
                    <w:tr2bl w:val="nil"/>
                  </w:tcBorders>
                  <w:vAlign w:val="center"/>
                </w:tcPr>
                <w:p w14:paraId="1137C8D8">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vertAlign w:val="baseline"/>
                    </w:rPr>
                  </w:pPr>
                  <w:r>
                    <w:rPr>
                      <w:rFonts w:ascii="Times New Roman" w:hAnsi="Times New Roman" w:eastAsia="宋体"/>
                      <w:spacing w:val="-2"/>
                      <w:sz w:val="21"/>
                    </w:rPr>
                    <w:t>200μg/m</w:t>
                  </w:r>
                  <w:r>
                    <w:rPr>
                      <w:rFonts w:ascii="Times New Roman" w:hAnsi="Times New Roman" w:eastAsia="宋体"/>
                      <w:spacing w:val="-2"/>
                      <w:sz w:val="21"/>
                      <w:vertAlign w:val="superscript"/>
                    </w:rPr>
                    <w:t>3</w:t>
                  </w:r>
                </w:p>
              </w:tc>
              <w:tc>
                <w:tcPr>
                  <w:tcW w:w="1511" w:type="pct"/>
                  <w:vMerge w:val="continue"/>
                  <w:tcBorders>
                    <w:tl2br w:val="nil"/>
                    <w:tr2bl w:val="nil"/>
                  </w:tcBorders>
                  <w:vAlign w:val="center"/>
                </w:tcPr>
                <w:p w14:paraId="0E96F1A4">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vertAlign w:val="baseline"/>
                    </w:rPr>
                  </w:pPr>
                </w:p>
              </w:tc>
            </w:tr>
            <w:tr w14:paraId="3B5EFF0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973" w:type="pct"/>
                  <w:vMerge w:val="restart"/>
                  <w:tcBorders>
                    <w:tl2br w:val="nil"/>
                    <w:tr2bl w:val="nil"/>
                  </w:tcBorders>
                  <w:vAlign w:val="center"/>
                </w:tcPr>
                <w:p w14:paraId="6A7381F4">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vertAlign w:val="baseline"/>
                    </w:rPr>
                  </w:pPr>
                  <w:r>
                    <w:rPr>
                      <w:rFonts w:ascii="Times New Roman" w:hAnsi="Times New Roman" w:eastAsia="宋体"/>
                      <w:spacing w:val="-5"/>
                      <w:sz w:val="21"/>
                    </w:rPr>
                    <w:t>CO</w:t>
                  </w:r>
                </w:p>
              </w:tc>
              <w:tc>
                <w:tcPr>
                  <w:tcW w:w="1399" w:type="pct"/>
                  <w:tcBorders>
                    <w:tl2br w:val="nil"/>
                    <w:tr2bl w:val="nil"/>
                  </w:tcBorders>
                  <w:vAlign w:val="center"/>
                </w:tcPr>
                <w:p w14:paraId="00FCFACC">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ascii="Times New Roman" w:hAnsi="Times New Roman" w:eastAsia="宋体"/>
                      <w:sz w:val="21"/>
                    </w:rPr>
                  </w:pPr>
                  <w:r>
                    <w:rPr>
                      <w:rFonts w:ascii="Times New Roman" w:hAnsi="Times New Roman" w:eastAsia="宋体"/>
                      <w:spacing w:val="-2"/>
                      <w:sz w:val="21"/>
                    </w:rPr>
                    <w:t>24</w:t>
                  </w:r>
                  <w:r>
                    <w:rPr>
                      <w:rFonts w:ascii="Times New Roman" w:hAnsi="Times New Roman" w:eastAsia="宋体"/>
                      <w:spacing w:val="-4"/>
                      <w:sz w:val="21"/>
                    </w:rPr>
                    <w:t>小时平均</w:t>
                  </w:r>
                </w:p>
              </w:tc>
              <w:tc>
                <w:tcPr>
                  <w:tcW w:w="1115" w:type="pct"/>
                  <w:tcBorders>
                    <w:tl2br w:val="nil"/>
                    <w:tr2bl w:val="nil"/>
                  </w:tcBorders>
                  <w:vAlign w:val="center"/>
                </w:tcPr>
                <w:p w14:paraId="4CAE001E">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vertAlign w:val="baseline"/>
                    </w:rPr>
                  </w:pPr>
                  <w:r>
                    <w:rPr>
                      <w:rFonts w:ascii="Times New Roman" w:hAnsi="Times New Roman" w:eastAsia="宋体"/>
                      <w:spacing w:val="-2"/>
                      <w:sz w:val="21"/>
                    </w:rPr>
                    <w:t>4mg/m</w:t>
                  </w:r>
                  <w:r>
                    <w:rPr>
                      <w:rFonts w:ascii="Times New Roman" w:hAnsi="Times New Roman" w:eastAsia="宋体"/>
                      <w:spacing w:val="-2"/>
                      <w:sz w:val="21"/>
                      <w:vertAlign w:val="superscript"/>
                    </w:rPr>
                    <w:t>3</w:t>
                  </w:r>
                </w:p>
              </w:tc>
              <w:tc>
                <w:tcPr>
                  <w:tcW w:w="1511" w:type="pct"/>
                  <w:vMerge w:val="continue"/>
                  <w:tcBorders>
                    <w:tl2br w:val="nil"/>
                    <w:tr2bl w:val="nil"/>
                  </w:tcBorders>
                  <w:vAlign w:val="center"/>
                </w:tcPr>
                <w:p w14:paraId="11072851">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vertAlign w:val="baseline"/>
                    </w:rPr>
                  </w:pPr>
                </w:p>
              </w:tc>
            </w:tr>
            <w:tr w14:paraId="1649A5C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973" w:type="pct"/>
                  <w:vMerge w:val="continue"/>
                  <w:tcBorders>
                    <w:tl2br w:val="nil"/>
                    <w:tr2bl w:val="nil"/>
                  </w:tcBorders>
                  <w:vAlign w:val="center"/>
                </w:tcPr>
                <w:p w14:paraId="710E775D">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vertAlign w:val="baseline"/>
                    </w:rPr>
                  </w:pPr>
                </w:p>
              </w:tc>
              <w:tc>
                <w:tcPr>
                  <w:tcW w:w="1399" w:type="pct"/>
                  <w:tcBorders>
                    <w:tl2br w:val="nil"/>
                    <w:tr2bl w:val="nil"/>
                  </w:tcBorders>
                  <w:vAlign w:val="center"/>
                </w:tcPr>
                <w:p w14:paraId="3A020F4F">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ascii="Times New Roman" w:hAnsi="Times New Roman" w:eastAsia="宋体"/>
                      <w:sz w:val="21"/>
                    </w:rPr>
                  </w:pPr>
                  <w:r>
                    <w:rPr>
                      <w:rFonts w:ascii="Times New Roman" w:hAnsi="Times New Roman" w:eastAsia="宋体"/>
                      <w:spacing w:val="-2"/>
                      <w:sz w:val="21"/>
                    </w:rPr>
                    <w:t>1</w:t>
                  </w:r>
                  <w:r>
                    <w:rPr>
                      <w:rFonts w:ascii="Times New Roman" w:hAnsi="Times New Roman" w:eastAsia="宋体"/>
                      <w:spacing w:val="-4"/>
                      <w:sz w:val="21"/>
                    </w:rPr>
                    <w:t>小时平均</w:t>
                  </w:r>
                </w:p>
              </w:tc>
              <w:tc>
                <w:tcPr>
                  <w:tcW w:w="1115" w:type="pct"/>
                  <w:tcBorders>
                    <w:tl2br w:val="nil"/>
                    <w:tr2bl w:val="nil"/>
                  </w:tcBorders>
                  <w:vAlign w:val="center"/>
                </w:tcPr>
                <w:p w14:paraId="04DBA9FA">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vertAlign w:val="baseline"/>
                    </w:rPr>
                  </w:pPr>
                  <w:r>
                    <w:rPr>
                      <w:rFonts w:ascii="Times New Roman" w:hAnsi="Times New Roman" w:eastAsia="宋体"/>
                      <w:spacing w:val="-2"/>
                      <w:sz w:val="21"/>
                    </w:rPr>
                    <w:t>10mg/m</w:t>
                  </w:r>
                  <w:r>
                    <w:rPr>
                      <w:rFonts w:ascii="Times New Roman" w:hAnsi="Times New Roman" w:eastAsia="宋体"/>
                      <w:spacing w:val="-2"/>
                      <w:sz w:val="21"/>
                      <w:vertAlign w:val="superscript"/>
                    </w:rPr>
                    <w:t>3</w:t>
                  </w:r>
                </w:p>
              </w:tc>
              <w:tc>
                <w:tcPr>
                  <w:tcW w:w="1511" w:type="pct"/>
                  <w:vMerge w:val="continue"/>
                  <w:tcBorders>
                    <w:tl2br w:val="nil"/>
                    <w:tr2bl w:val="nil"/>
                  </w:tcBorders>
                  <w:vAlign w:val="center"/>
                </w:tcPr>
                <w:p w14:paraId="457EA4F9">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vertAlign w:val="baseline"/>
                    </w:rPr>
                  </w:pPr>
                </w:p>
              </w:tc>
            </w:tr>
            <w:tr w14:paraId="36A7339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973" w:type="pct"/>
                  <w:vMerge w:val="restart"/>
                  <w:tcBorders>
                    <w:tl2br w:val="nil"/>
                    <w:tr2bl w:val="nil"/>
                  </w:tcBorders>
                  <w:vAlign w:val="center"/>
                </w:tcPr>
                <w:p w14:paraId="2720F56A">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vertAlign w:val="baseline"/>
                    </w:rPr>
                  </w:pPr>
                  <w:r>
                    <w:rPr>
                      <w:rFonts w:ascii="Times New Roman" w:hAnsi="Times New Roman" w:eastAsia="宋体"/>
                      <w:spacing w:val="-5"/>
                      <w:position w:val="2"/>
                      <w:sz w:val="21"/>
                    </w:rPr>
                    <w:t>O</w:t>
                  </w:r>
                  <w:r>
                    <w:rPr>
                      <w:rFonts w:ascii="Times New Roman" w:hAnsi="Times New Roman" w:eastAsia="宋体"/>
                      <w:spacing w:val="-5"/>
                      <w:sz w:val="13"/>
                    </w:rPr>
                    <w:t>3</w:t>
                  </w:r>
                </w:p>
              </w:tc>
              <w:tc>
                <w:tcPr>
                  <w:tcW w:w="1399" w:type="pct"/>
                  <w:tcBorders>
                    <w:tl2br w:val="nil"/>
                    <w:tr2bl w:val="nil"/>
                  </w:tcBorders>
                  <w:vAlign w:val="center"/>
                </w:tcPr>
                <w:p w14:paraId="60DEFCAB">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ascii="Times New Roman" w:hAnsi="Times New Roman" w:eastAsia="宋体"/>
                      <w:sz w:val="21"/>
                    </w:rPr>
                  </w:pPr>
                  <w:r>
                    <w:rPr>
                      <w:rFonts w:ascii="Times New Roman" w:hAnsi="Times New Roman" w:eastAsia="宋体"/>
                      <w:spacing w:val="-2"/>
                      <w:sz w:val="21"/>
                    </w:rPr>
                    <w:t>日最大8</w:t>
                  </w:r>
                  <w:r>
                    <w:rPr>
                      <w:rFonts w:ascii="Times New Roman" w:hAnsi="Times New Roman" w:eastAsia="宋体"/>
                      <w:spacing w:val="-4"/>
                      <w:sz w:val="21"/>
                    </w:rPr>
                    <w:t>小时平均</w:t>
                  </w:r>
                </w:p>
              </w:tc>
              <w:tc>
                <w:tcPr>
                  <w:tcW w:w="1115" w:type="pct"/>
                  <w:tcBorders>
                    <w:tl2br w:val="nil"/>
                    <w:tr2bl w:val="nil"/>
                  </w:tcBorders>
                  <w:vAlign w:val="center"/>
                </w:tcPr>
                <w:p w14:paraId="645AF1E7">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vertAlign w:val="baseline"/>
                    </w:rPr>
                  </w:pPr>
                  <w:r>
                    <w:rPr>
                      <w:rFonts w:ascii="Times New Roman" w:hAnsi="Times New Roman" w:eastAsia="宋体"/>
                      <w:spacing w:val="-2"/>
                      <w:sz w:val="21"/>
                    </w:rPr>
                    <w:t>160μg/m</w:t>
                  </w:r>
                  <w:r>
                    <w:rPr>
                      <w:rFonts w:ascii="Times New Roman" w:hAnsi="Times New Roman" w:eastAsia="宋体"/>
                      <w:spacing w:val="-2"/>
                      <w:position w:val="7"/>
                      <w:sz w:val="13"/>
                    </w:rPr>
                    <w:t>3</w:t>
                  </w:r>
                </w:p>
              </w:tc>
              <w:tc>
                <w:tcPr>
                  <w:tcW w:w="1511" w:type="pct"/>
                  <w:vMerge w:val="continue"/>
                  <w:tcBorders>
                    <w:tl2br w:val="nil"/>
                    <w:tr2bl w:val="nil"/>
                  </w:tcBorders>
                  <w:vAlign w:val="center"/>
                </w:tcPr>
                <w:p w14:paraId="3BC7DCE8">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vertAlign w:val="baseline"/>
                    </w:rPr>
                  </w:pPr>
                </w:p>
              </w:tc>
            </w:tr>
            <w:tr w14:paraId="5BB3FC4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973" w:type="pct"/>
                  <w:vMerge w:val="continue"/>
                  <w:tcBorders>
                    <w:tl2br w:val="nil"/>
                    <w:tr2bl w:val="nil"/>
                  </w:tcBorders>
                  <w:vAlign w:val="center"/>
                </w:tcPr>
                <w:p w14:paraId="681B8F0E">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vertAlign w:val="baseline"/>
                    </w:rPr>
                  </w:pPr>
                </w:p>
              </w:tc>
              <w:tc>
                <w:tcPr>
                  <w:tcW w:w="1399" w:type="pct"/>
                  <w:tcBorders>
                    <w:tl2br w:val="nil"/>
                    <w:tr2bl w:val="nil"/>
                  </w:tcBorders>
                  <w:vAlign w:val="center"/>
                </w:tcPr>
                <w:p w14:paraId="0F3AF3AB">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ascii="Times New Roman" w:hAnsi="Times New Roman" w:eastAsia="宋体"/>
                      <w:sz w:val="21"/>
                    </w:rPr>
                  </w:pPr>
                  <w:r>
                    <w:rPr>
                      <w:rFonts w:ascii="Times New Roman" w:hAnsi="Times New Roman" w:eastAsia="宋体"/>
                      <w:spacing w:val="-2"/>
                      <w:sz w:val="21"/>
                    </w:rPr>
                    <w:t>1</w:t>
                  </w:r>
                  <w:r>
                    <w:rPr>
                      <w:rFonts w:ascii="Times New Roman" w:hAnsi="Times New Roman" w:eastAsia="宋体"/>
                      <w:spacing w:val="-4"/>
                      <w:sz w:val="21"/>
                    </w:rPr>
                    <w:t>小时平均</w:t>
                  </w:r>
                </w:p>
              </w:tc>
              <w:tc>
                <w:tcPr>
                  <w:tcW w:w="1115" w:type="pct"/>
                  <w:tcBorders>
                    <w:tl2br w:val="nil"/>
                    <w:tr2bl w:val="nil"/>
                  </w:tcBorders>
                  <w:vAlign w:val="center"/>
                </w:tcPr>
                <w:p w14:paraId="6613D2C0">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vertAlign w:val="baseline"/>
                    </w:rPr>
                  </w:pPr>
                  <w:r>
                    <w:rPr>
                      <w:rFonts w:ascii="Times New Roman" w:hAnsi="Times New Roman" w:eastAsia="宋体"/>
                      <w:spacing w:val="-2"/>
                      <w:sz w:val="21"/>
                    </w:rPr>
                    <w:t>200μg/m</w:t>
                  </w:r>
                  <w:r>
                    <w:rPr>
                      <w:rFonts w:ascii="Times New Roman" w:hAnsi="Times New Roman" w:eastAsia="宋体"/>
                      <w:spacing w:val="-2"/>
                      <w:sz w:val="21"/>
                      <w:vertAlign w:val="superscript"/>
                    </w:rPr>
                    <w:t>3</w:t>
                  </w:r>
                </w:p>
              </w:tc>
              <w:tc>
                <w:tcPr>
                  <w:tcW w:w="1511" w:type="pct"/>
                  <w:vMerge w:val="continue"/>
                  <w:tcBorders>
                    <w:tl2br w:val="nil"/>
                    <w:tr2bl w:val="nil"/>
                  </w:tcBorders>
                  <w:vAlign w:val="center"/>
                </w:tcPr>
                <w:p w14:paraId="556E0B8C">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vertAlign w:val="baseline"/>
                    </w:rPr>
                  </w:pPr>
                </w:p>
              </w:tc>
            </w:tr>
            <w:tr w14:paraId="0CC7C0B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48" w:hRule="atLeast"/>
              </w:trPr>
              <w:tc>
                <w:tcPr>
                  <w:tcW w:w="973" w:type="pct"/>
                  <w:vMerge w:val="restart"/>
                  <w:tcBorders>
                    <w:tl2br w:val="nil"/>
                    <w:tr2bl w:val="nil"/>
                  </w:tcBorders>
                  <w:vAlign w:val="center"/>
                </w:tcPr>
                <w:p w14:paraId="29D9354B">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spacing w:val="-4"/>
                      <w:sz w:val="21"/>
                      <w:lang w:val="en-US" w:eastAsia="zh-CN"/>
                    </w:rPr>
                  </w:pPr>
                  <w:r>
                    <w:rPr>
                      <w:rFonts w:hint="eastAsia" w:ascii="Times New Roman" w:hAnsi="Times New Roman" w:eastAsia="宋体"/>
                      <w:spacing w:val="-4"/>
                      <w:sz w:val="21"/>
                      <w:lang w:val="en-US" w:eastAsia="zh-CN"/>
                    </w:rPr>
                    <w:t>TSP</w:t>
                  </w:r>
                </w:p>
              </w:tc>
              <w:tc>
                <w:tcPr>
                  <w:tcW w:w="1399" w:type="pct"/>
                  <w:tcBorders>
                    <w:tl2br w:val="nil"/>
                    <w:tr2bl w:val="nil"/>
                  </w:tcBorders>
                  <w:vAlign w:val="center"/>
                </w:tcPr>
                <w:p w14:paraId="24FCF2A4">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sz w:val="21"/>
                    </w:rPr>
                  </w:pPr>
                  <w:r>
                    <w:rPr>
                      <w:rFonts w:ascii="Times New Roman" w:hAnsi="Times New Roman" w:eastAsia="宋体"/>
                      <w:spacing w:val="-5"/>
                      <w:sz w:val="21"/>
                    </w:rPr>
                    <w:t>年平均</w:t>
                  </w:r>
                </w:p>
              </w:tc>
              <w:tc>
                <w:tcPr>
                  <w:tcW w:w="1115" w:type="pct"/>
                  <w:tcBorders>
                    <w:tl2br w:val="nil"/>
                    <w:tr2bl w:val="nil"/>
                  </w:tcBorders>
                  <w:vAlign w:val="center"/>
                </w:tcPr>
                <w:p w14:paraId="795542BD">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spacing w:val="-2"/>
                      <w:sz w:val="21"/>
                    </w:rPr>
                  </w:pPr>
                  <w:r>
                    <w:rPr>
                      <w:rFonts w:hint="eastAsia" w:ascii="Times New Roman" w:hAnsi="Times New Roman" w:eastAsia="宋体"/>
                      <w:spacing w:val="-2"/>
                      <w:sz w:val="21"/>
                      <w:lang w:val="en-US" w:eastAsia="zh-CN"/>
                    </w:rPr>
                    <w:t>200</w:t>
                  </w:r>
                  <w:r>
                    <w:rPr>
                      <w:rFonts w:ascii="Times New Roman" w:hAnsi="Times New Roman" w:eastAsia="宋体"/>
                      <w:spacing w:val="-2"/>
                      <w:sz w:val="21"/>
                    </w:rPr>
                    <w:t>μg/m</w:t>
                  </w:r>
                  <w:r>
                    <w:rPr>
                      <w:rFonts w:ascii="Times New Roman" w:hAnsi="Times New Roman" w:eastAsia="宋体"/>
                      <w:spacing w:val="-2"/>
                      <w:sz w:val="21"/>
                      <w:vertAlign w:val="superscript"/>
                    </w:rPr>
                    <w:t>3</w:t>
                  </w:r>
                </w:p>
              </w:tc>
              <w:tc>
                <w:tcPr>
                  <w:tcW w:w="1511" w:type="pct"/>
                  <w:vMerge w:val="continue"/>
                  <w:tcBorders>
                    <w:tl2br w:val="nil"/>
                    <w:tr2bl w:val="nil"/>
                  </w:tcBorders>
                  <w:vAlign w:val="center"/>
                </w:tcPr>
                <w:p w14:paraId="3B5D7B0C">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宋体"/>
                      <w:spacing w:val="-3"/>
                      <w:sz w:val="21"/>
                    </w:rPr>
                  </w:pPr>
                </w:p>
              </w:tc>
            </w:tr>
            <w:tr w14:paraId="41FEA30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48" w:hRule="atLeast"/>
              </w:trPr>
              <w:tc>
                <w:tcPr>
                  <w:tcW w:w="973" w:type="pct"/>
                  <w:vMerge w:val="continue"/>
                  <w:tcBorders>
                    <w:tl2br w:val="nil"/>
                    <w:tr2bl w:val="nil"/>
                  </w:tcBorders>
                  <w:vAlign w:val="center"/>
                </w:tcPr>
                <w:p w14:paraId="3AF7A471">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rPr>
                  </w:pPr>
                </w:p>
              </w:tc>
              <w:tc>
                <w:tcPr>
                  <w:tcW w:w="1399" w:type="pct"/>
                  <w:tcBorders>
                    <w:tl2br w:val="nil"/>
                    <w:tr2bl w:val="nil"/>
                  </w:tcBorders>
                  <w:vAlign w:val="center"/>
                </w:tcPr>
                <w:p w14:paraId="55778EB8">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sz w:val="21"/>
                    </w:rPr>
                  </w:pPr>
                  <w:r>
                    <w:rPr>
                      <w:rFonts w:ascii="Times New Roman" w:hAnsi="Times New Roman" w:eastAsia="宋体"/>
                      <w:sz w:val="21"/>
                    </w:rPr>
                    <w:t>24</w:t>
                  </w:r>
                  <w:r>
                    <w:rPr>
                      <w:rFonts w:ascii="Times New Roman" w:hAnsi="Times New Roman" w:eastAsia="宋体"/>
                      <w:spacing w:val="-3"/>
                      <w:sz w:val="21"/>
                    </w:rPr>
                    <w:t>小时平均</w:t>
                  </w:r>
                </w:p>
              </w:tc>
              <w:tc>
                <w:tcPr>
                  <w:tcW w:w="1115" w:type="pct"/>
                  <w:tcBorders>
                    <w:tl2br w:val="nil"/>
                    <w:tr2bl w:val="nil"/>
                  </w:tcBorders>
                  <w:vAlign w:val="center"/>
                </w:tcPr>
                <w:p w14:paraId="0F080229">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sz w:val="21"/>
                    </w:rPr>
                  </w:pPr>
                  <w:r>
                    <w:rPr>
                      <w:rFonts w:hint="eastAsia" w:ascii="Times New Roman" w:hAnsi="Times New Roman" w:eastAsia="宋体"/>
                      <w:spacing w:val="-2"/>
                      <w:sz w:val="21"/>
                      <w:lang w:val="en-US" w:eastAsia="zh-CN"/>
                    </w:rPr>
                    <w:t>300</w:t>
                  </w:r>
                  <w:r>
                    <w:rPr>
                      <w:rFonts w:ascii="Times New Roman" w:hAnsi="Times New Roman" w:eastAsia="宋体"/>
                      <w:spacing w:val="-2"/>
                      <w:sz w:val="21"/>
                    </w:rPr>
                    <w:t>μg/m</w:t>
                  </w:r>
                  <w:r>
                    <w:rPr>
                      <w:rFonts w:ascii="Times New Roman" w:hAnsi="Times New Roman" w:eastAsia="宋体"/>
                      <w:spacing w:val="-2"/>
                      <w:sz w:val="21"/>
                      <w:vertAlign w:val="superscript"/>
                    </w:rPr>
                    <w:t>3</w:t>
                  </w:r>
                </w:p>
              </w:tc>
              <w:tc>
                <w:tcPr>
                  <w:tcW w:w="1511" w:type="pct"/>
                  <w:vMerge w:val="continue"/>
                  <w:tcBorders>
                    <w:tl2br w:val="nil"/>
                    <w:tr2bl w:val="nil"/>
                  </w:tcBorders>
                  <w:vAlign w:val="center"/>
                </w:tcPr>
                <w:p w14:paraId="7B676045">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sz w:val="21"/>
                    </w:rPr>
                  </w:pPr>
                </w:p>
              </w:tc>
            </w:tr>
          </w:tbl>
          <w:p w14:paraId="22E5FE28">
            <w:pPr>
              <w:pStyle w:val="46"/>
              <w:rPr>
                <w:rFonts w:hint="default"/>
              </w:rPr>
            </w:pPr>
          </w:p>
          <w:p w14:paraId="437325B5">
            <w:pPr>
              <w:pStyle w:val="5"/>
              <w:bidi w:val="0"/>
              <w:rPr>
                <w:rFonts w:hint="default"/>
              </w:rPr>
            </w:pPr>
            <w:r>
              <w:rPr>
                <w:rFonts w:hint="eastAsia"/>
                <w:lang w:val="en-US" w:eastAsia="zh-CN"/>
              </w:rPr>
              <w:t>区域大气</w:t>
            </w:r>
            <w:r>
              <w:rPr>
                <w:rFonts w:hint="default"/>
                <w:lang w:val="en-US" w:eastAsia="zh-CN"/>
              </w:rPr>
              <w:t>环境质量现状</w:t>
            </w:r>
          </w:p>
          <w:p w14:paraId="101A2B52">
            <w:pPr>
              <w:pStyle w:val="44"/>
              <w:numPr>
                <w:ilvl w:val="0"/>
                <w:numId w:val="11"/>
              </w:numPr>
              <w:bidi w:val="0"/>
              <w:ind w:left="425" w:leftChars="0" w:hanging="425" w:firstLineChars="0"/>
              <w:rPr>
                <w:rFonts w:hint="eastAsia"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城市达标区域判断</w:t>
            </w:r>
          </w:p>
          <w:p w14:paraId="6117786B">
            <w:pPr>
              <w:pStyle w:val="44"/>
              <w:bidi w:val="0"/>
              <w:jc w:val="both"/>
              <w:rPr>
                <w:rFonts w:hint="eastAsia" w:ascii="Times New Roman" w:hAnsi="Times New Roman" w:eastAsia="宋体" w:cs="宋体"/>
                <w:color w:val="000000" w:themeColor="text1"/>
                <w:sz w:val="24"/>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城市环境空气质量达标情况评价指标为SO</w:t>
            </w:r>
            <w:r>
              <w:rPr>
                <w:rFonts w:hint="eastAsia" w:ascii="Times New Roman" w:hAnsi="Times New Roman" w:eastAsia="宋体" w:cs="宋体"/>
                <w:color w:val="000000" w:themeColor="text1"/>
                <w:highlight w:val="none"/>
                <w:vertAlign w:val="subscript"/>
                <w:lang w:val="en-US" w:eastAsia="zh-CN"/>
                <w14:textFill>
                  <w14:solidFill>
                    <w14:schemeClr w14:val="tx1"/>
                  </w14:solidFill>
                </w14:textFill>
              </w:rPr>
              <w:t>2</w:t>
            </w:r>
            <w:r>
              <w:rPr>
                <w:rFonts w:hint="eastAsia" w:ascii="Times New Roman" w:hAnsi="Times New Roman" w:eastAsia="宋体" w:cs="宋体"/>
                <w:color w:val="000000" w:themeColor="text1"/>
                <w:highlight w:val="none"/>
                <w:lang w:val="en-US" w:eastAsia="zh-CN"/>
                <w14:textFill>
                  <w14:solidFill>
                    <w14:schemeClr w14:val="tx1"/>
                  </w14:solidFill>
                </w14:textFill>
              </w:rPr>
              <w:t>、NO</w:t>
            </w:r>
            <w:r>
              <w:rPr>
                <w:rFonts w:hint="eastAsia" w:ascii="Times New Roman" w:hAnsi="Times New Roman" w:eastAsia="宋体" w:cs="宋体"/>
                <w:color w:val="000000" w:themeColor="text1"/>
                <w:highlight w:val="none"/>
                <w:vertAlign w:val="subscript"/>
                <w:lang w:val="en-US" w:eastAsia="zh-CN"/>
                <w14:textFill>
                  <w14:solidFill>
                    <w14:schemeClr w14:val="tx1"/>
                  </w14:solidFill>
                </w14:textFill>
              </w:rPr>
              <w:t>2</w:t>
            </w:r>
            <w:r>
              <w:rPr>
                <w:rFonts w:hint="eastAsia" w:ascii="Times New Roman" w:hAnsi="Times New Roman" w:eastAsia="宋体" w:cs="宋体"/>
                <w:color w:val="000000" w:themeColor="text1"/>
                <w:highlight w:val="none"/>
                <w:lang w:val="en-US" w:eastAsia="zh-CN"/>
                <w14:textFill>
                  <w14:solidFill>
                    <w14:schemeClr w14:val="tx1"/>
                  </w14:solidFill>
                </w14:textFill>
              </w:rPr>
              <w:t>、PM</w:t>
            </w:r>
            <w:r>
              <w:rPr>
                <w:rFonts w:hint="eastAsia" w:ascii="Times New Roman" w:hAnsi="Times New Roman" w:eastAsia="宋体" w:cs="宋体"/>
                <w:color w:val="000000" w:themeColor="text1"/>
                <w:highlight w:val="none"/>
                <w:vertAlign w:val="subscript"/>
                <w:lang w:val="en-US" w:eastAsia="zh-CN"/>
                <w14:textFill>
                  <w14:solidFill>
                    <w14:schemeClr w14:val="tx1"/>
                  </w14:solidFill>
                </w14:textFill>
              </w:rPr>
              <w:t>10</w:t>
            </w:r>
            <w:r>
              <w:rPr>
                <w:rFonts w:hint="eastAsia" w:ascii="Times New Roman" w:hAnsi="Times New Roman" w:eastAsia="宋体" w:cs="宋体"/>
                <w:color w:val="000000" w:themeColor="text1"/>
                <w:highlight w:val="none"/>
                <w:lang w:val="en-US" w:eastAsia="zh-CN"/>
                <w14:textFill>
                  <w14:solidFill>
                    <w14:schemeClr w14:val="tx1"/>
                  </w14:solidFill>
                </w14:textFill>
              </w:rPr>
              <w:t>、PM</w:t>
            </w:r>
            <w:r>
              <w:rPr>
                <w:rFonts w:hint="eastAsia" w:ascii="Times New Roman" w:hAnsi="Times New Roman" w:eastAsia="宋体" w:cs="宋体"/>
                <w:color w:val="000000" w:themeColor="text1"/>
                <w:highlight w:val="none"/>
                <w:vertAlign w:val="subscript"/>
                <w:lang w:val="en-US" w:eastAsia="zh-CN"/>
                <w14:textFill>
                  <w14:solidFill>
                    <w14:schemeClr w14:val="tx1"/>
                  </w14:solidFill>
                </w14:textFill>
              </w:rPr>
              <w:t>2.5</w:t>
            </w:r>
            <w:r>
              <w:rPr>
                <w:rFonts w:hint="eastAsia" w:ascii="Times New Roman" w:hAnsi="Times New Roman" w:eastAsia="宋体" w:cs="宋体"/>
                <w:color w:val="000000" w:themeColor="text1"/>
                <w:highlight w:val="none"/>
                <w:lang w:val="en-US" w:eastAsia="zh-CN"/>
                <w14:textFill>
                  <w14:solidFill>
                    <w14:schemeClr w14:val="tx1"/>
                  </w14:solidFill>
                </w14:textFill>
              </w:rPr>
              <w:t>、CO和O</w:t>
            </w:r>
            <w:r>
              <w:rPr>
                <w:rFonts w:hint="eastAsia" w:ascii="Times New Roman" w:hAnsi="Times New Roman" w:eastAsia="宋体" w:cs="宋体"/>
                <w:color w:val="000000" w:themeColor="text1"/>
                <w:highlight w:val="none"/>
                <w:vertAlign w:val="subscript"/>
                <w:lang w:val="en-US" w:eastAsia="zh-CN"/>
                <w14:textFill>
                  <w14:solidFill>
                    <w14:schemeClr w14:val="tx1"/>
                  </w14:solidFill>
                </w14:textFill>
              </w:rPr>
              <w:t>3</w:t>
            </w:r>
            <w:r>
              <w:rPr>
                <w:rFonts w:hint="eastAsia" w:ascii="Times New Roman" w:hAnsi="Times New Roman" w:eastAsia="宋体" w:cs="宋体"/>
                <w:color w:val="000000" w:themeColor="text1"/>
                <w:highlight w:val="none"/>
                <w:lang w:val="en-US" w:eastAsia="zh-CN"/>
                <w14:textFill>
                  <w14:solidFill>
                    <w14:schemeClr w14:val="tx1"/>
                  </w14:solidFill>
                </w14:textFill>
              </w:rPr>
              <w:t>，六项污染物全部达标即为城市环境空气质量达标。根据福建省生态环境厅发布的</w:t>
            </w:r>
            <w:r>
              <w:rPr>
                <w:rFonts w:hint="eastAsia" w:ascii="Times New Roman" w:hAnsi="Times New Roman" w:eastAsia="宋体" w:cs="宋体"/>
                <w:color w:val="000000" w:themeColor="text1"/>
                <w:sz w:val="24"/>
                <w:highlight w:val="none"/>
                <w:lang w:val="en-US" w:eastAsia="zh-CN"/>
                <w14:textFill>
                  <w14:solidFill>
                    <w14:schemeClr w14:val="tx1"/>
                  </w14:solidFill>
                </w14:textFill>
              </w:rPr>
              <w:t>“202</w:t>
            </w:r>
            <w:r>
              <w:rPr>
                <w:rFonts w:hint="eastAsia" w:ascii="Times New Roman" w:hAnsi="Times New Roman" w:cs="宋体"/>
                <w:color w:val="000000" w:themeColor="text1"/>
                <w:sz w:val="24"/>
                <w:highlight w:val="none"/>
                <w:lang w:val="en-US" w:eastAsia="zh-CN"/>
                <w14:textFill>
                  <w14:solidFill>
                    <w14:schemeClr w14:val="tx1"/>
                  </w14:solidFill>
                </w14:textFill>
              </w:rPr>
              <w:t>4</w:t>
            </w:r>
            <w:r>
              <w:rPr>
                <w:rFonts w:hint="eastAsia" w:ascii="Times New Roman" w:hAnsi="Times New Roman" w:eastAsia="宋体" w:cs="宋体"/>
                <w:color w:val="000000" w:themeColor="text1"/>
                <w:sz w:val="24"/>
                <w:highlight w:val="none"/>
                <w:lang w:val="en-US" w:eastAsia="zh-CN"/>
                <w14:textFill>
                  <w14:solidFill>
                    <w14:schemeClr w14:val="tx1"/>
                  </w14:solidFill>
                </w14:textFill>
              </w:rPr>
              <w:t>年12月福建省城市环境空气质量状况”显示，202</w:t>
            </w:r>
            <w:r>
              <w:rPr>
                <w:rFonts w:hint="eastAsia" w:ascii="Times New Roman" w:hAnsi="Times New Roman" w:cs="宋体"/>
                <w:color w:val="000000" w:themeColor="text1"/>
                <w:sz w:val="24"/>
                <w:highlight w:val="none"/>
                <w:lang w:val="en-US" w:eastAsia="zh-CN"/>
                <w14:textFill>
                  <w14:solidFill>
                    <w14:schemeClr w14:val="tx1"/>
                  </w14:solidFill>
                </w14:textFill>
              </w:rPr>
              <w:t>4</w:t>
            </w:r>
            <w:r>
              <w:rPr>
                <w:rFonts w:hint="eastAsia" w:ascii="Times New Roman" w:hAnsi="Times New Roman" w:eastAsia="宋体" w:cs="宋体"/>
                <w:color w:val="000000" w:themeColor="text1"/>
                <w:sz w:val="24"/>
                <w:highlight w:val="none"/>
                <w:lang w:val="en-US" w:eastAsia="zh-CN"/>
                <w14:textFill>
                  <w14:solidFill>
                    <w14:schemeClr w14:val="tx1"/>
                  </w14:solidFill>
                </w14:textFill>
              </w:rPr>
              <w:t>年1-12月，福州市环境空气质量综合指数2.</w:t>
            </w:r>
            <w:r>
              <w:rPr>
                <w:rFonts w:hint="eastAsia" w:ascii="Times New Roman" w:hAnsi="Times New Roman" w:cs="宋体"/>
                <w:color w:val="000000" w:themeColor="text1"/>
                <w:sz w:val="24"/>
                <w:highlight w:val="none"/>
                <w:lang w:val="en-US" w:eastAsia="zh-CN"/>
                <w14:textFill>
                  <w14:solidFill>
                    <w14:schemeClr w14:val="tx1"/>
                  </w14:solidFill>
                </w14:textFill>
              </w:rPr>
              <w:t>40</w:t>
            </w:r>
            <w:r>
              <w:rPr>
                <w:rFonts w:hint="eastAsia" w:ascii="Times New Roman" w:hAnsi="Times New Roman" w:eastAsia="宋体" w:cs="宋体"/>
                <w:color w:val="000000" w:themeColor="text1"/>
                <w:sz w:val="24"/>
                <w:highlight w:val="none"/>
                <w:lang w:val="en-US" w:eastAsia="zh-CN"/>
                <w14:textFill>
                  <w14:solidFill>
                    <w14:schemeClr w14:val="tx1"/>
                  </w14:solidFill>
                </w14:textFill>
              </w:rPr>
              <w:t>。由此可知，福州市城区环境空气质量总体达到二级标准，</w:t>
            </w:r>
            <w:r>
              <w:rPr>
                <w:rFonts w:hint="eastAsia" w:cs="宋体"/>
                <w:color w:val="000000" w:themeColor="text1"/>
                <w:sz w:val="24"/>
                <w:highlight w:val="none"/>
                <w:lang w:val="en-US" w:eastAsia="zh-CN"/>
                <w14:textFill>
                  <w14:solidFill>
                    <w14:schemeClr w14:val="tx1"/>
                  </w14:solidFill>
                </w14:textFill>
              </w:rPr>
              <w:t>闽清县</w:t>
            </w:r>
            <w:r>
              <w:rPr>
                <w:rFonts w:hint="eastAsia" w:ascii="Times New Roman" w:hAnsi="Times New Roman" w:eastAsia="宋体" w:cs="宋体"/>
                <w:color w:val="000000" w:themeColor="text1"/>
                <w:sz w:val="24"/>
                <w:highlight w:val="none"/>
                <w:lang w:val="en-US" w:eastAsia="zh-CN"/>
                <w14:textFill>
                  <w14:solidFill>
                    <w14:schemeClr w14:val="tx1"/>
                  </w14:solidFill>
                </w14:textFill>
              </w:rPr>
              <w:t>属于达标区域</w:t>
            </w:r>
            <w:r>
              <w:rPr>
                <w:rFonts w:hint="eastAsia" w:cs="宋体"/>
                <w:color w:val="000000" w:themeColor="text1"/>
                <w:sz w:val="24"/>
                <w:highlight w:val="none"/>
                <w:lang w:val="en-US" w:eastAsia="zh-CN"/>
                <w14:textFill>
                  <w14:solidFill>
                    <w14:schemeClr w14:val="tx1"/>
                  </w14:solidFill>
                </w14:textFill>
              </w:rPr>
              <w:t>；</w:t>
            </w:r>
            <w:r>
              <w:rPr>
                <w:rFonts w:hint="eastAsia" w:ascii="Times New Roman" w:hAnsi="Times New Roman" w:eastAsia="宋体" w:cs="宋体"/>
                <w:color w:val="000000" w:themeColor="text1"/>
                <w:sz w:val="24"/>
                <w:highlight w:val="none"/>
                <w:lang w:val="en-US" w:eastAsia="zh-CN"/>
                <w14:textFill>
                  <w14:solidFill>
                    <w14:schemeClr w14:val="tx1"/>
                  </w14:solidFill>
                </w14:textFill>
              </w:rPr>
              <w:t>见表3.1-</w:t>
            </w:r>
            <w:r>
              <w:rPr>
                <w:rFonts w:hint="eastAsia" w:ascii="Times New Roman" w:hAnsi="Times New Roman" w:cs="宋体"/>
                <w:color w:val="000000" w:themeColor="text1"/>
                <w:sz w:val="24"/>
                <w:highlight w:val="none"/>
                <w:lang w:val="en-US" w:eastAsia="zh-CN"/>
                <w14:textFill>
                  <w14:solidFill>
                    <w14:schemeClr w14:val="tx1"/>
                  </w14:solidFill>
                </w14:textFill>
              </w:rPr>
              <w:t>3</w:t>
            </w:r>
            <w:r>
              <w:rPr>
                <w:rFonts w:hint="eastAsia" w:ascii="Times New Roman" w:hAnsi="Times New Roman" w:eastAsia="宋体" w:cs="宋体"/>
                <w:color w:val="000000" w:themeColor="text1"/>
                <w:sz w:val="24"/>
                <w:highlight w:val="none"/>
                <w:lang w:val="en-US" w:eastAsia="zh-CN"/>
                <w14:textFill>
                  <w14:solidFill>
                    <w14:schemeClr w14:val="tx1"/>
                  </w14:solidFill>
                </w14:textFill>
              </w:rPr>
              <w:t>。</w:t>
            </w:r>
          </w:p>
          <w:p w14:paraId="1F849A2E">
            <w:pPr>
              <w:pStyle w:val="42"/>
              <w:keepNext/>
              <w:keepLines/>
              <w:pageBreakBefore w:val="0"/>
              <w:widowControl w:val="0"/>
              <w:numPr>
                <w:ilvl w:val="7"/>
                <w:numId w:val="10"/>
              </w:numPr>
              <w:tabs>
                <w:tab w:val="left" w:pos="0"/>
              </w:tabs>
              <w:kinsoku/>
              <w:wordWrap/>
              <w:overflowPunct/>
              <w:topLinePunct w:val="0"/>
              <w:autoSpaceDE/>
              <w:autoSpaceDN/>
              <w:bidi w:val="0"/>
              <w:adjustRightInd/>
              <w:snapToGrid/>
              <w:spacing w:before="0" w:after="0"/>
              <w:ind w:left="630" w:leftChars="0" w:firstLineChars="0"/>
              <w:textAlignment w:val="auto"/>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 xml:space="preserve"> 2024 年 1-12 月设区城市环境空气质量状况</w:t>
            </w:r>
          </w:p>
          <w:tbl>
            <w:tblPr>
              <w:tblStyle w:val="32"/>
              <w:tblW w:w="4997"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535"/>
              <w:gridCol w:w="829"/>
              <w:gridCol w:w="805"/>
              <w:gridCol w:w="704"/>
              <w:gridCol w:w="736"/>
              <w:gridCol w:w="797"/>
              <w:gridCol w:w="867"/>
              <w:gridCol w:w="1102"/>
              <w:gridCol w:w="1307"/>
              <w:gridCol w:w="931"/>
            </w:tblGrid>
            <w:tr w14:paraId="33B4B61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310" w:type="pct"/>
                  <w:tcBorders>
                    <w:left w:val="nil"/>
                    <w:bottom w:val="single" w:color="000000" w:sz="6" w:space="0"/>
                    <w:right w:val="single" w:color="000000" w:sz="6" w:space="0"/>
                  </w:tcBorders>
                  <w:vAlign w:val="center"/>
                </w:tcPr>
                <w:p w14:paraId="3F8770C6">
                  <w:pPr>
                    <w:pStyle w:val="9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textAlignment w:val="auto"/>
                    <w:rPr>
                      <w:rFonts w:ascii="Times New Roman" w:hAnsi="Times New Roman" w:eastAsia="宋体"/>
                      <w:sz w:val="21"/>
                      <w:szCs w:val="21"/>
                    </w:rPr>
                  </w:pPr>
                  <w:r>
                    <w:rPr>
                      <w:rFonts w:ascii="Times New Roman" w:hAnsi="Times New Roman" w:eastAsia="宋体"/>
                      <w:spacing w:val="-10"/>
                      <w:sz w:val="21"/>
                      <w:szCs w:val="21"/>
                    </w:rPr>
                    <w:t>排</w:t>
                  </w:r>
                </w:p>
                <w:p w14:paraId="0E43485F">
                  <w:pPr>
                    <w:pStyle w:val="9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textAlignment w:val="auto"/>
                    <w:rPr>
                      <w:rFonts w:ascii="Times New Roman" w:hAnsi="Times New Roman" w:eastAsia="宋体"/>
                      <w:sz w:val="21"/>
                      <w:szCs w:val="21"/>
                    </w:rPr>
                  </w:pPr>
                  <w:r>
                    <w:rPr>
                      <w:rFonts w:ascii="Times New Roman" w:hAnsi="Times New Roman" w:eastAsia="宋体"/>
                      <w:spacing w:val="-10"/>
                      <w:sz w:val="21"/>
                      <w:szCs w:val="21"/>
                    </w:rPr>
                    <w:t>名</w:t>
                  </w:r>
                </w:p>
              </w:tc>
              <w:tc>
                <w:tcPr>
                  <w:tcW w:w="481" w:type="pct"/>
                  <w:tcBorders>
                    <w:left w:val="single" w:color="000000" w:sz="6" w:space="0"/>
                    <w:bottom w:val="single" w:color="000000" w:sz="6" w:space="0"/>
                    <w:right w:val="single" w:color="000000" w:sz="6" w:space="0"/>
                  </w:tcBorders>
                  <w:vAlign w:val="center"/>
                </w:tcPr>
                <w:p w14:paraId="11885F43">
                  <w:pPr>
                    <w:pStyle w:val="9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textAlignment w:val="auto"/>
                    <w:rPr>
                      <w:rFonts w:ascii="Times New Roman" w:hAnsi="Times New Roman" w:eastAsia="宋体"/>
                      <w:sz w:val="21"/>
                      <w:szCs w:val="21"/>
                    </w:rPr>
                  </w:pPr>
                  <w:r>
                    <w:rPr>
                      <w:rFonts w:ascii="Times New Roman" w:hAnsi="Times New Roman" w:eastAsia="宋体"/>
                      <w:spacing w:val="-8"/>
                      <w:sz w:val="21"/>
                      <w:szCs w:val="21"/>
                    </w:rPr>
                    <w:t>城市</w:t>
                  </w:r>
                </w:p>
              </w:tc>
              <w:tc>
                <w:tcPr>
                  <w:tcW w:w="467" w:type="pct"/>
                  <w:tcBorders>
                    <w:left w:val="single" w:color="000000" w:sz="6" w:space="0"/>
                    <w:bottom w:val="single" w:color="000000" w:sz="6" w:space="0"/>
                    <w:right w:val="single" w:color="000000" w:sz="6" w:space="0"/>
                  </w:tcBorders>
                  <w:vAlign w:val="center"/>
                </w:tcPr>
                <w:p w14:paraId="3CC55730">
                  <w:pPr>
                    <w:pStyle w:val="9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textAlignment w:val="auto"/>
                    <w:rPr>
                      <w:rFonts w:ascii="Times New Roman" w:hAnsi="Times New Roman" w:eastAsia="宋体"/>
                      <w:sz w:val="21"/>
                      <w:szCs w:val="21"/>
                    </w:rPr>
                  </w:pPr>
                  <w:r>
                    <w:rPr>
                      <w:rFonts w:ascii="Times New Roman" w:hAnsi="Times New Roman" w:eastAsia="宋体"/>
                      <w:spacing w:val="-8"/>
                      <w:sz w:val="21"/>
                      <w:szCs w:val="21"/>
                    </w:rPr>
                    <w:t>综合</w:t>
                  </w:r>
                </w:p>
                <w:p w14:paraId="2B006537">
                  <w:pPr>
                    <w:pStyle w:val="9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textAlignment w:val="auto"/>
                    <w:rPr>
                      <w:rFonts w:ascii="Times New Roman" w:hAnsi="Times New Roman" w:eastAsia="宋体"/>
                      <w:sz w:val="21"/>
                      <w:szCs w:val="21"/>
                    </w:rPr>
                  </w:pPr>
                  <w:r>
                    <w:rPr>
                      <w:rFonts w:ascii="Times New Roman" w:hAnsi="Times New Roman" w:eastAsia="宋体"/>
                      <w:spacing w:val="-8"/>
                      <w:sz w:val="21"/>
                      <w:szCs w:val="21"/>
                    </w:rPr>
                    <w:t>指数</w:t>
                  </w:r>
                </w:p>
              </w:tc>
              <w:tc>
                <w:tcPr>
                  <w:tcW w:w="408" w:type="pct"/>
                  <w:tcBorders>
                    <w:left w:val="single" w:color="000000" w:sz="6" w:space="0"/>
                    <w:bottom w:val="single" w:color="000000" w:sz="6" w:space="0"/>
                    <w:right w:val="single" w:color="000000" w:sz="6" w:space="0"/>
                  </w:tcBorders>
                  <w:vAlign w:val="center"/>
                </w:tcPr>
                <w:p w14:paraId="07B3287F">
                  <w:pPr>
                    <w:pStyle w:val="9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sz w:val="21"/>
                      <w:szCs w:val="21"/>
                    </w:rPr>
                  </w:pPr>
                  <w:r>
                    <w:rPr>
                      <w:rFonts w:ascii="Times New Roman" w:hAnsi="Times New Roman" w:eastAsia="宋体"/>
                      <w:spacing w:val="-5"/>
                      <w:position w:val="2"/>
                      <w:sz w:val="21"/>
                      <w:szCs w:val="21"/>
                    </w:rPr>
                    <w:t>SO</w:t>
                  </w:r>
                  <w:r>
                    <w:rPr>
                      <w:rFonts w:ascii="Times New Roman" w:hAnsi="Times New Roman" w:eastAsia="宋体"/>
                      <w:spacing w:val="-5"/>
                      <w:sz w:val="21"/>
                      <w:szCs w:val="21"/>
                    </w:rPr>
                    <w:t>2</w:t>
                  </w:r>
                </w:p>
              </w:tc>
              <w:tc>
                <w:tcPr>
                  <w:tcW w:w="427" w:type="pct"/>
                  <w:tcBorders>
                    <w:left w:val="single" w:color="000000" w:sz="6" w:space="0"/>
                    <w:bottom w:val="single" w:color="000000" w:sz="6" w:space="0"/>
                    <w:right w:val="single" w:color="000000" w:sz="6" w:space="0"/>
                  </w:tcBorders>
                  <w:vAlign w:val="center"/>
                </w:tcPr>
                <w:p w14:paraId="50E73FA6">
                  <w:pPr>
                    <w:pStyle w:val="9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sz w:val="21"/>
                      <w:szCs w:val="21"/>
                    </w:rPr>
                  </w:pPr>
                  <w:r>
                    <w:rPr>
                      <w:rFonts w:ascii="Times New Roman" w:hAnsi="Times New Roman" w:eastAsia="宋体"/>
                      <w:spacing w:val="-5"/>
                      <w:position w:val="2"/>
                      <w:sz w:val="21"/>
                      <w:szCs w:val="21"/>
                    </w:rPr>
                    <w:t>NO</w:t>
                  </w:r>
                  <w:r>
                    <w:rPr>
                      <w:rFonts w:ascii="Times New Roman" w:hAnsi="Times New Roman" w:eastAsia="宋体"/>
                      <w:spacing w:val="-5"/>
                      <w:sz w:val="21"/>
                      <w:szCs w:val="21"/>
                    </w:rPr>
                    <w:t>2</w:t>
                  </w:r>
                </w:p>
              </w:tc>
              <w:tc>
                <w:tcPr>
                  <w:tcW w:w="462" w:type="pct"/>
                  <w:tcBorders>
                    <w:left w:val="single" w:color="000000" w:sz="6" w:space="0"/>
                    <w:bottom w:val="single" w:color="000000" w:sz="6" w:space="0"/>
                    <w:right w:val="single" w:color="000000" w:sz="6" w:space="0"/>
                  </w:tcBorders>
                  <w:vAlign w:val="center"/>
                </w:tcPr>
                <w:p w14:paraId="0042ABBB">
                  <w:pPr>
                    <w:pStyle w:val="9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sz w:val="21"/>
                      <w:szCs w:val="21"/>
                    </w:rPr>
                  </w:pPr>
                  <w:r>
                    <w:rPr>
                      <w:rFonts w:ascii="Times New Roman" w:hAnsi="Times New Roman" w:eastAsia="宋体"/>
                      <w:spacing w:val="-4"/>
                      <w:position w:val="2"/>
                      <w:sz w:val="21"/>
                      <w:szCs w:val="21"/>
                    </w:rPr>
                    <w:t>PM</w:t>
                  </w:r>
                  <w:r>
                    <w:rPr>
                      <w:rFonts w:ascii="Times New Roman" w:hAnsi="Times New Roman" w:eastAsia="宋体"/>
                      <w:spacing w:val="-4"/>
                      <w:sz w:val="21"/>
                      <w:szCs w:val="21"/>
                    </w:rPr>
                    <w:t>10</w:t>
                  </w:r>
                </w:p>
              </w:tc>
              <w:tc>
                <w:tcPr>
                  <w:tcW w:w="503" w:type="pct"/>
                  <w:tcBorders>
                    <w:left w:val="single" w:color="000000" w:sz="6" w:space="0"/>
                    <w:bottom w:val="single" w:color="000000" w:sz="6" w:space="0"/>
                    <w:right w:val="single" w:color="000000" w:sz="6" w:space="0"/>
                  </w:tcBorders>
                  <w:vAlign w:val="center"/>
                </w:tcPr>
                <w:p w14:paraId="1357FBB7">
                  <w:pPr>
                    <w:pStyle w:val="9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sz w:val="21"/>
                      <w:szCs w:val="21"/>
                    </w:rPr>
                  </w:pPr>
                  <w:r>
                    <w:rPr>
                      <w:rFonts w:ascii="Times New Roman" w:hAnsi="Times New Roman" w:eastAsia="宋体"/>
                      <w:spacing w:val="-2"/>
                      <w:w w:val="105"/>
                      <w:position w:val="2"/>
                      <w:sz w:val="21"/>
                      <w:szCs w:val="21"/>
                    </w:rPr>
                    <w:t>PM</w:t>
                  </w:r>
                  <w:r>
                    <w:rPr>
                      <w:rFonts w:ascii="Times New Roman" w:hAnsi="Times New Roman" w:eastAsia="宋体"/>
                      <w:spacing w:val="-2"/>
                      <w:w w:val="105"/>
                      <w:sz w:val="21"/>
                      <w:szCs w:val="21"/>
                    </w:rPr>
                    <w:t>2.5</w:t>
                  </w:r>
                </w:p>
              </w:tc>
              <w:tc>
                <w:tcPr>
                  <w:tcW w:w="639" w:type="pct"/>
                  <w:tcBorders>
                    <w:left w:val="single" w:color="000000" w:sz="6" w:space="0"/>
                    <w:bottom w:val="single" w:color="000000" w:sz="6" w:space="0"/>
                    <w:right w:val="single" w:color="000000" w:sz="6" w:space="0"/>
                  </w:tcBorders>
                  <w:vAlign w:val="center"/>
                </w:tcPr>
                <w:p w14:paraId="4E8DE08C">
                  <w:pPr>
                    <w:pStyle w:val="9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sz w:val="21"/>
                      <w:szCs w:val="21"/>
                    </w:rPr>
                  </w:pPr>
                  <w:r>
                    <w:rPr>
                      <w:rFonts w:ascii="Times New Roman" w:hAnsi="Times New Roman" w:eastAsia="宋体"/>
                      <w:spacing w:val="-2"/>
                      <w:position w:val="2"/>
                      <w:sz w:val="21"/>
                      <w:szCs w:val="21"/>
                    </w:rPr>
                    <w:t>CO-</w:t>
                  </w:r>
                  <w:r>
                    <w:rPr>
                      <w:rFonts w:ascii="Times New Roman" w:hAnsi="Times New Roman" w:eastAsia="宋体"/>
                      <w:spacing w:val="-2"/>
                      <w:sz w:val="21"/>
                      <w:szCs w:val="21"/>
                    </w:rPr>
                    <w:t>95per</w:t>
                  </w:r>
                </w:p>
              </w:tc>
              <w:tc>
                <w:tcPr>
                  <w:tcW w:w="758" w:type="pct"/>
                  <w:tcBorders>
                    <w:left w:val="single" w:color="000000" w:sz="6" w:space="0"/>
                    <w:bottom w:val="single" w:color="000000" w:sz="6" w:space="0"/>
                    <w:right w:val="single" w:color="000000" w:sz="6" w:space="0"/>
                  </w:tcBorders>
                  <w:vAlign w:val="center"/>
                </w:tcPr>
                <w:p w14:paraId="2FC57400">
                  <w:pPr>
                    <w:pStyle w:val="9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sz w:val="21"/>
                      <w:szCs w:val="21"/>
                    </w:rPr>
                  </w:pPr>
                  <w:r>
                    <w:rPr>
                      <w:rFonts w:ascii="Times New Roman" w:hAnsi="Times New Roman" w:eastAsia="宋体"/>
                      <w:position w:val="2"/>
                      <w:sz w:val="21"/>
                      <w:szCs w:val="21"/>
                    </w:rPr>
                    <w:t>O</w:t>
                  </w:r>
                  <w:r>
                    <w:rPr>
                      <w:rFonts w:ascii="Times New Roman" w:hAnsi="Times New Roman" w:eastAsia="宋体"/>
                      <w:sz w:val="21"/>
                      <w:szCs w:val="21"/>
                    </w:rPr>
                    <w:t>3</w:t>
                  </w:r>
                  <w:r>
                    <w:rPr>
                      <w:rFonts w:ascii="Times New Roman" w:hAnsi="Times New Roman" w:eastAsia="宋体"/>
                      <w:position w:val="2"/>
                      <w:sz w:val="21"/>
                      <w:szCs w:val="21"/>
                    </w:rPr>
                    <w:t>_</w:t>
                  </w:r>
                  <w:r>
                    <w:rPr>
                      <w:rFonts w:ascii="Times New Roman" w:hAnsi="Times New Roman" w:eastAsia="宋体"/>
                      <w:sz w:val="21"/>
                      <w:szCs w:val="21"/>
                    </w:rPr>
                    <w:t>8h-</w:t>
                  </w:r>
                  <w:r>
                    <w:rPr>
                      <w:rFonts w:ascii="Times New Roman" w:hAnsi="Times New Roman" w:eastAsia="宋体"/>
                      <w:spacing w:val="-2"/>
                      <w:sz w:val="21"/>
                      <w:szCs w:val="21"/>
                    </w:rPr>
                    <w:t>90per</w:t>
                  </w:r>
                </w:p>
              </w:tc>
              <w:tc>
                <w:tcPr>
                  <w:tcW w:w="540" w:type="pct"/>
                  <w:tcBorders>
                    <w:left w:val="single" w:color="000000" w:sz="6" w:space="0"/>
                    <w:bottom w:val="single" w:color="000000" w:sz="6" w:space="0"/>
                    <w:right w:val="nil"/>
                  </w:tcBorders>
                  <w:vAlign w:val="center"/>
                </w:tcPr>
                <w:p w14:paraId="5982A95B">
                  <w:pPr>
                    <w:pStyle w:val="9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sz w:val="21"/>
                      <w:szCs w:val="21"/>
                    </w:rPr>
                  </w:pPr>
                  <w:r>
                    <w:rPr>
                      <w:rFonts w:ascii="Times New Roman" w:hAnsi="Times New Roman" w:eastAsia="宋体"/>
                      <w:spacing w:val="-5"/>
                      <w:sz w:val="21"/>
                      <w:szCs w:val="21"/>
                    </w:rPr>
                    <w:t>首要污</w:t>
                  </w:r>
                </w:p>
                <w:p w14:paraId="439E8F2B">
                  <w:pPr>
                    <w:pStyle w:val="9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sz w:val="21"/>
                      <w:szCs w:val="21"/>
                    </w:rPr>
                  </w:pPr>
                  <w:r>
                    <w:rPr>
                      <w:rFonts w:ascii="Times New Roman" w:hAnsi="Times New Roman" w:eastAsia="宋体"/>
                      <w:spacing w:val="-8"/>
                      <w:sz w:val="21"/>
                      <w:szCs w:val="21"/>
                    </w:rPr>
                    <w:t>染物</w:t>
                  </w:r>
                </w:p>
              </w:tc>
            </w:tr>
            <w:tr w14:paraId="18EB407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310" w:type="pct"/>
                  <w:tcBorders>
                    <w:top w:val="single" w:color="000000" w:sz="6" w:space="0"/>
                    <w:left w:val="nil"/>
                    <w:right w:val="single" w:color="000000" w:sz="6" w:space="0"/>
                  </w:tcBorders>
                  <w:vAlign w:val="center"/>
                </w:tcPr>
                <w:p w14:paraId="546FD28F">
                  <w:pPr>
                    <w:pStyle w:val="9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sz w:val="21"/>
                      <w:szCs w:val="21"/>
                    </w:rPr>
                  </w:pPr>
                  <w:r>
                    <w:rPr>
                      <w:rFonts w:ascii="Times New Roman" w:hAnsi="Times New Roman" w:eastAsia="宋体"/>
                      <w:spacing w:val="-10"/>
                      <w:sz w:val="21"/>
                      <w:szCs w:val="21"/>
                    </w:rPr>
                    <w:t>1</w:t>
                  </w:r>
                </w:p>
              </w:tc>
              <w:tc>
                <w:tcPr>
                  <w:tcW w:w="481" w:type="pct"/>
                  <w:tcBorders>
                    <w:top w:val="single" w:color="000000" w:sz="6" w:space="0"/>
                    <w:left w:val="single" w:color="000000" w:sz="6" w:space="0"/>
                    <w:right w:val="single" w:color="000000" w:sz="6" w:space="0"/>
                  </w:tcBorders>
                  <w:vAlign w:val="center"/>
                </w:tcPr>
                <w:p w14:paraId="4FB42D4A">
                  <w:pPr>
                    <w:pStyle w:val="9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sz w:val="21"/>
                      <w:szCs w:val="21"/>
                    </w:rPr>
                  </w:pPr>
                  <w:r>
                    <w:rPr>
                      <w:rFonts w:ascii="Times New Roman" w:hAnsi="Times New Roman" w:eastAsia="宋体"/>
                      <w:spacing w:val="-8"/>
                      <w:sz w:val="21"/>
                      <w:szCs w:val="21"/>
                    </w:rPr>
                    <w:t>福州</w:t>
                  </w:r>
                </w:p>
                <w:p w14:paraId="20B3F384">
                  <w:pPr>
                    <w:pStyle w:val="9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sz w:val="21"/>
                      <w:szCs w:val="21"/>
                    </w:rPr>
                  </w:pPr>
                  <w:r>
                    <w:rPr>
                      <w:rFonts w:ascii="Times New Roman" w:hAnsi="Times New Roman" w:eastAsia="宋体"/>
                      <w:spacing w:val="-10"/>
                      <w:sz w:val="21"/>
                      <w:szCs w:val="21"/>
                    </w:rPr>
                    <w:t>市</w:t>
                  </w:r>
                </w:p>
              </w:tc>
              <w:tc>
                <w:tcPr>
                  <w:tcW w:w="467" w:type="pct"/>
                  <w:tcBorders>
                    <w:top w:val="single" w:color="000000" w:sz="6" w:space="0"/>
                    <w:left w:val="single" w:color="000000" w:sz="6" w:space="0"/>
                    <w:right w:val="single" w:color="000000" w:sz="6" w:space="0"/>
                  </w:tcBorders>
                  <w:vAlign w:val="center"/>
                </w:tcPr>
                <w:p w14:paraId="017294B0">
                  <w:pPr>
                    <w:pStyle w:val="9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textAlignment w:val="auto"/>
                    <w:rPr>
                      <w:rFonts w:hint="default" w:ascii="Times New Roman" w:hAnsi="Times New Roman" w:eastAsia="宋体"/>
                      <w:sz w:val="21"/>
                      <w:szCs w:val="21"/>
                      <w:lang w:val="en-US" w:eastAsia="zh-CN"/>
                    </w:rPr>
                  </w:pPr>
                  <w:r>
                    <w:rPr>
                      <w:rFonts w:ascii="Times New Roman" w:hAnsi="Times New Roman" w:eastAsia="宋体"/>
                      <w:spacing w:val="-4"/>
                      <w:sz w:val="21"/>
                      <w:szCs w:val="21"/>
                    </w:rPr>
                    <w:t>2.</w:t>
                  </w:r>
                  <w:r>
                    <w:rPr>
                      <w:rFonts w:hint="eastAsia" w:ascii="Times New Roman" w:hAnsi="Times New Roman" w:eastAsia="宋体"/>
                      <w:spacing w:val="-4"/>
                      <w:sz w:val="21"/>
                      <w:szCs w:val="21"/>
                      <w:lang w:val="en-US" w:eastAsia="zh-CN"/>
                    </w:rPr>
                    <w:t>40</w:t>
                  </w:r>
                </w:p>
              </w:tc>
              <w:tc>
                <w:tcPr>
                  <w:tcW w:w="704" w:type="dxa"/>
                  <w:tcBorders>
                    <w:top w:val="single" w:color="000000" w:sz="6" w:space="0"/>
                    <w:left w:val="single" w:color="000000" w:sz="6" w:space="0"/>
                    <w:right w:val="single" w:color="000000" w:sz="6" w:space="0"/>
                  </w:tcBorders>
                  <w:vAlign w:val="center"/>
                </w:tcPr>
                <w:p w14:paraId="14E0C0DE">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ascii="Times New Roman" w:hAnsi="Times New Roman" w:eastAsia="宋体"/>
                      <w:sz w:val="21"/>
                      <w:szCs w:val="21"/>
                    </w:rPr>
                  </w:pPr>
                  <w:r>
                    <w:rPr>
                      <w:rFonts w:hint="eastAsia" w:ascii="Times New Roman" w:hAnsi="Times New Roman" w:eastAsia="宋体" w:cs="宋体"/>
                      <w:i w:val="0"/>
                      <w:iCs w:val="0"/>
                      <w:caps w:val="0"/>
                      <w:color w:val="333333"/>
                      <w:spacing w:val="0"/>
                      <w:sz w:val="21"/>
                      <w:szCs w:val="21"/>
                    </w:rPr>
                    <w:t>4</w:t>
                  </w:r>
                </w:p>
              </w:tc>
              <w:tc>
                <w:tcPr>
                  <w:tcW w:w="736" w:type="dxa"/>
                  <w:tcBorders>
                    <w:top w:val="single" w:color="000000" w:sz="6" w:space="0"/>
                    <w:left w:val="single" w:color="000000" w:sz="6" w:space="0"/>
                    <w:right w:val="single" w:color="000000" w:sz="6" w:space="0"/>
                  </w:tcBorders>
                  <w:vAlign w:val="center"/>
                </w:tcPr>
                <w:p w14:paraId="6B522415">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ascii="Times New Roman" w:hAnsi="Times New Roman" w:eastAsia="宋体"/>
                      <w:sz w:val="21"/>
                      <w:szCs w:val="21"/>
                    </w:rPr>
                  </w:pPr>
                  <w:r>
                    <w:rPr>
                      <w:rFonts w:hint="eastAsia" w:ascii="Times New Roman" w:hAnsi="Times New Roman" w:eastAsia="宋体" w:cs="宋体"/>
                      <w:i w:val="0"/>
                      <w:iCs w:val="0"/>
                      <w:caps w:val="0"/>
                      <w:color w:val="333333"/>
                      <w:spacing w:val="0"/>
                      <w:sz w:val="21"/>
                      <w:szCs w:val="21"/>
                    </w:rPr>
                    <w:t>14</w:t>
                  </w:r>
                </w:p>
              </w:tc>
              <w:tc>
                <w:tcPr>
                  <w:tcW w:w="797" w:type="dxa"/>
                  <w:tcBorders>
                    <w:top w:val="single" w:color="000000" w:sz="6" w:space="0"/>
                    <w:left w:val="single" w:color="000000" w:sz="6" w:space="0"/>
                    <w:right w:val="single" w:color="000000" w:sz="6" w:space="0"/>
                  </w:tcBorders>
                  <w:vAlign w:val="center"/>
                </w:tcPr>
                <w:p w14:paraId="34653365">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ascii="Times New Roman" w:hAnsi="Times New Roman" w:eastAsia="宋体"/>
                      <w:sz w:val="21"/>
                      <w:szCs w:val="21"/>
                    </w:rPr>
                  </w:pPr>
                  <w:r>
                    <w:rPr>
                      <w:rFonts w:hint="eastAsia" w:ascii="Times New Roman" w:hAnsi="Times New Roman" w:eastAsia="宋体" w:cs="宋体"/>
                      <w:i w:val="0"/>
                      <w:iCs w:val="0"/>
                      <w:caps w:val="0"/>
                      <w:color w:val="333333"/>
                      <w:spacing w:val="0"/>
                      <w:sz w:val="21"/>
                      <w:szCs w:val="21"/>
                    </w:rPr>
                    <w:t>31</w:t>
                  </w:r>
                </w:p>
              </w:tc>
              <w:tc>
                <w:tcPr>
                  <w:tcW w:w="867" w:type="dxa"/>
                  <w:tcBorders>
                    <w:top w:val="single" w:color="000000" w:sz="6" w:space="0"/>
                    <w:left w:val="single" w:color="000000" w:sz="6" w:space="0"/>
                    <w:right w:val="single" w:color="000000" w:sz="6" w:space="0"/>
                  </w:tcBorders>
                  <w:vAlign w:val="center"/>
                </w:tcPr>
                <w:p w14:paraId="101F9C6E">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ascii="Times New Roman" w:hAnsi="Times New Roman" w:eastAsia="宋体"/>
                      <w:sz w:val="21"/>
                      <w:szCs w:val="21"/>
                    </w:rPr>
                  </w:pPr>
                  <w:r>
                    <w:rPr>
                      <w:rFonts w:hint="eastAsia" w:ascii="Times New Roman" w:hAnsi="Times New Roman" w:eastAsia="宋体" w:cs="宋体"/>
                      <w:i w:val="0"/>
                      <w:iCs w:val="0"/>
                      <w:caps w:val="0"/>
                      <w:color w:val="333333"/>
                      <w:spacing w:val="0"/>
                      <w:sz w:val="21"/>
                      <w:szCs w:val="21"/>
                    </w:rPr>
                    <w:t>19</w:t>
                  </w:r>
                </w:p>
              </w:tc>
              <w:tc>
                <w:tcPr>
                  <w:tcW w:w="1102" w:type="dxa"/>
                  <w:tcBorders>
                    <w:top w:val="single" w:color="000000" w:sz="6" w:space="0"/>
                    <w:left w:val="single" w:color="000000" w:sz="6" w:space="0"/>
                    <w:right w:val="single" w:color="000000" w:sz="6" w:space="0"/>
                  </w:tcBorders>
                  <w:vAlign w:val="center"/>
                </w:tcPr>
                <w:p w14:paraId="268A8719">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ascii="Times New Roman" w:hAnsi="Times New Roman" w:eastAsia="宋体"/>
                      <w:sz w:val="21"/>
                      <w:szCs w:val="21"/>
                    </w:rPr>
                  </w:pPr>
                  <w:r>
                    <w:rPr>
                      <w:rFonts w:hint="eastAsia" w:ascii="Times New Roman" w:hAnsi="Times New Roman" w:eastAsia="宋体" w:cs="宋体"/>
                      <w:i w:val="0"/>
                      <w:iCs w:val="0"/>
                      <w:caps w:val="0"/>
                      <w:color w:val="333333"/>
                      <w:spacing w:val="0"/>
                      <w:sz w:val="21"/>
                      <w:szCs w:val="21"/>
                    </w:rPr>
                    <w:t>0.7</w:t>
                  </w:r>
                </w:p>
              </w:tc>
              <w:tc>
                <w:tcPr>
                  <w:tcW w:w="1306" w:type="dxa"/>
                  <w:tcBorders>
                    <w:top w:val="single" w:color="000000" w:sz="6" w:space="0"/>
                    <w:left w:val="single" w:color="000000" w:sz="6" w:space="0"/>
                    <w:right w:val="single" w:color="000000" w:sz="6" w:space="0"/>
                  </w:tcBorders>
                  <w:vAlign w:val="center"/>
                </w:tcPr>
                <w:p w14:paraId="3058D7C6">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ascii="Times New Roman" w:hAnsi="Times New Roman" w:eastAsia="宋体"/>
                      <w:sz w:val="21"/>
                      <w:szCs w:val="21"/>
                    </w:rPr>
                  </w:pPr>
                  <w:r>
                    <w:rPr>
                      <w:rFonts w:hint="eastAsia" w:ascii="Times New Roman" w:hAnsi="Times New Roman" w:eastAsia="宋体" w:cs="宋体"/>
                      <w:i w:val="0"/>
                      <w:iCs w:val="0"/>
                      <w:caps w:val="0"/>
                      <w:color w:val="333333"/>
                      <w:spacing w:val="0"/>
                      <w:sz w:val="21"/>
                      <w:szCs w:val="21"/>
                    </w:rPr>
                    <w:t>132</w:t>
                  </w:r>
                </w:p>
              </w:tc>
              <w:tc>
                <w:tcPr>
                  <w:tcW w:w="931" w:type="dxa"/>
                  <w:tcBorders>
                    <w:top w:val="single" w:color="000000" w:sz="6" w:space="0"/>
                    <w:left w:val="single" w:color="000000" w:sz="6" w:space="0"/>
                    <w:right w:val="nil"/>
                  </w:tcBorders>
                  <w:vAlign w:val="center"/>
                </w:tcPr>
                <w:p w14:paraId="47E788C3">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ascii="Times New Roman" w:hAnsi="Times New Roman" w:eastAsia="宋体"/>
                      <w:sz w:val="21"/>
                      <w:szCs w:val="21"/>
                    </w:rPr>
                  </w:pPr>
                  <w:r>
                    <w:rPr>
                      <w:rFonts w:hint="eastAsia" w:ascii="Times New Roman" w:hAnsi="Times New Roman" w:eastAsia="宋体" w:cs="宋体"/>
                      <w:i w:val="0"/>
                      <w:iCs w:val="0"/>
                      <w:caps w:val="0"/>
                      <w:color w:val="333333"/>
                      <w:spacing w:val="0"/>
                      <w:sz w:val="21"/>
                      <w:szCs w:val="21"/>
                    </w:rPr>
                    <w:t>臭氧</w:t>
                  </w:r>
                </w:p>
              </w:tc>
            </w:tr>
          </w:tbl>
          <w:p w14:paraId="5AB6C42B">
            <w:pPr>
              <w:pStyle w:val="44"/>
              <w:bidi w:val="0"/>
              <w:rPr>
                <w:rFonts w:hint="eastAsia"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(详见附图</w:t>
            </w:r>
            <w:r>
              <w:rPr>
                <w:rFonts w:hint="eastAsia" w:cs="宋体"/>
                <w:color w:val="000000" w:themeColor="text1"/>
                <w:highlight w:val="none"/>
                <w:lang w:val="en-US" w:eastAsia="zh-CN"/>
                <w14:textFill>
                  <w14:solidFill>
                    <w14:schemeClr w14:val="tx1"/>
                  </w14:solidFill>
                </w14:textFill>
              </w:rPr>
              <w:t>6</w:t>
            </w:r>
            <w:r>
              <w:rPr>
                <w:rFonts w:hint="eastAsia" w:ascii="Times New Roman" w:hAnsi="Times New Roman" w:eastAsia="宋体" w:cs="宋体"/>
                <w:color w:val="000000" w:themeColor="text1"/>
                <w:highlight w:val="none"/>
                <w:lang w:val="en-US" w:eastAsia="zh-CN"/>
                <w14:textFill>
                  <w14:solidFill>
                    <w14:schemeClr w14:val="tx1"/>
                  </w14:solidFill>
                </w14:textFill>
              </w:rPr>
              <w:t>、附图</w:t>
            </w:r>
            <w:r>
              <w:rPr>
                <w:rFonts w:hint="eastAsia" w:cs="宋体"/>
                <w:color w:val="000000" w:themeColor="text1"/>
                <w:highlight w:val="none"/>
                <w:lang w:val="en-US" w:eastAsia="zh-CN"/>
                <w14:textFill>
                  <w14:solidFill>
                    <w14:schemeClr w14:val="tx1"/>
                  </w14:solidFill>
                </w14:textFill>
              </w:rPr>
              <w:t>7</w:t>
            </w:r>
            <w:r>
              <w:rPr>
                <w:rFonts w:hint="eastAsia" w:ascii="Times New Roman" w:hAnsi="Times New Roman" w:eastAsia="宋体" w:cs="宋体"/>
                <w:color w:val="000000" w:themeColor="text1"/>
                <w:highlight w:val="none"/>
                <w:lang w:val="en-US" w:eastAsia="zh-CN"/>
                <w14:textFill>
                  <w14:solidFill>
                    <w14:schemeClr w14:val="tx1"/>
                  </w14:solidFill>
                </w14:textFill>
              </w:rPr>
              <w:t>)。</w:t>
            </w:r>
          </w:p>
          <w:p w14:paraId="5A0D3934">
            <w:pPr>
              <w:pStyle w:val="5"/>
              <w:bidi w:val="0"/>
              <w:rPr>
                <w:rFonts w:hint="eastAsia"/>
                <w:highlight w:val="none"/>
                <w:lang w:val="en-US" w:eastAsia="zh-CN"/>
              </w:rPr>
            </w:pPr>
            <w:r>
              <w:rPr>
                <w:rFonts w:hint="default"/>
                <w:highlight w:val="none"/>
                <w:lang w:val="en-US" w:eastAsia="zh-CN"/>
              </w:rPr>
              <w:t>环境质量现状</w:t>
            </w:r>
          </w:p>
          <w:p w14:paraId="012DB058">
            <w:pPr>
              <w:pStyle w:val="5"/>
              <w:numPr>
                <w:ilvl w:val="0"/>
                <w:numId w:val="12"/>
              </w:numPr>
              <w:tabs>
                <w:tab w:val="left" w:pos="0"/>
              </w:tabs>
              <w:bidi w:val="0"/>
              <w:ind w:left="425" w:leftChars="0" w:hanging="425" w:firstLineChars="0"/>
              <w:rPr>
                <w:rFonts w:hint="default" w:ascii="Times New Roman" w:hAnsi="Times New Roman" w:eastAsia="宋体" w:cs="宋体"/>
                <w:b w:val="0"/>
                <w:bCs w:val="0"/>
                <w:color w:val="000000" w:themeColor="text1"/>
                <w:kern w:val="0"/>
                <w:sz w:val="24"/>
                <w:szCs w:val="20"/>
                <w:highlight w:val="none"/>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0"/>
                <w:sz w:val="24"/>
                <w:szCs w:val="20"/>
                <w:highlight w:val="none"/>
                <w:lang w:val="en-US" w:eastAsia="zh-CN" w:bidi="ar-SA"/>
                <w14:textFill>
                  <w14:solidFill>
                    <w14:schemeClr w14:val="tx1"/>
                  </w14:solidFill>
                </w14:textFill>
              </w:rPr>
              <w:t>监测点位及因子、频次</w:t>
            </w:r>
          </w:p>
          <w:p w14:paraId="65F4C5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宋体"/>
                <w:color w:val="000000" w:themeColor="text1"/>
                <w:kern w:val="0"/>
                <w:sz w:val="24"/>
                <w:szCs w:val="20"/>
                <w:highlight w:val="none"/>
                <w:lang w:val="en-US" w:eastAsia="zh-CN" w:bidi="ar-SA"/>
                <w14:textFill>
                  <w14:solidFill>
                    <w14:schemeClr w14:val="tx1"/>
                  </w14:solidFill>
                </w14:textFill>
              </w:rPr>
            </w:pPr>
            <w:r>
              <w:rPr>
                <w:rFonts w:hint="default" w:ascii="Times New Roman" w:hAnsi="Times New Roman" w:eastAsia="宋体" w:cs="宋体"/>
                <w:color w:val="000000" w:themeColor="text1"/>
                <w:kern w:val="0"/>
                <w:sz w:val="24"/>
                <w:szCs w:val="20"/>
                <w:highlight w:val="none"/>
                <w:lang w:val="en-US" w:eastAsia="zh-CN" w:bidi="ar-SA"/>
                <w14:textFill>
                  <w14:solidFill>
                    <w14:schemeClr w14:val="tx1"/>
                  </w14:solidFill>
                </w14:textFill>
              </w:rPr>
              <w:t>为判定本项目环境特征污染物达标情况，本项目对厂区环境空气质量现状进行布点监测(报告编号:HYJC250609002</w:t>
            </w:r>
            <w:r>
              <w:rPr>
                <w:rFonts w:hint="default" w:ascii="Times New Roman" w:hAnsi="Times New Roman" w:eastAsia="宋体" w:cs="宋体"/>
                <w:color w:val="000000" w:themeColor="text1"/>
                <w:kern w:val="0"/>
                <w:sz w:val="24"/>
                <w:szCs w:val="20"/>
                <w:highlight w:val="none"/>
                <w:lang w:val="en-US" w:eastAsia="zh-CN" w:bidi="ar-SA"/>
                <w14:textFill>
                  <w14:solidFill>
                    <w14:schemeClr w14:val="tx1"/>
                  </w14:solidFill>
                </w14:textFill>
              </w:rPr>
              <w:t>)</w:t>
            </w:r>
            <w:r>
              <w:rPr>
                <w:rFonts w:hint="eastAsia" w:ascii="Times New Roman" w:hAnsi="Times New Roman" w:eastAsia="宋体" w:cs="宋体"/>
                <w:color w:val="000000" w:themeColor="text1"/>
                <w:kern w:val="0"/>
                <w:sz w:val="24"/>
                <w:szCs w:val="20"/>
                <w:highlight w:val="none"/>
                <w:lang w:val="en-US" w:eastAsia="zh-CN" w:bidi="ar-SA"/>
                <w14:textFill>
                  <w14:solidFill>
                    <w14:schemeClr w14:val="tx1"/>
                  </w14:solidFill>
                </w14:textFill>
              </w:rPr>
              <w:t>。</w:t>
            </w:r>
          </w:p>
          <w:p w14:paraId="1B4E2E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宋体"/>
                <w:color w:val="000000" w:themeColor="text1"/>
                <w:kern w:val="0"/>
                <w:sz w:val="24"/>
                <w:szCs w:val="20"/>
                <w:highlight w:val="none"/>
                <w:lang w:val="en-US" w:eastAsia="zh-CN" w:bidi="ar-SA"/>
                <w14:textFill>
                  <w14:solidFill>
                    <w14:schemeClr w14:val="tx1"/>
                  </w14:solidFill>
                </w14:textFill>
              </w:rPr>
            </w:pPr>
            <w:r>
              <w:rPr>
                <w:rFonts w:hint="default" w:ascii="Times New Roman" w:hAnsi="Times New Roman" w:eastAsia="宋体" w:cs="宋体"/>
                <w:color w:val="000000" w:themeColor="text1"/>
                <w:kern w:val="0"/>
                <w:sz w:val="24"/>
                <w:szCs w:val="20"/>
                <w:highlight w:val="none"/>
                <w:lang w:val="en-US" w:eastAsia="zh-CN" w:bidi="ar-SA"/>
                <w14:textFill>
                  <w14:solidFill>
                    <w14:schemeClr w14:val="tx1"/>
                  </w14:solidFill>
                </w14:textFill>
              </w:rPr>
              <w:t>①监测因子:TSP</w:t>
            </w:r>
            <w:r>
              <w:rPr>
                <w:rFonts w:hint="eastAsia" w:cs="宋体"/>
                <w:color w:val="000000" w:themeColor="text1"/>
                <w:kern w:val="0"/>
                <w:sz w:val="24"/>
                <w:szCs w:val="20"/>
                <w:highlight w:val="none"/>
                <w:lang w:val="en-US" w:eastAsia="zh-CN" w:bidi="ar-SA"/>
                <w14:textFill>
                  <w14:solidFill>
                    <w14:schemeClr w14:val="tx1"/>
                  </w14:solidFill>
                </w14:textFill>
              </w:rPr>
              <w:t>；</w:t>
            </w:r>
          </w:p>
          <w:p w14:paraId="336CDA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宋体"/>
                <w:color w:val="000000" w:themeColor="text1"/>
                <w:kern w:val="0"/>
                <w:sz w:val="24"/>
                <w:szCs w:val="20"/>
                <w:highlight w:val="none"/>
                <w:lang w:val="en-US" w:eastAsia="zh-CN" w:bidi="ar-SA"/>
                <w14:textFill>
                  <w14:solidFill>
                    <w14:schemeClr w14:val="tx1"/>
                  </w14:solidFill>
                </w14:textFill>
              </w:rPr>
            </w:pPr>
            <w:r>
              <w:rPr>
                <w:rFonts w:hint="default" w:ascii="Times New Roman" w:hAnsi="Times New Roman" w:eastAsia="宋体" w:cs="宋体"/>
                <w:color w:val="000000" w:themeColor="text1"/>
                <w:kern w:val="0"/>
                <w:sz w:val="24"/>
                <w:szCs w:val="20"/>
                <w:highlight w:val="none"/>
                <w:lang w:val="en-US" w:eastAsia="zh-CN" w:bidi="ar-SA"/>
                <w14:textFill>
                  <w14:solidFill>
                    <w14:schemeClr w14:val="tx1"/>
                  </w14:solidFill>
                </w14:textFill>
              </w:rPr>
              <w:t>②监测点位:在厂区厂界</w:t>
            </w:r>
            <w:r>
              <w:rPr>
                <w:rFonts w:hint="eastAsia" w:cs="宋体"/>
                <w:color w:val="000000" w:themeColor="text1"/>
                <w:kern w:val="0"/>
                <w:sz w:val="24"/>
                <w:szCs w:val="20"/>
                <w:highlight w:val="none"/>
                <w:lang w:val="en-US" w:eastAsia="zh-CN" w:bidi="ar-SA"/>
                <w14:textFill>
                  <w14:solidFill>
                    <w14:schemeClr w14:val="tx1"/>
                  </w14:solidFill>
                </w14:textFill>
              </w:rPr>
              <w:t>东侧</w:t>
            </w:r>
            <w:r>
              <w:rPr>
                <w:rFonts w:hint="default" w:ascii="Times New Roman" w:hAnsi="Times New Roman" w:eastAsia="宋体" w:cs="宋体"/>
                <w:color w:val="000000" w:themeColor="text1"/>
                <w:kern w:val="0"/>
                <w:sz w:val="24"/>
                <w:szCs w:val="20"/>
                <w:highlight w:val="none"/>
                <w:lang w:val="en-US" w:eastAsia="zh-CN" w:bidi="ar-SA"/>
                <w14:textFill>
                  <w14:solidFill>
                    <w14:schemeClr w14:val="tx1"/>
                  </w14:solidFill>
                </w14:textFill>
              </w:rPr>
              <w:t>共布设1个下风向大气采样监测点，距离</w:t>
            </w:r>
            <w:r>
              <w:rPr>
                <w:rFonts w:hint="eastAsia" w:cs="宋体"/>
                <w:color w:val="000000" w:themeColor="text1"/>
                <w:kern w:val="0"/>
                <w:sz w:val="24"/>
                <w:szCs w:val="20"/>
                <w:highlight w:val="none"/>
                <w:lang w:val="en-US" w:eastAsia="zh-CN" w:bidi="ar-SA"/>
                <w14:textFill>
                  <w14:solidFill>
                    <w14:schemeClr w14:val="tx1"/>
                  </w14:solidFill>
                </w14:textFill>
              </w:rPr>
              <w:t>本</w:t>
            </w:r>
            <w:r>
              <w:rPr>
                <w:rFonts w:hint="default" w:ascii="Times New Roman" w:hAnsi="Times New Roman" w:eastAsia="宋体" w:cs="宋体"/>
                <w:color w:val="000000" w:themeColor="text1"/>
                <w:kern w:val="0"/>
                <w:sz w:val="24"/>
                <w:szCs w:val="20"/>
                <w:highlight w:val="none"/>
                <w:lang w:val="en-US" w:eastAsia="zh-CN" w:bidi="ar-SA"/>
                <w14:textFill>
                  <w14:solidFill>
                    <w14:schemeClr w14:val="tx1"/>
                  </w14:solidFill>
                </w14:textFill>
              </w:rPr>
              <w:t>项目</w:t>
            </w:r>
            <w:r>
              <w:rPr>
                <w:rFonts w:hint="eastAsia" w:cs="宋体"/>
                <w:color w:val="000000" w:themeColor="text1"/>
                <w:kern w:val="0"/>
                <w:sz w:val="24"/>
                <w:szCs w:val="20"/>
                <w:highlight w:val="none"/>
                <w:lang w:val="en-US" w:eastAsia="zh-CN" w:bidi="ar-SA"/>
                <w14:textFill>
                  <w14:solidFill>
                    <w14:schemeClr w14:val="tx1"/>
                  </w14:solidFill>
                </w14:textFill>
              </w:rPr>
              <w:t>东侧</w:t>
            </w:r>
            <w:r>
              <w:rPr>
                <w:rFonts w:hint="default" w:ascii="Times New Roman" w:hAnsi="Times New Roman" w:eastAsia="宋体" w:cs="宋体"/>
                <w:color w:val="000000" w:themeColor="text1"/>
                <w:kern w:val="0"/>
                <w:sz w:val="24"/>
                <w:szCs w:val="20"/>
                <w:highlight w:val="none"/>
                <w:lang w:val="en-US" w:eastAsia="zh-CN" w:bidi="ar-SA"/>
                <w14:textFill>
                  <w14:solidFill>
                    <w14:schemeClr w14:val="tx1"/>
                  </w14:solidFill>
                </w14:textFill>
              </w:rPr>
              <w:t>约</w:t>
            </w:r>
            <w:r>
              <w:rPr>
                <w:rFonts w:hint="eastAsia" w:cs="宋体"/>
                <w:color w:val="000000" w:themeColor="text1"/>
                <w:kern w:val="0"/>
                <w:sz w:val="24"/>
                <w:szCs w:val="20"/>
                <w:highlight w:val="none"/>
                <w:lang w:val="en-US" w:eastAsia="zh-CN" w:bidi="ar-SA"/>
                <w14:textFill>
                  <w14:solidFill>
                    <w14:schemeClr w14:val="tx1"/>
                  </w14:solidFill>
                </w14:textFill>
              </w:rPr>
              <w:t>5.0</w:t>
            </w:r>
            <w:r>
              <w:rPr>
                <w:rFonts w:hint="default" w:ascii="Times New Roman" w:hAnsi="Times New Roman" w:eastAsia="宋体" w:cs="宋体"/>
                <w:color w:val="000000" w:themeColor="text1"/>
                <w:kern w:val="0"/>
                <w:sz w:val="24"/>
                <w:szCs w:val="20"/>
                <w:highlight w:val="none"/>
                <w:lang w:val="en-US" w:eastAsia="zh-CN" w:bidi="ar-SA"/>
                <w14:textFill>
                  <w14:solidFill>
                    <w14:schemeClr w14:val="tx1"/>
                  </w14:solidFill>
                </w14:textFill>
              </w:rPr>
              <w:t>m</w:t>
            </w:r>
            <w:r>
              <w:rPr>
                <w:rFonts w:hint="eastAsia" w:cs="宋体"/>
                <w:color w:val="000000" w:themeColor="text1"/>
                <w:kern w:val="0"/>
                <w:sz w:val="24"/>
                <w:szCs w:val="20"/>
                <w:highlight w:val="none"/>
                <w:lang w:val="en-US" w:eastAsia="zh-CN" w:bidi="ar-SA"/>
                <w14:textFill>
                  <w14:solidFill>
                    <w14:schemeClr w14:val="tx1"/>
                  </w14:solidFill>
                </w14:textFill>
              </w:rPr>
              <w:t>；</w:t>
            </w:r>
          </w:p>
          <w:p w14:paraId="36AE5C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宋体"/>
                <w:color w:val="000000" w:themeColor="text1"/>
                <w:kern w:val="0"/>
                <w:sz w:val="24"/>
                <w:szCs w:val="20"/>
                <w:highlight w:val="none"/>
                <w:lang w:val="en-US" w:eastAsia="zh-CN" w:bidi="ar-SA"/>
                <w14:textFill>
                  <w14:solidFill>
                    <w14:schemeClr w14:val="tx1"/>
                  </w14:solidFill>
                </w14:textFill>
              </w:rPr>
            </w:pPr>
            <w:r>
              <w:rPr>
                <w:rFonts w:hint="default" w:ascii="Times New Roman" w:hAnsi="Times New Roman" w:eastAsia="宋体" w:cs="宋体"/>
                <w:color w:val="000000" w:themeColor="text1"/>
                <w:kern w:val="0"/>
                <w:sz w:val="24"/>
                <w:szCs w:val="20"/>
                <w:highlight w:val="none"/>
                <w:lang w:val="en-US" w:eastAsia="zh-CN" w:bidi="ar-SA"/>
                <w14:textFill>
                  <w14:solidFill>
                    <w14:schemeClr w14:val="tx1"/>
                  </w14:solidFill>
                </w14:textFill>
              </w:rPr>
              <w:t>③监测频次:1次/日</w:t>
            </w:r>
            <w:r>
              <w:rPr>
                <w:rFonts w:hint="eastAsia" w:cs="宋体"/>
                <w:color w:val="000000" w:themeColor="text1"/>
                <w:kern w:val="0"/>
                <w:sz w:val="24"/>
                <w:szCs w:val="20"/>
                <w:highlight w:val="none"/>
                <w:lang w:val="en-US" w:eastAsia="zh-CN" w:bidi="ar-SA"/>
                <w14:textFill>
                  <w14:solidFill>
                    <w14:schemeClr w14:val="tx1"/>
                  </w14:solidFill>
                </w14:textFill>
              </w:rPr>
              <w:t>；</w:t>
            </w:r>
          </w:p>
          <w:p w14:paraId="422E24D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宋体"/>
                <w:b w:val="0"/>
                <w:bCs w:val="0"/>
                <w:color w:val="000000" w:themeColor="text1"/>
                <w:kern w:val="0"/>
                <w:sz w:val="24"/>
                <w:szCs w:val="20"/>
                <w:highlight w:val="none"/>
                <w:lang w:val="en-US" w:eastAsia="zh-CN" w:bidi="ar-SA"/>
                <w14:textFill>
                  <w14:solidFill>
                    <w14:schemeClr w14:val="tx1"/>
                  </w14:solidFill>
                </w14:textFill>
              </w:rPr>
            </w:pPr>
            <w:r>
              <w:rPr>
                <w:rFonts w:hint="default" w:ascii="Times New Roman" w:hAnsi="Times New Roman" w:eastAsia="宋体" w:cs="宋体"/>
                <w:b w:val="0"/>
                <w:bCs w:val="0"/>
                <w:color w:val="000000" w:themeColor="text1"/>
                <w:kern w:val="0"/>
                <w:sz w:val="24"/>
                <w:szCs w:val="20"/>
                <w:highlight w:val="none"/>
                <w:lang w:val="en-US" w:eastAsia="zh-CN" w:bidi="ar-SA"/>
                <w14:textFill>
                  <w14:solidFill>
                    <w14:schemeClr w14:val="tx1"/>
                  </w14:solidFill>
                </w14:textFill>
              </w:rPr>
              <w:t>监测结果见下表3.1-</w:t>
            </w:r>
            <w:r>
              <w:rPr>
                <w:rFonts w:hint="eastAsia" w:ascii="Times New Roman" w:hAnsi="Times New Roman" w:eastAsia="宋体" w:cs="宋体"/>
                <w:b w:val="0"/>
                <w:bCs w:val="0"/>
                <w:color w:val="000000" w:themeColor="text1"/>
                <w:kern w:val="0"/>
                <w:sz w:val="24"/>
                <w:szCs w:val="20"/>
                <w:highlight w:val="none"/>
                <w:lang w:val="en-US" w:eastAsia="zh-CN" w:bidi="ar-SA"/>
                <w14:textFill>
                  <w14:solidFill>
                    <w14:schemeClr w14:val="tx1"/>
                  </w14:solidFill>
                </w14:textFill>
              </w:rPr>
              <w:t>4</w:t>
            </w:r>
            <w:r>
              <w:rPr>
                <w:rFonts w:hint="default" w:ascii="Times New Roman" w:hAnsi="Times New Roman" w:eastAsia="宋体" w:cs="宋体"/>
                <w:b w:val="0"/>
                <w:bCs w:val="0"/>
                <w:color w:val="000000" w:themeColor="text1"/>
                <w:kern w:val="0"/>
                <w:sz w:val="24"/>
                <w:szCs w:val="20"/>
                <w:highlight w:val="none"/>
                <w:lang w:val="en-US" w:eastAsia="zh-CN" w:bidi="ar-SA"/>
                <w14:textFill>
                  <w14:solidFill>
                    <w14:schemeClr w14:val="tx1"/>
                  </w14:solidFill>
                </w14:textFill>
              </w:rPr>
              <w:t>。</w:t>
            </w:r>
          </w:p>
          <w:p w14:paraId="1D174DFE">
            <w:pPr>
              <w:pStyle w:val="42"/>
              <w:bidi w:val="0"/>
              <w:ind w:left="-1050" w:leftChars="0" w:firstLineChars="0"/>
              <w:rPr>
                <w:rFonts w:hint="default" w:ascii="Times New Roman" w:hAnsi="Times New Roman" w:eastAsia="宋体"/>
                <w:lang w:val="en-US" w:eastAsia="zh-CN"/>
              </w:rPr>
            </w:pPr>
            <w:r>
              <w:rPr>
                <w:rFonts w:hint="default" w:ascii="Times New Roman" w:hAnsi="Times New Roman" w:eastAsia="宋体"/>
                <w:lang w:val="en-US" w:eastAsia="zh-CN"/>
              </w:rPr>
              <w:t>监测结果一览表</w:t>
            </w:r>
          </w:p>
          <w:tbl>
            <w:tblPr>
              <w:tblStyle w:val="33"/>
              <w:tblW w:w="0" w:type="auto"/>
              <w:tblInd w:w="5"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2159"/>
              <w:gridCol w:w="2159"/>
              <w:gridCol w:w="2160"/>
              <w:gridCol w:w="2160"/>
            </w:tblGrid>
            <w:tr w14:paraId="4103541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2159" w:type="dxa"/>
                  <w:tcBorders>
                    <w:tl2br w:val="nil"/>
                    <w:tr2bl w:val="nil"/>
                  </w:tcBorders>
                  <w:vAlign w:val="center"/>
                </w:tcPr>
                <w:p w14:paraId="22C6A44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highlight w:val="none"/>
                      <w:vertAlign w:val="baseline"/>
                      <w:lang w:val="en-US" w:eastAsia="zh-CN"/>
                    </w:rPr>
                  </w:pPr>
                  <w:r>
                    <w:rPr>
                      <w:rFonts w:hint="eastAsia" w:ascii="Times New Roman" w:hAnsi="Times New Roman" w:eastAsia="宋体"/>
                      <w:highlight w:val="none"/>
                      <w:vertAlign w:val="baseline"/>
                      <w:lang w:val="en-US" w:eastAsia="zh-CN"/>
                    </w:rPr>
                    <w:t>监测点位</w:t>
                  </w:r>
                </w:p>
              </w:tc>
              <w:tc>
                <w:tcPr>
                  <w:tcW w:w="2159" w:type="dxa"/>
                  <w:tcBorders>
                    <w:tl2br w:val="nil"/>
                    <w:tr2bl w:val="nil"/>
                  </w:tcBorders>
                  <w:vAlign w:val="center"/>
                </w:tcPr>
                <w:p w14:paraId="4C5160D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highlight w:val="none"/>
                      <w:vertAlign w:val="baseline"/>
                      <w:lang w:val="en-US" w:eastAsia="zh-CN"/>
                    </w:rPr>
                  </w:pPr>
                  <w:r>
                    <w:rPr>
                      <w:rFonts w:hint="eastAsia" w:ascii="Times New Roman" w:hAnsi="Times New Roman" w:eastAsia="宋体"/>
                      <w:highlight w:val="none"/>
                      <w:vertAlign w:val="baseline"/>
                      <w:lang w:val="en-US" w:eastAsia="zh-CN"/>
                    </w:rPr>
                    <w:t>监测日期</w:t>
                  </w:r>
                </w:p>
              </w:tc>
              <w:tc>
                <w:tcPr>
                  <w:tcW w:w="2160" w:type="dxa"/>
                  <w:tcBorders>
                    <w:tl2br w:val="nil"/>
                    <w:tr2bl w:val="nil"/>
                  </w:tcBorders>
                  <w:vAlign w:val="center"/>
                </w:tcPr>
                <w:p w14:paraId="5C7965F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highlight w:val="none"/>
                      <w:vertAlign w:val="baseline"/>
                      <w:lang w:val="en-US" w:eastAsia="zh-CN"/>
                    </w:rPr>
                  </w:pPr>
                  <w:r>
                    <w:rPr>
                      <w:rFonts w:hint="eastAsia" w:ascii="Times New Roman" w:hAnsi="Times New Roman" w:eastAsia="宋体"/>
                      <w:highlight w:val="none"/>
                      <w:vertAlign w:val="baseline"/>
                      <w:lang w:val="en-US" w:eastAsia="zh-CN"/>
                    </w:rPr>
                    <w:t>监测结果(</w:t>
                  </w:r>
                  <w:r>
                    <w:rPr>
                      <w:rFonts w:hint="default" w:ascii="Times New Roman" w:hAnsi="Times New Roman" w:eastAsia="仿宋" w:cs="Times New Roman"/>
                      <w:color w:val="auto"/>
                      <w:sz w:val="21"/>
                      <w:lang w:val="en-US" w:eastAsia="zh-CN"/>
                    </w:rPr>
                    <w:t>mg/m</w:t>
                  </w:r>
                  <w:r>
                    <w:rPr>
                      <w:rFonts w:hint="eastAsia" w:ascii="Times New Roman" w:hAnsi="Times New Roman" w:eastAsia="宋体"/>
                      <w:highlight w:val="none"/>
                      <w:vertAlign w:val="superscript"/>
                      <w:lang w:val="en-US" w:eastAsia="zh-CN"/>
                    </w:rPr>
                    <w:t>3</w:t>
                  </w:r>
                  <w:r>
                    <w:rPr>
                      <w:rFonts w:hint="eastAsia" w:ascii="Times New Roman" w:hAnsi="Times New Roman" w:eastAsia="宋体"/>
                      <w:highlight w:val="none"/>
                      <w:vertAlign w:val="baseline"/>
                      <w:lang w:val="en-US" w:eastAsia="zh-CN"/>
                    </w:rPr>
                    <w:t>)</w:t>
                  </w:r>
                </w:p>
              </w:tc>
              <w:tc>
                <w:tcPr>
                  <w:tcW w:w="2160" w:type="dxa"/>
                  <w:tcBorders>
                    <w:tl2br w:val="nil"/>
                    <w:tr2bl w:val="nil"/>
                  </w:tcBorders>
                  <w:vAlign w:val="center"/>
                </w:tcPr>
                <w:p w14:paraId="4F46D58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highlight w:val="none"/>
                      <w:vertAlign w:val="baseline"/>
                      <w:lang w:val="en-US" w:eastAsia="zh-CN"/>
                    </w:rPr>
                  </w:pPr>
                  <w:r>
                    <w:rPr>
                      <w:rFonts w:hint="eastAsia" w:ascii="Times New Roman" w:hAnsi="Times New Roman" w:eastAsia="宋体"/>
                      <w:highlight w:val="none"/>
                      <w:vertAlign w:val="baseline"/>
                      <w:lang w:val="en-US" w:eastAsia="zh-CN"/>
                    </w:rPr>
                    <w:t>达标情况</w:t>
                  </w:r>
                </w:p>
              </w:tc>
            </w:tr>
            <w:tr w14:paraId="10712FB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2159" w:type="dxa"/>
                  <w:vMerge w:val="restart"/>
                  <w:tcBorders>
                    <w:tl2br w:val="nil"/>
                    <w:tr2bl w:val="nil"/>
                  </w:tcBorders>
                  <w:vAlign w:val="center"/>
                </w:tcPr>
                <w:p w14:paraId="4EBD807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highlight w:val="none"/>
                      <w:vertAlign w:val="baseline"/>
                      <w:lang w:val="en-US" w:eastAsia="zh-CN"/>
                    </w:rPr>
                  </w:pPr>
                  <w:r>
                    <w:rPr>
                      <w:rFonts w:hint="eastAsia" w:ascii="Times New Roman" w:hAnsi="Times New Roman" w:eastAsia="宋体"/>
                      <w:highlight w:val="none"/>
                      <w:vertAlign w:val="baseline"/>
                      <w:lang w:val="en-US" w:eastAsia="zh-CN"/>
                    </w:rPr>
                    <w:t>颗粒物</w:t>
                  </w:r>
                </w:p>
              </w:tc>
              <w:tc>
                <w:tcPr>
                  <w:tcW w:w="2159" w:type="dxa"/>
                  <w:tcBorders>
                    <w:tl2br w:val="nil"/>
                    <w:tr2bl w:val="nil"/>
                  </w:tcBorders>
                  <w:vAlign w:val="center"/>
                </w:tcPr>
                <w:p w14:paraId="590E470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highlight w:val="none"/>
                      <w:vertAlign w:val="baseline"/>
                      <w:lang w:val="en-US" w:eastAsia="zh-CN"/>
                    </w:rPr>
                  </w:pPr>
                  <w:r>
                    <w:rPr>
                      <w:rFonts w:hint="eastAsia" w:ascii="Times New Roman" w:hAnsi="Times New Roman" w:eastAsia="宋体"/>
                      <w:highlight w:val="none"/>
                      <w:vertAlign w:val="baseline"/>
                      <w:lang w:val="en-US" w:eastAsia="zh-CN"/>
                    </w:rPr>
                    <w:t>202</w:t>
                  </w:r>
                  <w:r>
                    <w:rPr>
                      <w:rFonts w:hint="eastAsia"/>
                      <w:highlight w:val="none"/>
                      <w:vertAlign w:val="baseline"/>
                      <w:lang w:val="en-US" w:eastAsia="zh-CN"/>
                    </w:rPr>
                    <w:t>5</w:t>
                  </w:r>
                  <w:r>
                    <w:rPr>
                      <w:rFonts w:hint="eastAsia" w:ascii="Times New Roman" w:hAnsi="Times New Roman" w:eastAsia="宋体"/>
                      <w:highlight w:val="none"/>
                      <w:vertAlign w:val="baseline"/>
                      <w:lang w:val="en-US" w:eastAsia="zh-CN"/>
                    </w:rPr>
                    <w:t>.</w:t>
                  </w:r>
                  <w:r>
                    <w:rPr>
                      <w:rFonts w:hint="eastAsia"/>
                      <w:highlight w:val="none"/>
                      <w:vertAlign w:val="baseline"/>
                      <w:lang w:val="en-US" w:eastAsia="zh-CN"/>
                    </w:rPr>
                    <w:t>6</w:t>
                  </w:r>
                  <w:r>
                    <w:rPr>
                      <w:rFonts w:hint="eastAsia" w:ascii="Times New Roman" w:hAnsi="Times New Roman" w:eastAsia="宋体"/>
                      <w:highlight w:val="none"/>
                      <w:vertAlign w:val="baseline"/>
                      <w:lang w:val="en-US" w:eastAsia="zh-CN"/>
                    </w:rPr>
                    <w:t>.</w:t>
                  </w:r>
                  <w:r>
                    <w:rPr>
                      <w:rFonts w:hint="eastAsia"/>
                      <w:highlight w:val="none"/>
                      <w:vertAlign w:val="baseline"/>
                      <w:lang w:val="en-US" w:eastAsia="zh-CN"/>
                    </w:rPr>
                    <w:t>10</w:t>
                  </w:r>
                </w:p>
              </w:tc>
              <w:tc>
                <w:tcPr>
                  <w:tcW w:w="2160" w:type="dxa"/>
                  <w:tcBorders>
                    <w:tl2br w:val="nil"/>
                    <w:tr2bl w:val="nil"/>
                  </w:tcBorders>
                  <w:vAlign w:val="center"/>
                </w:tcPr>
                <w:p w14:paraId="207B9C6C">
                  <w:pPr>
                    <w:jc w:val="center"/>
                    <w:rPr>
                      <w:rFonts w:hint="default" w:ascii="Times New Roman" w:hAnsi="Times New Roman" w:eastAsia="宋体"/>
                      <w:highlight w:val="none"/>
                      <w:vertAlign w:val="baseline"/>
                      <w:lang w:val="en-US" w:eastAsia="zh-CN"/>
                    </w:rPr>
                  </w:pPr>
                  <w:r>
                    <w:rPr>
                      <w:rFonts w:hint="default" w:ascii="Times New Roman" w:hAnsi="Times New Roman" w:eastAsia="仿宋" w:cs="Times New Roman"/>
                      <w:color w:val="auto"/>
                      <w:sz w:val="21"/>
                      <w:lang w:val="en-US" w:eastAsia="zh-CN"/>
                    </w:rPr>
                    <w:t>0.092</w:t>
                  </w:r>
                </w:p>
              </w:tc>
              <w:tc>
                <w:tcPr>
                  <w:tcW w:w="2160" w:type="dxa"/>
                  <w:tcBorders>
                    <w:tl2br w:val="nil"/>
                    <w:tr2bl w:val="nil"/>
                  </w:tcBorders>
                  <w:vAlign w:val="center"/>
                </w:tcPr>
                <w:p w14:paraId="376921C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highlight w:val="none"/>
                      <w:vertAlign w:val="baseline"/>
                      <w:lang w:val="en-US" w:eastAsia="zh-CN"/>
                    </w:rPr>
                  </w:pPr>
                  <w:r>
                    <w:rPr>
                      <w:rFonts w:hint="eastAsia" w:ascii="Times New Roman" w:hAnsi="Times New Roman" w:eastAsia="宋体"/>
                      <w:highlight w:val="none"/>
                      <w:vertAlign w:val="baseline"/>
                      <w:lang w:val="en-US" w:eastAsia="zh-CN"/>
                    </w:rPr>
                    <w:t>达标</w:t>
                  </w:r>
                </w:p>
              </w:tc>
            </w:tr>
            <w:tr w14:paraId="20E7210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2159" w:type="dxa"/>
                  <w:vMerge w:val="continue"/>
                  <w:tcBorders>
                    <w:tl2br w:val="nil"/>
                    <w:tr2bl w:val="nil"/>
                  </w:tcBorders>
                  <w:vAlign w:val="center"/>
                </w:tcPr>
                <w:p w14:paraId="10B9E31A">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highlight w:val="none"/>
                      <w:vertAlign w:val="baseline"/>
                      <w:lang w:val="en-US" w:eastAsia="zh-CN"/>
                    </w:rPr>
                  </w:pPr>
                </w:p>
              </w:tc>
              <w:tc>
                <w:tcPr>
                  <w:tcW w:w="2159" w:type="dxa"/>
                  <w:tcBorders>
                    <w:tl2br w:val="nil"/>
                    <w:tr2bl w:val="nil"/>
                  </w:tcBorders>
                  <w:vAlign w:val="center"/>
                </w:tcPr>
                <w:p w14:paraId="7CE2A65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highlight w:val="none"/>
                      <w:vertAlign w:val="baseline"/>
                      <w:lang w:val="en-US" w:eastAsia="zh-CN"/>
                    </w:rPr>
                  </w:pPr>
                  <w:r>
                    <w:rPr>
                      <w:rFonts w:hint="eastAsia" w:ascii="Times New Roman" w:hAnsi="Times New Roman" w:eastAsia="宋体"/>
                      <w:highlight w:val="none"/>
                      <w:vertAlign w:val="baseline"/>
                      <w:lang w:val="en-US" w:eastAsia="zh-CN"/>
                    </w:rPr>
                    <w:t>202</w:t>
                  </w:r>
                  <w:r>
                    <w:rPr>
                      <w:rFonts w:hint="eastAsia"/>
                      <w:highlight w:val="none"/>
                      <w:vertAlign w:val="baseline"/>
                      <w:lang w:val="en-US" w:eastAsia="zh-CN"/>
                    </w:rPr>
                    <w:t>5</w:t>
                  </w:r>
                  <w:r>
                    <w:rPr>
                      <w:rFonts w:hint="eastAsia" w:ascii="Times New Roman" w:hAnsi="Times New Roman" w:eastAsia="宋体"/>
                      <w:highlight w:val="none"/>
                      <w:vertAlign w:val="baseline"/>
                      <w:lang w:val="en-US" w:eastAsia="zh-CN"/>
                    </w:rPr>
                    <w:t>.</w:t>
                  </w:r>
                  <w:r>
                    <w:rPr>
                      <w:rFonts w:hint="eastAsia"/>
                      <w:highlight w:val="none"/>
                      <w:vertAlign w:val="baseline"/>
                      <w:lang w:val="en-US" w:eastAsia="zh-CN"/>
                    </w:rPr>
                    <w:t>6</w:t>
                  </w:r>
                  <w:r>
                    <w:rPr>
                      <w:rFonts w:hint="eastAsia" w:ascii="Times New Roman" w:hAnsi="Times New Roman" w:eastAsia="宋体"/>
                      <w:highlight w:val="none"/>
                      <w:vertAlign w:val="baseline"/>
                      <w:lang w:val="en-US" w:eastAsia="zh-CN"/>
                    </w:rPr>
                    <w:t>.</w:t>
                  </w:r>
                  <w:r>
                    <w:rPr>
                      <w:rFonts w:hint="eastAsia"/>
                      <w:highlight w:val="none"/>
                      <w:vertAlign w:val="baseline"/>
                      <w:lang w:val="en-US" w:eastAsia="zh-CN"/>
                    </w:rPr>
                    <w:t>11</w:t>
                  </w:r>
                </w:p>
              </w:tc>
              <w:tc>
                <w:tcPr>
                  <w:tcW w:w="2160" w:type="dxa"/>
                  <w:tcBorders>
                    <w:tl2br w:val="nil"/>
                    <w:tr2bl w:val="nil"/>
                  </w:tcBorders>
                  <w:vAlign w:val="center"/>
                </w:tcPr>
                <w:p w14:paraId="3152C49A">
                  <w:pPr>
                    <w:jc w:val="center"/>
                    <w:rPr>
                      <w:rFonts w:hint="default" w:ascii="Times New Roman" w:hAnsi="Times New Roman" w:eastAsia="宋体"/>
                      <w:highlight w:val="none"/>
                      <w:vertAlign w:val="baseline"/>
                      <w:lang w:val="en-US" w:eastAsia="zh-CN"/>
                    </w:rPr>
                  </w:pPr>
                  <w:r>
                    <w:rPr>
                      <w:rFonts w:hint="default" w:ascii="Times New Roman" w:hAnsi="Times New Roman" w:eastAsia="仿宋" w:cs="Times New Roman"/>
                      <w:color w:val="auto"/>
                      <w:sz w:val="21"/>
                      <w:lang w:val="en-US" w:eastAsia="zh-CN"/>
                    </w:rPr>
                    <w:t>0.102</w:t>
                  </w:r>
                </w:p>
              </w:tc>
              <w:tc>
                <w:tcPr>
                  <w:tcW w:w="2160" w:type="dxa"/>
                  <w:tcBorders>
                    <w:tl2br w:val="nil"/>
                    <w:tr2bl w:val="nil"/>
                  </w:tcBorders>
                  <w:vAlign w:val="center"/>
                </w:tcPr>
                <w:p w14:paraId="249A264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highlight w:val="none"/>
                      <w:vertAlign w:val="baseline"/>
                      <w:lang w:val="en-US" w:eastAsia="zh-CN"/>
                    </w:rPr>
                  </w:pPr>
                  <w:r>
                    <w:rPr>
                      <w:rFonts w:hint="eastAsia" w:ascii="Times New Roman" w:hAnsi="Times New Roman" w:eastAsia="宋体"/>
                      <w:highlight w:val="none"/>
                      <w:vertAlign w:val="baseline"/>
                      <w:lang w:val="en-US" w:eastAsia="zh-CN"/>
                    </w:rPr>
                    <w:t>达标</w:t>
                  </w:r>
                </w:p>
              </w:tc>
            </w:tr>
            <w:tr w14:paraId="68F6857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2159" w:type="dxa"/>
                  <w:vMerge w:val="continue"/>
                  <w:tcBorders>
                    <w:tl2br w:val="nil"/>
                    <w:tr2bl w:val="nil"/>
                  </w:tcBorders>
                  <w:vAlign w:val="center"/>
                </w:tcPr>
                <w:p w14:paraId="00A4D10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highlight w:val="none"/>
                      <w:vertAlign w:val="baseline"/>
                      <w:lang w:val="en-US" w:eastAsia="zh-CN"/>
                    </w:rPr>
                  </w:pPr>
                </w:p>
              </w:tc>
              <w:tc>
                <w:tcPr>
                  <w:tcW w:w="2159" w:type="dxa"/>
                  <w:tcBorders>
                    <w:tl2br w:val="nil"/>
                    <w:tr2bl w:val="nil"/>
                  </w:tcBorders>
                  <w:vAlign w:val="center"/>
                </w:tcPr>
                <w:p w14:paraId="6325668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highlight w:val="none"/>
                      <w:vertAlign w:val="baseline"/>
                      <w:lang w:val="en-US" w:eastAsia="zh-CN"/>
                    </w:rPr>
                  </w:pPr>
                  <w:r>
                    <w:rPr>
                      <w:rFonts w:hint="eastAsia" w:ascii="Times New Roman" w:hAnsi="Times New Roman" w:eastAsia="宋体"/>
                      <w:highlight w:val="none"/>
                      <w:vertAlign w:val="baseline"/>
                      <w:lang w:val="en-US" w:eastAsia="zh-CN"/>
                    </w:rPr>
                    <w:t>202</w:t>
                  </w:r>
                  <w:r>
                    <w:rPr>
                      <w:rFonts w:hint="eastAsia"/>
                      <w:highlight w:val="none"/>
                      <w:vertAlign w:val="baseline"/>
                      <w:lang w:val="en-US" w:eastAsia="zh-CN"/>
                    </w:rPr>
                    <w:t>5</w:t>
                  </w:r>
                  <w:r>
                    <w:rPr>
                      <w:rFonts w:hint="eastAsia" w:ascii="Times New Roman" w:hAnsi="Times New Roman" w:eastAsia="宋体"/>
                      <w:highlight w:val="none"/>
                      <w:vertAlign w:val="baseline"/>
                      <w:lang w:val="en-US" w:eastAsia="zh-CN"/>
                    </w:rPr>
                    <w:t>.</w:t>
                  </w:r>
                  <w:r>
                    <w:rPr>
                      <w:rFonts w:hint="eastAsia"/>
                      <w:highlight w:val="none"/>
                      <w:vertAlign w:val="baseline"/>
                      <w:lang w:val="en-US" w:eastAsia="zh-CN"/>
                    </w:rPr>
                    <w:t>6</w:t>
                  </w:r>
                  <w:r>
                    <w:rPr>
                      <w:rFonts w:hint="eastAsia" w:ascii="Times New Roman" w:hAnsi="Times New Roman" w:eastAsia="宋体"/>
                      <w:highlight w:val="none"/>
                      <w:vertAlign w:val="baseline"/>
                      <w:lang w:val="en-US" w:eastAsia="zh-CN"/>
                    </w:rPr>
                    <w:t>.</w:t>
                  </w:r>
                  <w:r>
                    <w:rPr>
                      <w:rFonts w:hint="eastAsia"/>
                      <w:highlight w:val="none"/>
                      <w:vertAlign w:val="baseline"/>
                      <w:lang w:val="en-US" w:eastAsia="zh-CN"/>
                    </w:rPr>
                    <w:t>12</w:t>
                  </w:r>
                </w:p>
              </w:tc>
              <w:tc>
                <w:tcPr>
                  <w:tcW w:w="2160" w:type="dxa"/>
                  <w:tcBorders>
                    <w:tl2br w:val="nil"/>
                    <w:tr2bl w:val="nil"/>
                  </w:tcBorders>
                  <w:vAlign w:val="center"/>
                </w:tcPr>
                <w:p w14:paraId="0CD5FBA2">
                  <w:pPr>
                    <w:jc w:val="center"/>
                    <w:rPr>
                      <w:rFonts w:hint="default" w:ascii="Times New Roman" w:hAnsi="Times New Roman" w:eastAsia="宋体"/>
                      <w:highlight w:val="none"/>
                      <w:vertAlign w:val="baseline"/>
                      <w:lang w:val="en-US" w:eastAsia="zh-CN"/>
                    </w:rPr>
                  </w:pPr>
                  <w:r>
                    <w:rPr>
                      <w:rFonts w:hint="default" w:ascii="Times New Roman" w:hAnsi="Times New Roman" w:eastAsia="仿宋" w:cs="Times New Roman"/>
                      <w:color w:val="auto"/>
                      <w:sz w:val="21"/>
                      <w:lang w:val="en-US" w:eastAsia="zh-CN"/>
                    </w:rPr>
                    <w:t>0.106</w:t>
                  </w:r>
                </w:p>
              </w:tc>
              <w:tc>
                <w:tcPr>
                  <w:tcW w:w="2160" w:type="dxa"/>
                  <w:tcBorders>
                    <w:tl2br w:val="nil"/>
                    <w:tr2bl w:val="nil"/>
                  </w:tcBorders>
                  <w:vAlign w:val="center"/>
                </w:tcPr>
                <w:p w14:paraId="733885EA">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highlight w:val="none"/>
                      <w:vertAlign w:val="baseline"/>
                      <w:lang w:val="en-US" w:eastAsia="zh-CN"/>
                    </w:rPr>
                  </w:pPr>
                  <w:r>
                    <w:rPr>
                      <w:rFonts w:hint="eastAsia" w:ascii="Times New Roman" w:hAnsi="Times New Roman" w:eastAsia="宋体"/>
                      <w:highlight w:val="none"/>
                      <w:vertAlign w:val="baseline"/>
                      <w:lang w:val="en-US" w:eastAsia="zh-CN"/>
                    </w:rPr>
                    <w:t>达标</w:t>
                  </w:r>
                </w:p>
              </w:tc>
            </w:tr>
          </w:tbl>
          <w:p w14:paraId="3846AD9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000000" w:themeColor="text1"/>
                <w:kern w:val="0"/>
                <w:sz w:val="24"/>
                <w:szCs w:val="20"/>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0"/>
                <w:sz w:val="24"/>
                <w:szCs w:val="20"/>
                <w:highlight w:val="none"/>
                <w:lang w:val="en-US" w:eastAsia="zh-CN" w:bidi="ar-SA"/>
                <w14:textFill>
                  <w14:solidFill>
                    <w14:schemeClr w14:val="tx1"/>
                  </w14:solidFill>
                </w14:textFill>
              </w:rPr>
              <w:t>根据监测结果表明：项目周边大气环境质量现状颗粒物TSP符合《环境空气质量标准》(GB3095-2012)及2018年修改单中二级标准标准浓度限值。</w:t>
            </w:r>
          </w:p>
          <w:p w14:paraId="3902AA6C">
            <w:pPr>
              <w:pStyle w:val="15"/>
              <w:jc w:val="center"/>
              <w:rPr>
                <w:rFonts w:hint="eastAsia"/>
                <w:lang w:val="en-US" w:eastAsia="zh-CN"/>
              </w:rPr>
            </w:pPr>
            <w:r>
              <w:rPr>
                <w:rFonts w:hint="default" w:ascii="Times New Roman" w:hAnsi="Times New Roman" w:eastAsia="仿宋" w:cs="Times New Roman"/>
              </w:rPr>
              <w:drawing>
                <wp:inline distT="0" distB="0" distL="114300" distR="114300">
                  <wp:extent cx="4921885" cy="3140075"/>
                  <wp:effectExtent l="0" t="0" r="12065" b="3175"/>
                  <wp:docPr id="6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
                          <pic:cNvPicPr>
                            <a:picLocks noChangeAspect="1"/>
                          </pic:cNvPicPr>
                        </pic:nvPicPr>
                        <pic:blipFill>
                          <a:blip r:embed="rId14"/>
                          <a:stretch>
                            <a:fillRect/>
                          </a:stretch>
                        </pic:blipFill>
                        <pic:spPr>
                          <a:xfrm>
                            <a:off x="0" y="0"/>
                            <a:ext cx="4921885" cy="3140075"/>
                          </a:xfrm>
                          <a:prstGeom prst="rect">
                            <a:avLst/>
                          </a:prstGeom>
                          <a:noFill/>
                          <a:ln>
                            <a:noFill/>
                          </a:ln>
                        </pic:spPr>
                      </pic:pic>
                    </a:graphicData>
                  </a:graphic>
                </wp:inline>
              </w:drawing>
            </w:r>
          </w:p>
          <w:p w14:paraId="11C361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center"/>
              <w:textAlignment w:val="auto"/>
              <w:rPr>
                <w:rFonts w:hint="eastAsia" w:cs="Times New Roman"/>
                <w:b/>
                <w:bCs/>
                <w:color w:val="000000" w:themeColor="text1"/>
                <w:kern w:val="2"/>
                <w:sz w:val="24"/>
                <w:szCs w:val="20"/>
                <w:highlight w:val="none"/>
                <w:lang w:val="en-US" w:eastAsia="zh-CN" w:bidi="ar-SA"/>
                <w14:textFill>
                  <w14:solidFill>
                    <w14:schemeClr w14:val="tx1"/>
                  </w14:solidFill>
                </w14:textFill>
              </w:rPr>
            </w:pPr>
            <w:r>
              <w:rPr>
                <w:rFonts w:hint="eastAsia" w:cs="Times New Roman"/>
                <w:b/>
                <w:bCs/>
                <w:color w:val="000000" w:themeColor="text1"/>
                <w:kern w:val="2"/>
                <w:sz w:val="24"/>
                <w:szCs w:val="20"/>
                <w:highlight w:val="none"/>
                <w:lang w:val="en-US" w:eastAsia="zh-CN" w:bidi="ar-SA"/>
                <w14:textFill>
                  <w14:solidFill>
                    <w14:schemeClr w14:val="tx1"/>
                  </w14:solidFill>
                </w14:textFill>
              </w:rPr>
              <w:t>图3.1-1引用的大气监测点位图</w:t>
            </w:r>
          </w:p>
          <w:p w14:paraId="5BB3C3A6">
            <w:pPr>
              <w:pStyle w:val="44"/>
              <w:numPr>
                <w:ilvl w:val="0"/>
                <w:numId w:val="11"/>
              </w:numPr>
              <w:bidi w:val="0"/>
              <w:ind w:left="425" w:leftChars="0" w:hanging="425" w:firstLineChars="0"/>
              <w:rPr>
                <w:rFonts w:hint="eastAsia"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引用资料的有效性分析</w:t>
            </w:r>
          </w:p>
          <w:p w14:paraId="46631A50">
            <w:pPr>
              <w:pStyle w:val="44"/>
              <w:bidi w:val="0"/>
              <w:rPr>
                <w:rFonts w:hint="eastAsia"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根据《建设项目环境影响报告表编制技术指南(污染影响类)(试行)》(环办环评〔2020〕33号)的要求：“大气环境区域环境质量现状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本评价常规污染因子选取福建省生态环境厅、福州市</w:t>
            </w:r>
            <w:r>
              <w:rPr>
                <w:rFonts w:hint="eastAsia" w:cs="宋体"/>
                <w:color w:val="000000" w:themeColor="text1"/>
                <w:highlight w:val="none"/>
                <w:lang w:val="en-US" w:eastAsia="zh-CN"/>
                <w14:textFill>
                  <w14:solidFill>
                    <w14:schemeClr w14:val="tx1"/>
                  </w14:solidFill>
                </w14:textFill>
              </w:rPr>
              <w:t>闽清县</w:t>
            </w:r>
            <w:r>
              <w:rPr>
                <w:rFonts w:hint="eastAsia" w:ascii="Times New Roman" w:hAnsi="Times New Roman" w:eastAsia="宋体" w:cs="宋体"/>
                <w:color w:val="000000" w:themeColor="text1"/>
                <w:highlight w:val="none"/>
                <w:lang w:val="en-US" w:eastAsia="zh-CN"/>
                <w14:textFill>
                  <w14:solidFill>
                    <w14:schemeClr w14:val="tx1"/>
                  </w14:solidFill>
                </w14:textFill>
              </w:rPr>
              <w:t>人民政府网址发布的环境空气质量现状信息，符合《建设项目环境影响报告表编制技术指南(污染影响类)(试行)》(环办环评〔2020〕33号)的要求。</w:t>
            </w:r>
          </w:p>
          <w:p w14:paraId="56EF80C3">
            <w:pPr>
              <w:pStyle w:val="44"/>
              <w:numPr>
                <w:ilvl w:val="0"/>
                <w:numId w:val="11"/>
              </w:numPr>
              <w:bidi w:val="0"/>
              <w:ind w:left="425" w:leftChars="0" w:hanging="425" w:firstLineChars="0"/>
              <w:rPr>
                <w:rFonts w:hint="eastAsia"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其他污染因子</w:t>
            </w:r>
          </w:p>
          <w:p w14:paraId="51D77A66">
            <w:pPr>
              <w:pStyle w:val="44"/>
              <w:bidi w:val="0"/>
              <w:rPr>
                <w:rFonts w:hint="eastAsia"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根据环境影响评价网(生态环境部环境工程评估中心)关于《建设项目环境影响报告表》内容、格式及编制技术指南常见问题解答：“技术指南中提到“排放国家、地方环境空气质量标准中有标准限值要求的特征污染物”，其中环境空气质量标准指《环境空气质量标准》(GB3095)和地方的环境空气质量标准，不包括《环境影响评价技术导则大气环境》(HJ2.2-2018)附录D、《工业企业设计卫生标准》(TJ36-97)、《前苏联居住区标准》(CH245-71)、《环境影响评价技术导则制药建设项目》(HJ611-2011)、《大气污染物综合排放标准详解》等导则或参考资料。排放的特征污染物需要在国家、地方环境空气质量标准中有限值要求才涉及现状监测，且优先引用现有监测数据”。</w:t>
            </w:r>
          </w:p>
          <w:p w14:paraId="1AC231E1">
            <w:pPr>
              <w:pStyle w:val="4"/>
              <w:numPr>
                <w:ilvl w:val="2"/>
                <w:numId w:val="1"/>
              </w:numPr>
              <w:bidi w:val="0"/>
              <w:ind w:left="720" w:leftChars="0" w:hanging="720" w:firstLineChars="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声环境质量现状</w:t>
            </w:r>
          </w:p>
          <w:p w14:paraId="1AF027D9">
            <w:pPr>
              <w:pStyle w:val="44"/>
              <w:numPr>
                <w:ilvl w:val="0"/>
                <w:numId w:val="13"/>
              </w:numPr>
              <w:autoSpaceDE w:val="0"/>
              <w:autoSpaceDN w:val="0"/>
              <w:spacing w:before="120" w:beforeLines="50"/>
              <w:ind w:left="425" w:leftChars="0" w:hanging="425" w:firstLineChars="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声环境功能区</w:t>
            </w:r>
          </w:p>
          <w:p w14:paraId="48F9EEAD">
            <w:pPr>
              <w:pStyle w:val="44"/>
              <w:shd w:val="clear"/>
              <w:bidi w:val="0"/>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本项目位于福建省福州市</w:t>
            </w:r>
            <w:r>
              <w:rPr>
                <w:rFonts w:hint="eastAsia" w:cs="宋体"/>
                <w:color w:val="auto"/>
                <w:highlight w:val="none"/>
                <w:lang w:val="en-US" w:eastAsia="zh-CN"/>
              </w:rPr>
              <w:t>闽清县池园镇丽山村丽山498号</w:t>
            </w:r>
            <w:r>
              <w:rPr>
                <w:rFonts w:hint="eastAsia" w:ascii="Times New Roman" w:hAnsi="Times New Roman" w:eastAsia="宋体" w:cs="宋体"/>
                <w:color w:val="auto"/>
                <w:highlight w:val="none"/>
                <w:lang w:val="en-US" w:eastAsia="zh-CN"/>
              </w:rPr>
              <w:t>，根据调查，项目周边涉及居住、工业、商业等，属于居住、商业、工业混杂，需要维护住宅安静的区域，项目所在区域声环境为2类功能区，声环境功能执行《声环境质量标准》(GB3096-2008)表1中2类标准；</w:t>
            </w:r>
          </w:p>
          <w:p w14:paraId="7FE91469">
            <w:pPr>
              <w:pStyle w:val="42"/>
              <w:keepNext/>
              <w:keepLines/>
              <w:pageBreakBefore w:val="0"/>
              <w:widowControl w:val="0"/>
              <w:numPr>
                <w:ilvl w:val="7"/>
                <w:numId w:val="10"/>
              </w:numPr>
              <w:tabs>
                <w:tab w:val="left" w:pos="0"/>
              </w:tabs>
              <w:kinsoku/>
              <w:wordWrap/>
              <w:overflowPunct/>
              <w:topLinePunct w:val="0"/>
              <w:autoSpaceDE/>
              <w:autoSpaceDN/>
              <w:bidi w:val="0"/>
              <w:adjustRightInd/>
              <w:snapToGrid/>
              <w:spacing w:before="0" w:after="0"/>
              <w:ind w:left="630" w:leftChars="0" w:firstLineChars="0"/>
              <w:textAlignment w:val="auto"/>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《声环境质量标准》(GB3096-2008)(摘录)</w:t>
            </w:r>
          </w:p>
          <w:tbl>
            <w:tblPr>
              <w:tblStyle w:val="32"/>
              <w:tblW w:w="5073" w:type="pct"/>
              <w:tblInd w:w="-79"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018"/>
              <w:gridCol w:w="4635"/>
              <w:gridCol w:w="1531"/>
              <w:gridCol w:w="1560"/>
            </w:tblGrid>
            <w:tr w14:paraId="2E43854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582" w:type="pct"/>
                  <w:vMerge w:val="restart"/>
                  <w:tcBorders>
                    <w:left w:val="nil"/>
                    <w:bottom w:val="single" w:color="000000" w:sz="6" w:space="0"/>
                    <w:right w:val="single" w:color="000000" w:sz="4" w:space="0"/>
                  </w:tcBorders>
                  <w:vAlign w:val="center"/>
                </w:tcPr>
                <w:p w14:paraId="04B26B30">
                  <w:pPr>
                    <w:pStyle w:val="9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ascii="Times New Roman" w:hAnsi="Times New Roman" w:eastAsia="宋体"/>
                      <w:sz w:val="21"/>
                    </w:rPr>
                  </w:pPr>
                  <w:r>
                    <w:rPr>
                      <w:rFonts w:ascii="Times New Roman" w:hAnsi="Times New Roman" w:eastAsia="宋体"/>
                      <w:spacing w:val="-6"/>
                      <w:sz w:val="21"/>
                    </w:rPr>
                    <w:t>标准</w:t>
                  </w:r>
                  <w:r>
                    <w:rPr>
                      <w:rFonts w:ascii="Times New Roman" w:hAnsi="Times New Roman" w:eastAsia="宋体"/>
                      <w:spacing w:val="-8"/>
                      <w:sz w:val="21"/>
                    </w:rPr>
                    <w:t>类别</w:t>
                  </w:r>
                </w:p>
              </w:tc>
              <w:tc>
                <w:tcPr>
                  <w:tcW w:w="2650" w:type="pct"/>
                  <w:vMerge w:val="restart"/>
                  <w:tcBorders>
                    <w:left w:val="single" w:color="000000" w:sz="4" w:space="0"/>
                    <w:bottom w:val="single" w:color="000000" w:sz="6" w:space="0"/>
                    <w:right w:val="single" w:color="000000" w:sz="4" w:space="0"/>
                  </w:tcBorders>
                  <w:vAlign w:val="center"/>
                </w:tcPr>
                <w:p w14:paraId="7BB776F2">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1"/>
                    </w:rPr>
                  </w:pPr>
                  <w:r>
                    <w:rPr>
                      <w:rFonts w:ascii="Times New Roman" w:hAnsi="Times New Roman" w:eastAsia="宋体"/>
                      <w:spacing w:val="-7"/>
                      <w:sz w:val="21"/>
                    </w:rPr>
                    <w:t>适用区域</w:t>
                  </w:r>
                </w:p>
              </w:tc>
              <w:tc>
                <w:tcPr>
                  <w:tcW w:w="1767" w:type="pct"/>
                  <w:gridSpan w:val="2"/>
                  <w:tcBorders>
                    <w:left w:val="single" w:color="000000" w:sz="4" w:space="0"/>
                    <w:bottom w:val="single" w:color="000000" w:sz="6" w:space="0"/>
                    <w:right w:val="nil"/>
                  </w:tcBorders>
                  <w:vAlign w:val="center"/>
                </w:tcPr>
                <w:p w14:paraId="4B88EDA6">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pacing w:val="-12"/>
                      <w:position w:val="2"/>
                      <w:sz w:val="21"/>
                    </w:rPr>
                  </w:pPr>
                  <w:r>
                    <w:rPr>
                      <w:rFonts w:ascii="Times New Roman" w:hAnsi="Times New Roman" w:eastAsia="宋体"/>
                      <w:spacing w:val="-12"/>
                      <w:position w:val="2"/>
                      <w:sz w:val="21"/>
                    </w:rPr>
                    <w:t xml:space="preserve">等效声级 </w:t>
                  </w:r>
                  <w:r>
                    <w:rPr>
                      <w:rFonts w:ascii="Times New Roman" w:hAnsi="Times New Roman" w:eastAsia="宋体"/>
                      <w:spacing w:val="-4"/>
                      <w:position w:val="2"/>
                      <w:sz w:val="21"/>
                    </w:rPr>
                    <w:t>L</w:t>
                  </w:r>
                  <w:r>
                    <w:rPr>
                      <w:rFonts w:ascii="Times New Roman" w:hAnsi="Times New Roman" w:eastAsia="宋体"/>
                      <w:spacing w:val="-4"/>
                      <w:sz w:val="13"/>
                    </w:rPr>
                    <w:t>eq</w:t>
                  </w:r>
                  <w:r>
                    <w:rPr>
                      <w:rFonts w:ascii="Times New Roman" w:hAnsi="Times New Roman" w:eastAsia="宋体"/>
                      <w:spacing w:val="-4"/>
                      <w:position w:val="2"/>
                      <w:sz w:val="21"/>
                    </w:rPr>
                    <w:t>(dB(A))</w:t>
                  </w:r>
                </w:p>
              </w:tc>
            </w:tr>
            <w:tr w14:paraId="412C4EC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582" w:type="pct"/>
                  <w:vMerge w:val="continue"/>
                  <w:tcBorders>
                    <w:top w:val="nil"/>
                    <w:left w:val="nil"/>
                    <w:bottom w:val="single" w:color="000000" w:sz="6" w:space="0"/>
                    <w:right w:val="single" w:color="000000" w:sz="4" w:space="0"/>
                  </w:tcBorders>
                  <w:vAlign w:val="center"/>
                </w:tcPr>
                <w:p w14:paraId="17D091C3">
                  <w:pPr>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ascii="Times New Roman" w:hAnsi="Times New Roman" w:eastAsia="宋体"/>
                      <w:sz w:val="2"/>
                      <w:szCs w:val="2"/>
                    </w:rPr>
                  </w:pPr>
                </w:p>
              </w:tc>
              <w:tc>
                <w:tcPr>
                  <w:tcW w:w="2650" w:type="pct"/>
                  <w:vMerge w:val="continue"/>
                  <w:tcBorders>
                    <w:top w:val="nil"/>
                    <w:left w:val="single" w:color="000000" w:sz="4" w:space="0"/>
                    <w:bottom w:val="single" w:color="000000" w:sz="6" w:space="0"/>
                    <w:right w:val="single" w:color="000000" w:sz="4" w:space="0"/>
                  </w:tcBorders>
                  <w:vAlign w:val="center"/>
                </w:tcPr>
                <w:p w14:paraId="60B9A47B">
                  <w:pPr>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ascii="Times New Roman" w:hAnsi="Times New Roman" w:eastAsia="宋体"/>
                      <w:sz w:val="2"/>
                      <w:szCs w:val="2"/>
                    </w:rPr>
                  </w:pPr>
                </w:p>
              </w:tc>
              <w:tc>
                <w:tcPr>
                  <w:tcW w:w="875" w:type="pct"/>
                  <w:tcBorders>
                    <w:top w:val="single" w:color="000000" w:sz="6" w:space="0"/>
                    <w:left w:val="single" w:color="000000" w:sz="4" w:space="0"/>
                    <w:bottom w:val="single" w:color="000000" w:sz="6" w:space="0"/>
                    <w:right w:val="nil"/>
                  </w:tcBorders>
                  <w:vAlign w:val="center"/>
                </w:tcPr>
                <w:p w14:paraId="04E936AD">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1"/>
                    </w:rPr>
                  </w:pPr>
                  <w:r>
                    <w:rPr>
                      <w:rFonts w:ascii="Times New Roman" w:hAnsi="Times New Roman" w:eastAsia="宋体"/>
                      <w:spacing w:val="-8"/>
                      <w:sz w:val="21"/>
                    </w:rPr>
                    <w:t>昼间</w:t>
                  </w:r>
                </w:p>
              </w:tc>
              <w:tc>
                <w:tcPr>
                  <w:tcW w:w="891" w:type="pct"/>
                  <w:tcBorders>
                    <w:top w:val="single" w:color="000000" w:sz="6" w:space="0"/>
                    <w:left w:val="single" w:color="000000" w:sz="4" w:space="0"/>
                    <w:bottom w:val="single" w:color="000000" w:sz="6" w:space="0"/>
                    <w:right w:val="nil"/>
                  </w:tcBorders>
                  <w:vAlign w:val="center"/>
                </w:tcPr>
                <w:p w14:paraId="60166D49">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spacing w:val="-8"/>
                      <w:sz w:val="21"/>
                      <w:lang w:val="en-US" w:eastAsia="zh-CN"/>
                    </w:rPr>
                  </w:pPr>
                  <w:r>
                    <w:rPr>
                      <w:rFonts w:hint="eastAsia" w:ascii="Times New Roman" w:hAnsi="Times New Roman" w:eastAsia="宋体"/>
                      <w:spacing w:val="-8"/>
                      <w:sz w:val="21"/>
                      <w:lang w:val="en-US" w:eastAsia="zh-CN"/>
                    </w:rPr>
                    <w:t>夜间</w:t>
                  </w:r>
                </w:p>
              </w:tc>
            </w:tr>
            <w:tr w14:paraId="0B43890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79" w:hRule="atLeast"/>
              </w:trPr>
              <w:tc>
                <w:tcPr>
                  <w:tcW w:w="582" w:type="pct"/>
                  <w:tcBorders>
                    <w:top w:val="single" w:color="000000" w:sz="6" w:space="0"/>
                    <w:left w:val="nil"/>
                    <w:bottom w:val="single" w:color="000000" w:sz="8" w:space="0"/>
                    <w:right w:val="single" w:color="000000" w:sz="4" w:space="0"/>
                  </w:tcBorders>
                  <w:vAlign w:val="center"/>
                </w:tcPr>
                <w:p w14:paraId="4F3DCBFD">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spacing w:val="-10"/>
                      <w:sz w:val="21"/>
                      <w:lang w:val="en-US" w:eastAsia="zh-CN"/>
                    </w:rPr>
                  </w:pPr>
                  <w:r>
                    <w:rPr>
                      <w:rFonts w:hint="eastAsia" w:ascii="Times New Roman" w:hAnsi="Times New Roman" w:eastAsia="宋体"/>
                      <w:spacing w:val="-10"/>
                      <w:sz w:val="21"/>
                      <w:lang w:val="en-US" w:eastAsia="zh-CN"/>
                    </w:rPr>
                    <w:t>2</w:t>
                  </w:r>
                </w:p>
              </w:tc>
              <w:tc>
                <w:tcPr>
                  <w:tcW w:w="2650" w:type="pct"/>
                  <w:tcBorders>
                    <w:top w:val="single" w:color="000000" w:sz="6" w:space="0"/>
                    <w:left w:val="single" w:color="000000" w:sz="4" w:space="0"/>
                    <w:bottom w:val="single" w:color="000000" w:sz="8" w:space="0"/>
                    <w:right w:val="single" w:color="000000" w:sz="4" w:space="0"/>
                  </w:tcBorders>
                  <w:vAlign w:val="center"/>
                </w:tcPr>
                <w:p w14:paraId="43FF782B">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pacing w:val="-3"/>
                      <w:sz w:val="21"/>
                    </w:rPr>
                  </w:pPr>
                  <w:r>
                    <w:rPr>
                      <w:rFonts w:hint="eastAsia" w:ascii="Times New Roman" w:hAnsi="Times New Roman" w:eastAsia="宋体"/>
                      <w:spacing w:val="-3"/>
                      <w:sz w:val="21"/>
                    </w:rPr>
                    <w:t>指以商业金融、集市贸易为主要功能，或者居住、商业、工业混杂，需要维护住宅安静的区域。</w:t>
                  </w:r>
                </w:p>
              </w:tc>
              <w:tc>
                <w:tcPr>
                  <w:tcW w:w="875" w:type="pct"/>
                  <w:tcBorders>
                    <w:top w:val="single" w:color="000000" w:sz="6" w:space="0"/>
                    <w:left w:val="single" w:color="000000" w:sz="4" w:space="0"/>
                    <w:bottom w:val="single" w:color="000000" w:sz="8" w:space="0"/>
                    <w:right w:val="nil"/>
                  </w:tcBorders>
                  <w:vAlign w:val="center"/>
                </w:tcPr>
                <w:p w14:paraId="4B84F72C">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spacing w:val="-5"/>
                      <w:sz w:val="21"/>
                      <w:lang w:eastAsia="zh-CN"/>
                    </w:rPr>
                  </w:pPr>
                  <w:r>
                    <w:rPr>
                      <w:rFonts w:ascii="Times New Roman" w:hAnsi="Times New Roman" w:eastAsia="宋体"/>
                      <w:spacing w:val="-5"/>
                      <w:sz w:val="21"/>
                    </w:rPr>
                    <w:t>≤6</w:t>
                  </w:r>
                  <w:r>
                    <w:rPr>
                      <w:rFonts w:hint="eastAsia" w:ascii="Times New Roman" w:hAnsi="Times New Roman" w:eastAsia="宋体"/>
                      <w:spacing w:val="-5"/>
                      <w:sz w:val="21"/>
                      <w:lang w:val="en-US" w:eastAsia="zh-CN"/>
                    </w:rPr>
                    <w:t>0</w:t>
                  </w:r>
                </w:p>
              </w:tc>
              <w:tc>
                <w:tcPr>
                  <w:tcW w:w="891" w:type="pct"/>
                  <w:tcBorders>
                    <w:top w:val="single" w:color="000000" w:sz="6" w:space="0"/>
                    <w:left w:val="single" w:color="000000" w:sz="4" w:space="0"/>
                    <w:bottom w:val="single" w:color="000000" w:sz="8" w:space="0"/>
                    <w:right w:val="nil"/>
                  </w:tcBorders>
                  <w:vAlign w:val="center"/>
                </w:tcPr>
                <w:p w14:paraId="3E7EF88F">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spacing w:val="-5"/>
                      <w:sz w:val="21"/>
                      <w:lang w:val="en-US" w:eastAsia="zh-CN"/>
                    </w:rPr>
                  </w:pPr>
                  <w:r>
                    <w:rPr>
                      <w:rFonts w:ascii="Times New Roman" w:hAnsi="Times New Roman" w:eastAsia="宋体"/>
                      <w:spacing w:val="-5"/>
                      <w:sz w:val="21"/>
                    </w:rPr>
                    <w:t>≤</w:t>
                  </w:r>
                  <w:r>
                    <w:rPr>
                      <w:rFonts w:hint="eastAsia" w:ascii="Times New Roman" w:hAnsi="Times New Roman" w:eastAsia="宋体"/>
                      <w:spacing w:val="-5"/>
                      <w:sz w:val="21"/>
                      <w:lang w:val="en-US" w:eastAsia="zh-CN"/>
                    </w:rPr>
                    <w:t>50</w:t>
                  </w:r>
                </w:p>
              </w:tc>
            </w:tr>
          </w:tbl>
          <w:p w14:paraId="5D4638F9">
            <w:pPr>
              <w:pStyle w:val="44"/>
              <w:numPr>
                <w:ilvl w:val="0"/>
                <w:numId w:val="13"/>
              </w:numPr>
              <w:autoSpaceDE w:val="0"/>
              <w:autoSpaceDN w:val="0"/>
              <w:spacing w:before="120" w:beforeLines="50"/>
              <w:ind w:left="425" w:leftChars="0" w:hanging="425" w:firstLineChars="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声环境质量现状</w:t>
            </w:r>
          </w:p>
          <w:p w14:paraId="40E70945">
            <w:pPr>
              <w:pStyle w:val="44"/>
              <w:bidi w:val="0"/>
              <w:rPr>
                <w:rFonts w:hint="eastAsia" w:cs="宋体"/>
                <w:color w:val="000000" w:themeColor="text1"/>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为判定本项目环境特征污染物达标情况，本项目</w:t>
            </w:r>
            <w:r>
              <w:rPr>
                <w:rFonts w:hint="eastAsia" w:cs="宋体"/>
                <w:color w:val="000000" w:themeColor="text1"/>
                <w:highlight w:val="none"/>
                <w:lang w:val="en-US" w:eastAsia="zh-CN"/>
                <w14:textFill>
                  <w14:solidFill>
                    <w14:schemeClr w14:val="tx1"/>
                  </w14:solidFill>
                </w14:textFill>
              </w:rPr>
              <w:t>引用</w:t>
            </w:r>
            <w:r>
              <w:rPr>
                <w:rFonts w:hint="eastAsia" w:ascii="微软雅黑" w:hAnsi="微软雅黑" w:eastAsia="微软雅黑" w:cs="微软雅黑"/>
                <w:color w:val="000000" w:themeColor="text1"/>
                <w:highlight w:val="none"/>
                <w:lang w:val="en-US" w:eastAsia="zh-CN"/>
                <w14:textFill>
                  <w14:solidFill>
                    <w14:schemeClr w14:val="tx1"/>
                  </w14:solidFill>
                </w14:textFill>
              </w:rPr>
              <w:t>《</w:t>
            </w:r>
            <w:r>
              <w:rPr>
                <w:rFonts w:hint="eastAsia" w:cs="宋体"/>
                <w:color w:val="000000" w:themeColor="text1"/>
                <w:highlight w:val="none"/>
                <w:lang w:val="en-US" w:eastAsia="zh-CN"/>
                <w14:textFill>
                  <w14:solidFill>
                    <w14:schemeClr w14:val="tx1"/>
                  </w14:solidFill>
                </w14:textFill>
              </w:rPr>
              <w:t>瑞恒新型环保节能墙体材料建设项目竣工环境保护验收监测报告表</w:t>
            </w:r>
            <w:r>
              <w:rPr>
                <w:rFonts w:hint="eastAsia" w:ascii="微软雅黑" w:hAnsi="微软雅黑" w:eastAsia="微软雅黑" w:cs="微软雅黑"/>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中对厂界四周及附近敏感点的噪声检测数据</w:t>
            </w:r>
            <w:r>
              <w:rPr>
                <w:rFonts w:hint="eastAsia" w:cs="宋体"/>
                <w:color w:val="000000" w:themeColor="text1"/>
                <w:highlight w:val="none"/>
                <w:lang w:val="en-US" w:eastAsia="zh-CN"/>
                <w14:textFill>
                  <w14:solidFill>
                    <w14:schemeClr w14:val="tx1"/>
                  </w14:solidFill>
                </w14:textFill>
              </w:rPr>
              <w:t>。</w:t>
            </w:r>
          </w:p>
          <w:p w14:paraId="1AA018A3">
            <w:pPr>
              <w:numPr>
                <w:ilvl w:val="0"/>
                <w:numId w:val="0"/>
              </w:numPr>
              <w:tabs>
                <w:tab w:val="right" w:pos="7554"/>
              </w:tabs>
              <w:adjustRightInd w:val="0"/>
              <w:snapToGrid w:val="0"/>
              <w:spacing w:line="360" w:lineRule="auto"/>
              <w:ind w:firstLine="480" w:firstLineChars="200"/>
              <w:jc w:val="left"/>
              <w:rPr>
                <w:rFonts w:hint="eastAsia" w:ascii="Times New Roman" w:hAnsi="Times New Roman"/>
                <w:color w:val="000000" w:themeColor="text1"/>
                <w:sz w:val="24"/>
                <w:szCs w:val="32"/>
                <w:highlight w:val="none"/>
                <w:lang w:val="en-US" w:eastAsia="zh-CN"/>
                <w14:textFill>
                  <w14:solidFill>
                    <w14:schemeClr w14:val="tx1"/>
                  </w14:solidFill>
                </w14:textFill>
              </w:rPr>
            </w:pPr>
            <w:r>
              <w:rPr>
                <w:rFonts w:hint="eastAsia" w:ascii="Times New Roman" w:hAnsi="Times New Roman"/>
                <w:color w:val="000000" w:themeColor="text1"/>
                <w:sz w:val="24"/>
                <w:szCs w:val="32"/>
                <w:highlight w:val="none"/>
                <w:lang w:val="en-US" w:eastAsia="zh-CN"/>
                <w14:textFill>
                  <w14:solidFill>
                    <w14:schemeClr w14:val="tx1"/>
                  </w14:solidFill>
                </w14:textFill>
              </w:rPr>
              <w:t>①监测点位：西南侧厂界</w:t>
            </w:r>
            <w:r>
              <w:rPr>
                <w:rFonts w:hint="eastAsia"/>
                <w:color w:val="000000" w:themeColor="text1"/>
                <w:sz w:val="24"/>
                <w:szCs w:val="32"/>
                <w:highlight w:val="none"/>
                <w:lang w:val="en-US" w:eastAsia="zh-CN"/>
                <w14:textFill>
                  <w14:solidFill>
                    <w14:schemeClr w14:val="tx1"/>
                  </w14:solidFill>
                </w14:textFill>
              </w:rPr>
              <w:t>、</w:t>
            </w:r>
            <w:r>
              <w:rPr>
                <w:rFonts w:hint="eastAsia" w:ascii="Times New Roman" w:hAnsi="Times New Roman"/>
                <w:color w:val="000000" w:themeColor="text1"/>
                <w:sz w:val="24"/>
                <w:szCs w:val="32"/>
                <w:highlight w:val="none"/>
                <w:lang w:val="en-US" w:eastAsia="zh-CN"/>
                <w14:textFill>
                  <w14:solidFill>
                    <w14:schemeClr w14:val="tx1"/>
                  </w14:solidFill>
                </w14:textFill>
              </w:rPr>
              <w:t>东南侧厂界</w:t>
            </w:r>
            <w:r>
              <w:rPr>
                <w:rFonts w:hint="eastAsia"/>
                <w:color w:val="000000" w:themeColor="text1"/>
                <w:sz w:val="24"/>
                <w:szCs w:val="32"/>
                <w:highlight w:val="none"/>
                <w:lang w:val="en-US" w:eastAsia="zh-CN"/>
                <w14:textFill>
                  <w14:solidFill>
                    <w14:schemeClr w14:val="tx1"/>
                  </w14:solidFill>
                </w14:textFill>
              </w:rPr>
              <w:t>、</w:t>
            </w:r>
            <w:r>
              <w:rPr>
                <w:rFonts w:hint="eastAsia" w:ascii="Times New Roman" w:hAnsi="Times New Roman"/>
                <w:color w:val="000000" w:themeColor="text1"/>
                <w:sz w:val="24"/>
                <w:szCs w:val="32"/>
                <w:highlight w:val="none"/>
                <w:lang w:val="en-US" w:eastAsia="zh-CN"/>
                <w14:textFill>
                  <w14:solidFill>
                    <w14:schemeClr w14:val="tx1"/>
                  </w14:solidFill>
                </w14:textFill>
              </w:rPr>
              <w:t>东北侧厂界</w:t>
            </w:r>
            <w:r>
              <w:rPr>
                <w:rFonts w:hint="eastAsia"/>
                <w:color w:val="000000" w:themeColor="text1"/>
                <w:sz w:val="24"/>
                <w:szCs w:val="32"/>
                <w:highlight w:val="none"/>
                <w:lang w:val="en-US" w:eastAsia="zh-CN"/>
                <w14:textFill>
                  <w14:solidFill>
                    <w14:schemeClr w14:val="tx1"/>
                  </w14:solidFill>
                </w14:textFill>
              </w:rPr>
              <w:t>、</w:t>
            </w:r>
            <w:r>
              <w:rPr>
                <w:rFonts w:hint="eastAsia" w:ascii="Times New Roman" w:hAnsi="Times New Roman"/>
                <w:color w:val="000000" w:themeColor="text1"/>
                <w:sz w:val="24"/>
                <w:szCs w:val="32"/>
                <w:highlight w:val="none"/>
                <w:lang w:val="en-US" w:eastAsia="zh-CN"/>
                <w14:textFill>
                  <w14:solidFill>
                    <w14:schemeClr w14:val="tx1"/>
                  </w14:solidFill>
                </w14:textFill>
              </w:rPr>
              <w:t>西北侧厂界</w:t>
            </w:r>
            <w:r>
              <w:rPr>
                <w:rFonts w:hint="eastAsia"/>
                <w:color w:val="000000" w:themeColor="text1"/>
                <w:sz w:val="24"/>
                <w:szCs w:val="32"/>
                <w:highlight w:val="none"/>
                <w:lang w:val="en-US" w:eastAsia="zh-CN"/>
                <w14:textFill>
                  <w14:solidFill>
                    <w14:schemeClr w14:val="tx1"/>
                  </w14:solidFill>
                </w14:textFill>
              </w:rPr>
              <w:t>以及</w:t>
            </w:r>
            <w:r>
              <w:rPr>
                <w:rFonts w:hint="eastAsia" w:ascii="Times New Roman" w:hAnsi="Times New Roman"/>
                <w:color w:val="000000" w:themeColor="text1"/>
                <w:sz w:val="24"/>
                <w:szCs w:val="32"/>
                <w:highlight w:val="none"/>
                <w:lang w:val="en-US" w:eastAsia="zh-CN"/>
                <w14:textFill>
                  <w14:solidFill>
                    <w14:schemeClr w14:val="tx1"/>
                  </w14:solidFill>
                </w14:textFill>
              </w:rPr>
              <w:t>东侧丽山村；</w:t>
            </w:r>
          </w:p>
          <w:p w14:paraId="77DB4D5E">
            <w:pPr>
              <w:numPr>
                <w:ilvl w:val="0"/>
                <w:numId w:val="0"/>
              </w:numPr>
              <w:tabs>
                <w:tab w:val="right" w:pos="7554"/>
              </w:tabs>
              <w:adjustRightInd w:val="0"/>
              <w:snapToGrid w:val="0"/>
              <w:spacing w:line="360" w:lineRule="auto"/>
              <w:ind w:firstLine="480" w:firstLineChars="200"/>
              <w:jc w:val="left"/>
              <w:rPr>
                <w:rFonts w:hint="eastAsia" w:ascii="Times New Roman" w:hAnsi="Times New Roman"/>
                <w:color w:val="000000" w:themeColor="text1"/>
                <w:sz w:val="24"/>
                <w:szCs w:val="32"/>
                <w:highlight w:val="none"/>
                <w:lang w:val="en-US" w:eastAsia="zh-CN"/>
                <w14:textFill>
                  <w14:solidFill>
                    <w14:schemeClr w14:val="tx1"/>
                  </w14:solidFill>
                </w14:textFill>
              </w:rPr>
            </w:pPr>
            <w:r>
              <w:rPr>
                <w:rFonts w:hint="eastAsia" w:ascii="Times New Roman" w:hAnsi="Times New Roman"/>
                <w:color w:val="000000" w:themeColor="text1"/>
                <w:sz w:val="24"/>
                <w:szCs w:val="32"/>
                <w:highlight w:val="none"/>
                <w:lang w:val="en-US" w:eastAsia="zh-CN"/>
                <w14:textFill>
                  <w14:solidFill>
                    <w14:schemeClr w14:val="tx1"/>
                  </w14:solidFill>
                </w14:textFill>
              </w:rPr>
              <w:t>②监测项目：</w:t>
            </w:r>
            <w:r>
              <w:rPr>
                <w:rFonts w:hint="eastAsia"/>
                <w:color w:val="000000" w:themeColor="text1"/>
                <w:sz w:val="24"/>
                <w:szCs w:val="32"/>
                <w:highlight w:val="none"/>
                <w:lang w:val="en-US" w:eastAsia="zh-CN"/>
                <w14:textFill>
                  <w14:solidFill>
                    <w14:schemeClr w14:val="tx1"/>
                  </w14:solidFill>
                </w14:textFill>
              </w:rPr>
              <w:t>噪声</w:t>
            </w:r>
            <w:r>
              <w:rPr>
                <w:rFonts w:hint="eastAsia" w:ascii="Times New Roman" w:hAnsi="Times New Roman"/>
                <w:color w:val="000000" w:themeColor="text1"/>
                <w:sz w:val="24"/>
                <w:szCs w:val="32"/>
                <w:highlight w:val="none"/>
                <w:lang w:val="en-US" w:eastAsia="zh-CN"/>
                <w14:textFill>
                  <w14:solidFill>
                    <w14:schemeClr w14:val="tx1"/>
                  </w14:solidFill>
                </w14:textFill>
              </w:rPr>
              <w:t>；</w:t>
            </w:r>
          </w:p>
          <w:p w14:paraId="49052CC3">
            <w:pPr>
              <w:pStyle w:val="44"/>
              <w:bidi w:val="0"/>
              <w:rPr>
                <w:rFonts w:hint="eastAsia" w:ascii="Times New Roman" w:hAnsi="Times New Roman"/>
                <w:color w:val="000000" w:themeColor="text1"/>
                <w:sz w:val="24"/>
                <w:szCs w:val="32"/>
                <w:highlight w:val="none"/>
                <w:lang w:val="en-US" w:eastAsia="zh-CN"/>
                <w14:textFill>
                  <w14:solidFill>
                    <w14:schemeClr w14:val="tx1"/>
                  </w14:solidFill>
                </w14:textFill>
              </w:rPr>
            </w:pPr>
            <w:r>
              <w:rPr>
                <w:rFonts w:hint="eastAsia" w:ascii="Times New Roman" w:hAnsi="Times New Roman"/>
                <w:color w:val="000000" w:themeColor="text1"/>
                <w:sz w:val="24"/>
                <w:szCs w:val="32"/>
                <w:highlight w:val="none"/>
                <w:lang w:val="en-US" w:eastAsia="zh-CN"/>
                <w14:textFill>
                  <w14:solidFill>
                    <w14:schemeClr w14:val="tx1"/>
                  </w14:solidFill>
                </w14:textFill>
              </w:rPr>
              <w:t>③监测时间及频率：监测</w:t>
            </w:r>
            <w:r>
              <w:rPr>
                <w:rFonts w:hint="eastAsia"/>
                <w:color w:val="000000" w:themeColor="text1"/>
                <w:sz w:val="24"/>
                <w:szCs w:val="32"/>
                <w:highlight w:val="none"/>
                <w:lang w:val="en-US" w:eastAsia="zh-CN"/>
                <w14:textFill>
                  <w14:solidFill>
                    <w14:schemeClr w14:val="tx1"/>
                  </w14:solidFill>
                </w14:textFill>
              </w:rPr>
              <w:t>两</w:t>
            </w:r>
            <w:r>
              <w:rPr>
                <w:rFonts w:hint="eastAsia" w:ascii="Times New Roman" w:hAnsi="Times New Roman"/>
                <w:color w:val="000000" w:themeColor="text1"/>
                <w:sz w:val="24"/>
                <w:szCs w:val="32"/>
                <w:highlight w:val="none"/>
                <w:lang w:val="en-US" w:eastAsia="zh-CN"/>
                <w14:textFill>
                  <w14:solidFill>
                    <w14:schemeClr w14:val="tx1"/>
                  </w14:solidFill>
                </w14:textFill>
              </w:rPr>
              <w:t>天，每天两次，昼、夜各一次。</w:t>
            </w:r>
          </w:p>
          <w:p w14:paraId="4EFB1FA1">
            <w:pPr>
              <w:pStyle w:val="44"/>
              <w:bidi w:val="0"/>
              <w:rPr>
                <w:rFonts w:hint="eastAsia" w:cs="Times New Roman"/>
                <w:color w:val="000000" w:themeColor="text1"/>
                <w:highlight w:val="none"/>
                <w:lang w:val="en-US" w:eastAsia="zh-CN"/>
                <w14:textFill>
                  <w14:solidFill>
                    <w14:schemeClr w14:val="tx1"/>
                  </w14:solidFill>
                </w14:textFill>
              </w:rPr>
            </w:pPr>
            <w:r>
              <w:rPr>
                <w:rFonts w:hint="eastAsia" w:ascii="Times New Roman" w:hAnsi="Times New Roman"/>
                <w:color w:val="000000" w:themeColor="text1"/>
                <w:sz w:val="24"/>
                <w:szCs w:val="32"/>
                <w:highlight w:val="none"/>
                <w:lang w:val="en-US" w:eastAsia="zh-CN"/>
                <w14:textFill>
                  <w14:solidFill>
                    <w14:schemeClr w14:val="tx1"/>
                  </w14:solidFill>
                </w14:textFill>
              </w:rPr>
              <w:t>采样时均观测并记录当时的风向、风速、气温、气压等气象条件。</w:t>
            </w:r>
            <w:r>
              <w:rPr>
                <w:rFonts w:hint="default" w:ascii="Times New Roman" w:hAnsi="Times New Roman" w:cs="Times New Roman"/>
                <w:color w:val="000000" w:themeColor="text1"/>
                <w:highlight w:val="none"/>
                <w:lang w:val="en-US" w:eastAsia="zh-CN"/>
                <w14:textFill>
                  <w14:solidFill>
                    <w14:schemeClr w14:val="tx1"/>
                  </w14:solidFill>
                </w14:textFill>
              </w:rPr>
              <w:t>具体监测点位见</w: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begin"/>
            </w:r>
            <w:r>
              <w:rPr>
                <w:rFonts w:hint="default" w:ascii="Times New Roman" w:hAnsi="Times New Roman" w:cs="Times New Roman"/>
                <w:color w:val="000000" w:themeColor="text1"/>
                <w:highlight w:val="none"/>
                <w:lang w:val="en-US" w:eastAsia="zh-CN"/>
                <w14:textFill>
                  <w14:solidFill>
                    <w14:schemeClr w14:val="tx1"/>
                  </w14:solidFill>
                </w14:textFill>
              </w:rPr>
              <w:instrText xml:space="preserve"> REF _Ref27686 \n \h </w:instrTex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separate"/>
            </w:r>
            <w:r>
              <w:rPr>
                <w:rFonts w:hint="default" w:ascii="Times New Roman" w:hAnsi="Times New Roman" w:cs="Times New Roman"/>
                <w:color w:val="000000" w:themeColor="text1"/>
                <w:highlight w:val="none"/>
                <w:lang w:val="en-US" w:eastAsia="zh-CN"/>
                <w14:textFill>
                  <w14:solidFill>
                    <w14:schemeClr w14:val="tx1"/>
                  </w14:solidFill>
                </w14:textFill>
              </w:rPr>
              <w:t>图</w:t>
            </w:r>
            <w:r>
              <w:rPr>
                <w:rFonts w:hint="eastAsia" w:ascii="Times New Roman" w:hAnsi="Times New Roman" w:cs="Times New Roman"/>
                <w:color w:val="000000" w:themeColor="text1"/>
                <w:highlight w:val="none"/>
                <w:lang w:val="en-US" w:eastAsia="zh-CN"/>
                <w14:textFill>
                  <w14:solidFill>
                    <w14:schemeClr w14:val="tx1"/>
                  </w14:solidFill>
                </w14:textFill>
              </w:rPr>
              <w:t>3.1</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end"/>
            </w:r>
            <w:r>
              <w:rPr>
                <w:rFonts w:hint="eastAsia" w:cs="Times New Roman"/>
                <w:color w:val="000000" w:themeColor="text1"/>
                <w:highlight w:val="none"/>
                <w:lang w:val="en-US" w:eastAsia="zh-CN"/>
                <w14:textFill>
                  <w14:solidFill>
                    <w14:schemeClr w14:val="tx1"/>
                  </w14:solidFill>
                </w14:textFill>
              </w:rPr>
              <w:t>。</w:t>
            </w:r>
          </w:p>
          <w:p w14:paraId="0DEB9E12">
            <w:pPr>
              <w:pStyle w:val="44"/>
              <w:bidi w:val="0"/>
            </w:pPr>
            <w:r>
              <w:drawing>
                <wp:inline distT="0" distB="0" distL="114300" distR="114300">
                  <wp:extent cx="4724400" cy="29718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5"/>
                          <a:stretch>
                            <a:fillRect/>
                          </a:stretch>
                        </pic:blipFill>
                        <pic:spPr>
                          <a:xfrm>
                            <a:off x="0" y="0"/>
                            <a:ext cx="4724400" cy="2971800"/>
                          </a:xfrm>
                          <a:prstGeom prst="rect">
                            <a:avLst/>
                          </a:prstGeom>
                          <a:noFill/>
                          <a:ln>
                            <a:noFill/>
                          </a:ln>
                        </pic:spPr>
                      </pic:pic>
                    </a:graphicData>
                  </a:graphic>
                </wp:inline>
              </w:drawing>
            </w:r>
          </w:p>
          <w:p w14:paraId="7CB676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center"/>
              <w:textAlignment w:val="auto"/>
              <w:rPr>
                <w:rFonts w:hint="eastAsia" w:cs="Times New Roman"/>
                <w:b/>
                <w:bCs/>
                <w:color w:val="000000" w:themeColor="text1"/>
                <w:kern w:val="2"/>
                <w:sz w:val="24"/>
                <w:szCs w:val="20"/>
                <w:highlight w:val="none"/>
                <w:lang w:val="en-US" w:eastAsia="zh-CN" w:bidi="ar-SA"/>
                <w14:textFill>
                  <w14:solidFill>
                    <w14:schemeClr w14:val="tx1"/>
                  </w14:solidFill>
                </w14:textFill>
              </w:rPr>
            </w:pPr>
            <w:r>
              <w:rPr>
                <w:rFonts w:hint="eastAsia" w:cs="Times New Roman"/>
                <w:b/>
                <w:bCs/>
                <w:color w:val="000000" w:themeColor="text1"/>
                <w:kern w:val="2"/>
                <w:sz w:val="24"/>
                <w:szCs w:val="20"/>
                <w:highlight w:val="none"/>
                <w:lang w:val="en-US" w:eastAsia="zh-CN" w:bidi="ar-SA"/>
                <w14:textFill>
                  <w14:solidFill>
                    <w14:schemeClr w14:val="tx1"/>
                  </w14:solidFill>
                </w14:textFill>
              </w:rPr>
              <w:t>图3.1-1引用的噪声监测点位图</w:t>
            </w:r>
          </w:p>
          <w:p w14:paraId="6E0544F8">
            <w:pPr>
              <w:pStyle w:val="44"/>
              <w:bidi w:val="0"/>
              <w:rPr>
                <w:rFonts w:hint="eastAsia"/>
                <w:lang w:val="en-US" w:eastAsia="zh-CN"/>
              </w:rPr>
            </w:pPr>
          </w:p>
          <w:p w14:paraId="49EFE021">
            <w:pPr>
              <w:pStyle w:val="15"/>
              <w:rPr>
                <w:rFonts w:hint="eastAsia" w:ascii="Times New Roman" w:hAnsi="Times New Roman" w:eastAsia="宋体" w:cs="宋体"/>
                <w:color w:val="000000" w:themeColor="text1"/>
                <w:kern w:val="0"/>
                <w:sz w:val="24"/>
                <w:szCs w:val="32"/>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0"/>
                <w:sz w:val="24"/>
                <w:szCs w:val="32"/>
                <w:highlight w:val="none"/>
                <w:lang w:val="en-US" w:eastAsia="zh-CN" w:bidi="ar-SA"/>
                <w14:textFill>
                  <w14:solidFill>
                    <w14:schemeClr w14:val="tx1"/>
                  </w14:solidFill>
                </w14:textFill>
              </w:rPr>
              <w:t>④检测依据和主要仪器</w:t>
            </w:r>
          </w:p>
          <w:p w14:paraId="21CCA6DE">
            <w:pPr>
              <w:pStyle w:val="42"/>
              <w:keepNext/>
              <w:keepLines/>
              <w:pageBreakBefore w:val="0"/>
              <w:widowControl w:val="0"/>
              <w:numPr>
                <w:ilvl w:val="7"/>
                <w:numId w:val="10"/>
              </w:numPr>
              <w:tabs>
                <w:tab w:val="left" w:pos="0"/>
              </w:tabs>
              <w:kinsoku/>
              <w:wordWrap/>
              <w:overflowPunct/>
              <w:topLinePunct w:val="0"/>
              <w:autoSpaceDE/>
              <w:autoSpaceDN/>
              <w:bidi w:val="0"/>
              <w:adjustRightInd/>
              <w:snapToGrid/>
              <w:spacing w:before="0" w:after="0"/>
              <w:ind w:left="630" w:leftChars="0" w:firstLineChars="0"/>
              <w:textAlignment w:val="auto"/>
              <w:rPr>
                <w:rFonts w:hint="eastAsia"/>
                <w:lang w:val="en-US" w:eastAsia="zh-CN"/>
              </w:rPr>
            </w:pPr>
            <w:r>
              <w:rPr>
                <w:rFonts w:hint="eastAsia" w:ascii="Times New Roman" w:hAnsi="Times New Roman" w:eastAsia="宋体"/>
                <w:color w:val="000000" w:themeColor="text1"/>
                <w:highlight w:val="none"/>
                <w:lang w:val="en-US" w:eastAsia="zh-CN"/>
                <w14:textFill>
                  <w14:solidFill>
                    <w14:schemeClr w14:val="tx1"/>
                  </w14:solidFill>
                </w14:textFill>
              </w:rPr>
              <w:t>检测依据和主要仪器</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98"/>
              <w:gridCol w:w="1356"/>
              <w:gridCol w:w="4312"/>
              <w:gridCol w:w="1879"/>
            </w:tblGrid>
            <w:tr w14:paraId="7C2904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35" w:type="pct"/>
                  <w:tcBorders>
                    <w:tl2br w:val="nil"/>
                    <w:tr2bl w:val="nil"/>
                  </w:tcBorders>
                  <w:noWrap w:val="0"/>
                  <w:vAlign w:val="center"/>
                </w:tcPr>
                <w:p w14:paraId="247A9B89">
                  <w:pPr>
                    <w:pStyle w:val="146"/>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检测类别</w:t>
                  </w:r>
                </w:p>
              </w:tc>
              <w:tc>
                <w:tcPr>
                  <w:tcW w:w="784" w:type="pct"/>
                  <w:tcBorders>
                    <w:tl2br w:val="nil"/>
                    <w:tr2bl w:val="nil"/>
                  </w:tcBorders>
                  <w:noWrap w:val="0"/>
                  <w:vAlign w:val="center"/>
                </w:tcPr>
                <w:p w14:paraId="26CFE893">
                  <w:pPr>
                    <w:pStyle w:val="146"/>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检测因子</w:t>
                  </w:r>
                </w:p>
              </w:tc>
              <w:tc>
                <w:tcPr>
                  <w:tcW w:w="2493" w:type="pct"/>
                  <w:tcBorders>
                    <w:tl2br w:val="nil"/>
                    <w:tr2bl w:val="nil"/>
                  </w:tcBorders>
                  <w:noWrap w:val="0"/>
                  <w:vAlign w:val="center"/>
                </w:tcPr>
                <w:p w14:paraId="3DEEB8F6">
                  <w:pPr>
                    <w:pStyle w:val="146"/>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检测方法</w:t>
                  </w:r>
                </w:p>
              </w:tc>
              <w:tc>
                <w:tcPr>
                  <w:tcW w:w="1086" w:type="pct"/>
                  <w:tcBorders>
                    <w:tl2br w:val="nil"/>
                    <w:tr2bl w:val="nil"/>
                  </w:tcBorders>
                  <w:noWrap w:val="0"/>
                  <w:vAlign w:val="center"/>
                </w:tcPr>
                <w:p w14:paraId="19A13D8A">
                  <w:pPr>
                    <w:pStyle w:val="146"/>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仪器名称及型号</w:t>
                  </w:r>
                </w:p>
              </w:tc>
            </w:tr>
            <w:tr w14:paraId="76F507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5" w:type="pct"/>
                  <w:tcBorders>
                    <w:tl2br w:val="nil"/>
                    <w:tr2bl w:val="nil"/>
                  </w:tcBorders>
                  <w:noWrap w:val="0"/>
                  <w:vAlign w:val="center"/>
                </w:tcPr>
                <w:p w14:paraId="11825FE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噪声</w:t>
                  </w:r>
                </w:p>
              </w:tc>
              <w:tc>
                <w:tcPr>
                  <w:tcW w:w="784" w:type="pct"/>
                  <w:tcBorders>
                    <w:tl2br w:val="nil"/>
                    <w:tr2bl w:val="nil"/>
                  </w:tcBorders>
                  <w:noWrap w:val="0"/>
                  <w:vAlign w:val="center"/>
                </w:tcPr>
                <w:p w14:paraId="0FD1B1B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环境噪声</w:t>
                  </w:r>
                </w:p>
              </w:tc>
              <w:tc>
                <w:tcPr>
                  <w:tcW w:w="2493" w:type="pct"/>
                  <w:tcBorders>
                    <w:tl2br w:val="nil"/>
                    <w:tr2bl w:val="nil"/>
                  </w:tcBorders>
                  <w:noWrap w:val="0"/>
                  <w:vAlign w:val="center"/>
                </w:tcPr>
                <w:p w14:paraId="0723809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声环境质量标准GB 3096-2008</w:t>
                  </w:r>
                </w:p>
              </w:tc>
              <w:tc>
                <w:tcPr>
                  <w:tcW w:w="1086" w:type="pct"/>
                  <w:tcBorders>
                    <w:tl2br w:val="nil"/>
                    <w:tr2bl w:val="nil"/>
                  </w:tcBorders>
                  <w:noWrap w:val="0"/>
                  <w:vAlign w:val="center"/>
                </w:tcPr>
                <w:p w14:paraId="2D74CC9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AWA5688型</w:t>
                  </w:r>
                </w:p>
                <w:p w14:paraId="3F0D678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多功能声级计</w:t>
                  </w:r>
                </w:p>
              </w:tc>
            </w:tr>
          </w:tbl>
          <w:p w14:paraId="067DD40B">
            <w:pPr>
              <w:pStyle w:val="12"/>
              <w:rPr>
                <w:rFonts w:hint="default" w:ascii="Times New Roman" w:hAnsi="Times New Roman" w:eastAsia="宋体" w:cs="宋体"/>
                <w:color w:val="000000" w:themeColor="text1"/>
                <w:kern w:val="0"/>
                <w:sz w:val="24"/>
                <w:szCs w:val="32"/>
                <w:highlight w:val="none"/>
                <w:lang w:val="en-US" w:eastAsia="zh-CN" w:bidi="ar-SA"/>
                <w14:textFill>
                  <w14:solidFill>
                    <w14:schemeClr w14:val="tx1"/>
                  </w14:solidFill>
                </w14:textFill>
              </w:rPr>
            </w:pPr>
          </w:p>
          <w:p w14:paraId="208A16EE">
            <w:pPr>
              <w:rPr>
                <w:rFonts w:hint="default" w:ascii="Times New Roman" w:hAnsi="Times New Roman" w:eastAsia="宋体" w:cs="宋体"/>
                <w:color w:val="000000" w:themeColor="text1"/>
                <w:kern w:val="0"/>
                <w:sz w:val="24"/>
                <w:szCs w:val="32"/>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0"/>
                <w:sz w:val="24"/>
                <w:szCs w:val="32"/>
                <w:highlight w:val="none"/>
                <w:lang w:val="en-US" w:eastAsia="zh-CN" w:bidi="ar-SA"/>
                <w14:textFill>
                  <w14:solidFill>
                    <w14:schemeClr w14:val="tx1"/>
                  </w14:solidFill>
                </w14:textFill>
              </w:rPr>
              <w:t>⑤检测期间气象参数</w:t>
            </w:r>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951"/>
              <w:gridCol w:w="1333"/>
              <w:gridCol w:w="1333"/>
              <w:gridCol w:w="1333"/>
              <w:gridCol w:w="1333"/>
              <w:gridCol w:w="1335"/>
            </w:tblGrid>
            <w:tr w14:paraId="7D6E0E0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131" w:type="pct"/>
                  <w:tcBorders>
                    <w:tl2br w:val="nil"/>
                    <w:tr2bl w:val="nil"/>
                  </w:tcBorders>
                  <w:vAlign w:val="center"/>
                </w:tcPr>
                <w:p w14:paraId="1D40AFA1">
                  <w:pPr>
                    <w:jc w:val="center"/>
                  </w:pPr>
                  <w:r>
                    <w:t>采样日期</w:t>
                  </w:r>
                </w:p>
              </w:tc>
              <w:tc>
                <w:tcPr>
                  <w:tcW w:w="773" w:type="pct"/>
                  <w:tcBorders>
                    <w:tl2br w:val="nil"/>
                    <w:tr2bl w:val="nil"/>
                  </w:tcBorders>
                  <w:vAlign w:val="center"/>
                </w:tcPr>
                <w:p w14:paraId="559E7294">
                  <w:pPr>
                    <w:jc w:val="center"/>
                  </w:pPr>
                  <w:r>
                    <w:t>天气</w:t>
                  </w:r>
                </w:p>
              </w:tc>
              <w:tc>
                <w:tcPr>
                  <w:tcW w:w="773" w:type="pct"/>
                  <w:tcBorders>
                    <w:tl2br w:val="nil"/>
                    <w:tr2bl w:val="nil"/>
                  </w:tcBorders>
                  <w:vAlign w:val="center"/>
                </w:tcPr>
                <w:p w14:paraId="3A9E6F5C">
                  <w:pPr>
                    <w:jc w:val="center"/>
                  </w:pPr>
                  <w:r>
                    <w:t>气温（℃）</w:t>
                  </w:r>
                </w:p>
              </w:tc>
              <w:tc>
                <w:tcPr>
                  <w:tcW w:w="773" w:type="pct"/>
                  <w:tcBorders>
                    <w:tl2br w:val="nil"/>
                    <w:tr2bl w:val="nil"/>
                  </w:tcBorders>
                  <w:vAlign w:val="center"/>
                </w:tcPr>
                <w:p w14:paraId="6B22DCDC">
                  <w:pPr>
                    <w:jc w:val="center"/>
                  </w:pPr>
                  <w:r>
                    <w:t>气压（kPa）</w:t>
                  </w:r>
                </w:p>
              </w:tc>
              <w:tc>
                <w:tcPr>
                  <w:tcW w:w="773" w:type="pct"/>
                  <w:tcBorders>
                    <w:tl2br w:val="nil"/>
                    <w:tr2bl w:val="nil"/>
                  </w:tcBorders>
                  <w:vAlign w:val="center"/>
                </w:tcPr>
                <w:p w14:paraId="337FC5DB">
                  <w:pPr>
                    <w:jc w:val="center"/>
                  </w:pPr>
                  <w:r>
                    <w:t>风速（m/s）</w:t>
                  </w:r>
                </w:p>
              </w:tc>
              <w:tc>
                <w:tcPr>
                  <w:tcW w:w="774" w:type="pct"/>
                  <w:tcBorders>
                    <w:tl2br w:val="nil"/>
                    <w:tr2bl w:val="nil"/>
                  </w:tcBorders>
                  <w:vAlign w:val="center"/>
                </w:tcPr>
                <w:p w14:paraId="47D6259F">
                  <w:pPr>
                    <w:jc w:val="center"/>
                  </w:pPr>
                  <w:r>
                    <w:t>风向</w:t>
                  </w:r>
                </w:p>
              </w:tc>
            </w:tr>
            <w:tr w14:paraId="06CC5F3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131" w:type="pct"/>
                  <w:tcBorders>
                    <w:tl2br w:val="nil"/>
                    <w:tr2bl w:val="nil"/>
                  </w:tcBorders>
                  <w:vAlign w:val="center"/>
                </w:tcPr>
                <w:p w14:paraId="021D8834">
                  <w:pPr>
                    <w:jc w:val="center"/>
                  </w:pPr>
                  <w:r>
                    <w:rPr>
                      <w:rFonts w:hint="eastAsia"/>
                    </w:rPr>
                    <w:t>2025年6月11日</w:t>
                  </w:r>
                </w:p>
              </w:tc>
              <w:tc>
                <w:tcPr>
                  <w:tcW w:w="773" w:type="pct"/>
                  <w:tcBorders>
                    <w:tl2br w:val="nil"/>
                    <w:tr2bl w:val="nil"/>
                  </w:tcBorders>
                  <w:vAlign w:val="center"/>
                </w:tcPr>
                <w:p w14:paraId="41FEDC07">
                  <w:pPr>
                    <w:jc w:val="center"/>
                  </w:pPr>
                  <w:r>
                    <w:rPr>
                      <w:rFonts w:hint="eastAsia"/>
                    </w:rPr>
                    <w:t>晴</w:t>
                  </w:r>
                </w:p>
              </w:tc>
              <w:tc>
                <w:tcPr>
                  <w:tcW w:w="773" w:type="pct"/>
                  <w:tcBorders>
                    <w:tl2br w:val="nil"/>
                    <w:tr2bl w:val="nil"/>
                  </w:tcBorders>
                  <w:vAlign w:val="center"/>
                </w:tcPr>
                <w:p w14:paraId="694BC7AB">
                  <w:pPr>
                    <w:jc w:val="center"/>
                  </w:pPr>
                  <w:r>
                    <w:rPr>
                      <w:rFonts w:hint="eastAsia"/>
                    </w:rPr>
                    <w:t>29.6~35.2</w:t>
                  </w:r>
                </w:p>
              </w:tc>
              <w:tc>
                <w:tcPr>
                  <w:tcW w:w="773" w:type="pct"/>
                  <w:tcBorders>
                    <w:tl2br w:val="nil"/>
                    <w:tr2bl w:val="nil"/>
                  </w:tcBorders>
                  <w:vAlign w:val="center"/>
                </w:tcPr>
                <w:p w14:paraId="1B37D4C6">
                  <w:pPr>
                    <w:jc w:val="center"/>
                  </w:pPr>
                  <w:r>
                    <w:rPr>
                      <w:rFonts w:hint="eastAsia"/>
                    </w:rPr>
                    <w:t>100.0~100.7</w:t>
                  </w:r>
                </w:p>
              </w:tc>
              <w:tc>
                <w:tcPr>
                  <w:tcW w:w="773" w:type="pct"/>
                  <w:tcBorders>
                    <w:tl2br w:val="nil"/>
                    <w:tr2bl w:val="nil"/>
                  </w:tcBorders>
                  <w:vAlign w:val="center"/>
                </w:tcPr>
                <w:p w14:paraId="47EA67C0">
                  <w:pPr>
                    <w:jc w:val="center"/>
                  </w:pPr>
                  <w:r>
                    <w:rPr>
                      <w:rFonts w:hint="eastAsia"/>
                    </w:rPr>
                    <w:t>1.5~2.4</w:t>
                  </w:r>
                </w:p>
              </w:tc>
              <w:tc>
                <w:tcPr>
                  <w:tcW w:w="774" w:type="pct"/>
                  <w:tcBorders>
                    <w:tl2br w:val="nil"/>
                    <w:tr2bl w:val="nil"/>
                  </w:tcBorders>
                  <w:vAlign w:val="center"/>
                </w:tcPr>
                <w:p w14:paraId="069B16F5">
                  <w:pPr>
                    <w:jc w:val="center"/>
                  </w:pPr>
                  <w:r>
                    <w:rPr>
                      <w:rFonts w:hint="eastAsia"/>
                    </w:rPr>
                    <w:t>西南</w:t>
                  </w:r>
                </w:p>
              </w:tc>
            </w:tr>
            <w:tr w14:paraId="00215C1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131" w:type="pct"/>
                  <w:tcBorders>
                    <w:tl2br w:val="nil"/>
                    <w:tr2bl w:val="nil"/>
                  </w:tcBorders>
                  <w:vAlign w:val="center"/>
                </w:tcPr>
                <w:p w14:paraId="696C9864">
                  <w:pPr>
                    <w:jc w:val="center"/>
                  </w:pPr>
                  <w:r>
                    <w:rPr>
                      <w:rFonts w:hint="eastAsia"/>
                    </w:rPr>
                    <w:t>2025年6月12日</w:t>
                  </w:r>
                </w:p>
              </w:tc>
              <w:tc>
                <w:tcPr>
                  <w:tcW w:w="773" w:type="pct"/>
                  <w:tcBorders>
                    <w:tl2br w:val="nil"/>
                    <w:tr2bl w:val="nil"/>
                  </w:tcBorders>
                  <w:vAlign w:val="center"/>
                </w:tcPr>
                <w:p w14:paraId="061F1A02">
                  <w:pPr>
                    <w:jc w:val="center"/>
                  </w:pPr>
                  <w:r>
                    <w:rPr>
                      <w:rFonts w:hint="eastAsia"/>
                    </w:rPr>
                    <w:t>晴</w:t>
                  </w:r>
                </w:p>
              </w:tc>
              <w:tc>
                <w:tcPr>
                  <w:tcW w:w="773" w:type="pct"/>
                  <w:tcBorders>
                    <w:tl2br w:val="nil"/>
                    <w:tr2bl w:val="nil"/>
                  </w:tcBorders>
                  <w:vAlign w:val="center"/>
                </w:tcPr>
                <w:p w14:paraId="723584DB">
                  <w:pPr>
                    <w:jc w:val="center"/>
                  </w:pPr>
                  <w:r>
                    <w:rPr>
                      <w:rFonts w:hint="eastAsia"/>
                    </w:rPr>
                    <w:t>28.7~34.8</w:t>
                  </w:r>
                </w:p>
              </w:tc>
              <w:tc>
                <w:tcPr>
                  <w:tcW w:w="773" w:type="pct"/>
                  <w:tcBorders>
                    <w:tl2br w:val="nil"/>
                    <w:tr2bl w:val="nil"/>
                  </w:tcBorders>
                  <w:vAlign w:val="center"/>
                </w:tcPr>
                <w:p w14:paraId="0A36C65D">
                  <w:pPr>
                    <w:jc w:val="center"/>
                  </w:pPr>
                  <w:r>
                    <w:rPr>
                      <w:rFonts w:hint="eastAsia"/>
                    </w:rPr>
                    <w:t>100.2~100.6</w:t>
                  </w:r>
                </w:p>
              </w:tc>
              <w:tc>
                <w:tcPr>
                  <w:tcW w:w="773" w:type="pct"/>
                  <w:tcBorders>
                    <w:tl2br w:val="nil"/>
                    <w:tr2bl w:val="nil"/>
                  </w:tcBorders>
                  <w:vAlign w:val="center"/>
                </w:tcPr>
                <w:p w14:paraId="72649A8D">
                  <w:pPr>
                    <w:jc w:val="center"/>
                  </w:pPr>
                  <w:r>
                    <w:rPr>
                      <w:rFonts w:hint="eastAsia"/>
                    </w:rPr>
                    <w:t>1.7~2.3</w:t>
                  </w:r>
                </w:p>
              </w:tc>
              <w:tc>
                <w:tcPr>
                  <w:tcW w:w="774" w:type="pct"/>
                  <w:tcBorders>
                    <w:tl2br w:val="nil"/>
                    <w:tr2bl w:val="nil"/>
                  </w:tcBorders>
                  <w:vAlign w:val="center"/>
                </w:tcPr>
                <w:p w14:paraId="1889F8FA">
                  <w:pPr>
                    <w:jc w:val="center"/>
                  </w:pPr>
                  <w:r>
                    <w:rPr>
                      <w:rFonts w:hint="eastAsia"/>
                    </w:rPr>
                    <w:t>西南</w:t>
                  </w:r>
                </w:p>
              </w:tc>
            </w:tr>
          </w:tbl>
          <w:p w14:paraId="496D9F64">
            <w:pPr>
              <w:rPr>
                <w:rFonts w:hint="default"/>
                <w:lang w:val="en-US" w:eastAsia="zh-CN"/>
              </w:rPr>
            </w:pPr>
          </w:p>
          <w:p w14:paraId="63A6407B">
            <w:pPr>
              <w:pStyle w:val="15"/>
              <w:rPr>
                <w:rFonts w:hint="default" w:ascii="Times New Roman" w:hAnsi="Times New Roman" w:eastAsia="宋体" w:cs="宋体"/>
                <w:color w:val="000000" w:themeColor="text1"/>
                <w:kern w:val="0"/>
                <w:sz w:val="24"/>
                <w:szCs w:val="32"/>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32"/>
                <w:highlight w:val="none"/>
                <w:lang w:val="en-US" w:eastAsia="zh-CN" w:bidi="ar-SA"/>
                <w14:textFill>
                  <w14:solidFill>
                    <w14:schemeClr w14:val="tx1"/>
                  </w14:solidFill>
                </w14:textFill>
              </w:rPr>
              <w:t>⑥</w:t>
            </w:r>
            <w:r>
              <w:rPr>
                <w:rFonts w:hint="eastAsia" w:ascii="微软雅黑" w:hAnsi="微软雅黑" w:eastAsia="微软雅黑" w:cs="微软雅黑"/>
                <w:color w:val="000000" w:themeColor="text1"/>
                <w:kern w:val="0"/>
                <w:sz w:val="24"/>
                <w:szCs w:val="32"/>
                <w:highlight w:val="none"/>
                <w:lang w:val="en-US" w:eastAsia="zh-CN" w:bidi="ar-SA"/>
                <w14:textFill>
                  <w14:solidFill>
                    <w14:schemeClr w14:val="tx1"/>
                  </w14:solidFill>
                </w14:textFill>
              </w:rPr>
              <w:t>检</w:t>
            </w:r>
            <w:r>
              <w:rPr>
                <w:rFonts w:hint="default" w:ascii="Times New Roman" w:hAnsi="Times New Roman" w:eastAsia="宋体" w:cs="宋体"/>
                <w:color w:val="000000" w:themeColor="text1"/>
                <w:kern w:val="0"/>
                <w:sz w:val="24"/>
                <w:szCs w:val="32"/>
                <w:highlight w:val="none"/>
                <w:lang w:val="en-US" w:eastAsia="zh-CN" w:bidi="ar-SA"/>
                <w14:textFill>
                  <w14:solidFill>
                    <w14:schemeClr w14:val="tx1"/>
                  </w14:solidFill>
                </w14:textFill>
              </w:rPr>
              <w:t>测结果分析</w:t>
            </w:r>
          </w:p>
          <w:p w14:paraId="24DEA45A">
            <w:pPr>
              <w:pStyle w:val="42"/>
              <w:keepNext/>
              <w:keepLines/>
              <w:pageBreakBefore w:val="0"/>
              <w:widowControl w:val="0"/>
              <w:numPr>
                <w:ilvl w:val="7"/>
                <w:numId w:val="10"/>
              </w:numPr>
              <w:tabs>
                <w:tab w:val="left" w:pos="0"/>
              </w:tabs>
              <w:kinsoku/>
              <w:wordWrap/>
              <w:overflowPunct/>
              <w:topLinePunct w:val="0"/>
              <w:autoSpaceDE/>
              <w:autoSpaceDN/>
              <w:bidi w:val="0"/>
              <w:adjustRightInd/>
              <w:snapToGrid/>
              <w:spacing w:before="0" w:after="0"/>
              <w:ind w:left="630" w:leftChars="0" w:firstLineChars="0"/>
              <w:textAlignment w:val="auto"/>
              <w:rPr>
                <w:rFonts w:hint="default"/>
                <w:lang w:val="en-US" w:eastAsia="zh-CN"/>
              </w:rPr>
            </w:pPr>
            <w:r>
              <w:rPr>
                <w:rFonts w:hint="eastAsia" w:ascii="Times New Roman" w:hAnsi="Times New Roman" w:eastAsia="宋体"/>
                <w:color w:val="000000" w:themeColor="text1"/>
                <w:highlight w:val="none"/>
                <w:lang w:val="en-US" w:eastAsia="zh-CN"/>
                <w14:textFill>
                  <w14:solidFill>
                    <w14:schemeClr w14:val="tx1"/>
                  </w14:solidFill>
                </w14:textFill>
              </w:rPr>
              <w:t>检测结果</w:t>
            </w:r>
          </w:p>
          <w:tbl>
            <w:tblPr>
              <w:tblStyle w:val="32"/>
              <w:tblW w:w="4998"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Layout w:type="autofit"/>
              <w:tblCellMar>
                <w:top w:w="0" w:type="dxa"/>
                <w:left w:w="108" w:type="dxa"/>
                <w:bottom w:w="0" w:type="dxa"/>
                <w:right w:w="108" w:type="dxa"/>
              </w:tblCellMar>
            </w:tblPr>
            <w:tblGrid>
              <w:gridCol w:w="1939"/>
              <w:gridCol w:w="2949"/>
              <w:gridCol w:w="1863"/>
              <w:gridCol w:w="1864"/>
            </w:tblGrid>
            <w:tr w14:paraId="0F578B7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cantSplit/>
                <w:trHeight w:val="567" w:hRule="atLeast"/>
                <w:tblHeader/>
                <w:jc w:val="center"/>
              </w:trPr>
              <w:tc>
                <w:tcPr>
                  <w:tcW w:w="1125" w:type="pct"/>
                  <w:vMerge w:val="restart"/>
                  <w:tcBorders>
                    <w:tl2br w:val="nil"/>
                    <w:tr2bl w:val="nil"/>
                  </w:tcBorders>
                  <w:shd w:val="clear" w:color="auto" w:fill="auto"/>
                  <w:noWrap w:val="0"/>
                  <w:vAlign w:val="center"/>
                </w:tcPr>
                <w:p w14:paraId="7B8EC18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检测日期</w:t>
                  </w:r>
                </w:p>
              </w:tc>
              <w:tc>
                <w:tcPr>
                  <w:tcW w:w="1711" w:type="pct"/>
                  <w:vMerge w:val="restart"/>
                  <w:tcBorders>
                    <w:tl2br w:val="nil"/>
                    <w:tr2bl w:val="nil"/>
                  </w:tcBorders>
                  <w:shd w:val="clear" w:color="auto" w:fill="auto"/>
                  <w:noWrap w:val="0"/>
                  <w:vAlign w:val="center"/>
                </w:tcPr>
                <w:p w14:paraId="5148274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测点位置</w:t>
                  </w:r>
                </w:p>
              </w:tc>
              <w:tc>
                <w:tcPr>
                  <w:tcW w:w="2162" w:type="pct"/>
                  <w:gridSpan w:val="2"/>
                  <w:tcBorders>
                    <w:tl2br w:val="nil"/>
                    <w:tr2bl w:val="nil"/>
                  </w:tcBorders>
                  <w:shd w:val="clear" w:color="auto" w:fill="auto"/>
                  <w:noWrap w:val="0"/>
                  <w:vAlign w:val="center"/>
                </w:tcPr>
                <w:p w14:paraId="5B4960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检测结果Leq，dB(A)</w:t>
                  </w:r>
                </w:p>
              </w:tc>
            </w:tr>
            <w:tr w14:paraId="3D4B913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cantSplit/>
                <w:trHeight w:val="567" w:hRule="atLeast"/>
                <w:tblHeader/>
                <w:jc w:val="center"/>
              </w:trPr>
              <w:tc>
                <w:tcPr>
                  <w:tcW w:w="1125" w:type="pct"/>
                  <w:vMerge w:val="continue"/>
                  <w:tcBorders>
                    <w:tl2br w:val="nil"/>
                    <w:tr2bl w:val="nil"/>
                  </w:tcBorders>
                  <w:shd w:val="clear" w:color="auto" w:fill="auto"/>
                  <w:noWrap w:val="0"/>
                  <w:vAlign w:val="center"/>
                </w:tcPr>
                <w:p w14:paraId="7B348BC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711" w:type="pct"/>
                  <w:vMerge w:val="continue"/>
                  <w:tcBorders>
                    <w:tl2br w:val="nil"/>
                    <w:tr2bl w:val="nil"/>
                  </w:tcBorders>
                  <w:shd w:val="clear" w:color="auto" w:fill="auto"/>
                  <w:noWrap w:val="0"/>
                  <w:vAlign w:val="center"/>
                </w:tcPr>
                <w:p w14:paraId="59EA5F0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81" w:type="pct"/>
                  <w:tcBorders>
                    <w:tl2br w:val="nil"/>
                    <w:tr2bl w:val="nil"/>
                  </w:tcBorders>
                  <w:shd w:val="clear" w:color="auto" w:fill="auto"/>
                  <w:noWrap w:val="0"/>
                  <w:vAlign w:val="center"/>
                </w:tcPr>
                <w:p w14:paraId="6CF1B1A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昼间</w:t>
                  </w:r>
                </w:p>
              </w:tc>
              <w:tc>
                <w:tcPr>
                  <w:tcW w:w="1081" w:type="pct"/>
                  <w:tcBorders>
                    <w:tl2br w:val="nil"/>
                    <w:tr2bl w:val="nil"/>
                  </w:tcBorders>
                  <w:shd w:val="clear" w:color="auto" w:fill="auto"/>
                  <w:noWrap w:val="0"/>
                  <w:vAlign w:val="center"/>
                </w:tcPr>
                <w:p w14:paraId="662C30C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夜间</w:t>
                  </w:r>
                </w:p>
              </w:tc>
            </w:tr>
            <w:tr w14:paraId="17574EE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567" w:hRule="atLeast"/>
                <w:jc w:val="center"/>
              </w:trPr>
              <w:tc>
                <w:tcPr>
                  <w:tcW w:w="1125" w:type="pct"/>
                  <w:vMerge w:val="restart"/>
                  <w:tcBorders>
                    <w:tl2br w:val="nil"/>
                    <w:tr2bl w:val="nil"/>
                  </w:tcBorders>
                  <w:shd w:val="clear" w:color="auto" w:fill="auto"/>
                  <w:noWrap w:val="0"/>
                  <w:vAlign w:val="center"/>
                </w:tcPr>
                <w:p w14:paraId="036092C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2025年06月11日</w:t>
                  </w:r>
                </w:p>
              </w:tc>
              <w:tc>
                <w:tcPr>
                  <w:tcW w:w="1711" w:type="pct"/>
                  <w:tcBorders>
                    <w:tl2br w:val="nil"/>
                    <w:tr2bl w:val="nil"/>
                  </w:tcBorders>
                  <w:shd w:val="clear" w:color="auto" w:fill="auto"/>
                  <w:noWrap w:val="0"/>
                  <w:vAlign w:val="center"/>
                </w:tcPr>
                <w:p w14:paraId="277A452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西南侧厂界</w:t>
                  </w:r>
                  <w:r>
                    <w:rPr>
                      <w:rFonts w:hint="default" w:ascii="Times New Roman" w:hAnsi="Times New Roman" w:eastAsia="宋体" w:cs="Times New Roman"/>
                      <w:i w:val="0"/>
                      <w:iCs w:val="0"/>
                      <w:color w:val="000000"/>
                      <w:kern w:val="0"/>
                      <w:sz w:val="21"/>
                      <w:szCs w:val="21"/>
                      <w:u w:val="none"/>
                      <w:lang w:val="en-US" w:eastAsia="zh-CN" w:bidi="ar"/>
                    </w:rPr>
                    <w:t>外</w:t>
                  </w:r>
                  <w:r>
                    <w:rPr>
                      <w:rFonts w:hint="eastAsia" w:ascii="Times New Roman" w:hAnsi="Times New Roman" w:eastAsia="宋体" w:cs="Times New Roman"/>
                      <w:i w:val="0"/>
                      <w:iCs w:val="0"/>
                      <w:color w:val="000000"/>
                      <w:kern w:val="0"/>
                      <w:sz w:val="21"/>
                      <w:szCs w:val="21"/>
                      <w:u w:val="none"/>
                      <w:lang w:val="en-US" w:eastAsia="zh-CN" w:bidi="ar"/>
                    </w:rPr>
                    <w:t>1</w:t>
                  </w:r>
                  <w:r>
                    <w:rPr>
                      <w:rFonts w:hint="default" w:ascii="Times New Roman" w:hAnsi="Times New Roman" w:eastAsia="宋体" w:cs="Times New Roman"/>
                      <w:i w:val="0"/>
                      <w:iCs w:val="0"/>
                      <w:color w:val="000000"/>
                      <w:kern w:val="0"/>
                      <w:sz w:val="21"/>
                      <w:szCs w:val="21"/>
                      <w:u w:val="none"/>
                      <w:lang w:val="en-US" w:eastAsia="zh-CN" w:bidi="ar"/>
                    </w:rPr>
                    <w:t>米N1</w:t>
                  </w:r>
                </w:p>
              </w:tc>
              <w:tc>
                <w:tcPr>
                  <w:tcW w:w="1081" w:type="pct"/>
                  <w:tcBorders>
                    <w:tl2br w:val="nil"/>
                    <w:tr2bl w:val="nil"/>
                  </w:tcBorders>
                  <w:shd w:val="clear" w:color="auto" w:fill="auto"/>
                  <w:noWrap w:val="0"/>
                  <w:vAlign w:val="center"/>
                </w:tcPr>
                <w:p w14:paraId="6136791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52.5</w:t>
                  </w:r>
                </w:p>
              </w:tc>
              <w:tc>
                <w:tcPr>
                  <w:tcW w:w="1081" w:type="pct"/>
                  <w:tcBorders>
                    <w:tl2br w:val="nil"/>
                    <w:tr2bl w:val="nil"/>
                  </w:tcBorders>
                  <w:shd w:val="clear" w:color="auto" w:fill="auto"/>
                  <w:noWrap w:val="0"/>
                  <w:vAlign w:val="center"/>
                </w:tcPr>
                <w:p w14:paraId="149D603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46.2</w:t>
                  </w:r>
                </w:p>
              </w:tc>
            </w:tr>
            <w:tr w14:paraId="00BB279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567" w:hRule="atLeast"/>
                <w:jc w:val="center"/>
              </w:trPr>
              <w:tc>
                <w:tcPr>
                  <w:tcW w:w="1125" w:type="pct"/>
                  <w:vMerge w:val="continue"/>
                  <w:tcBorders>
                    <w:tl2br w:val="nil"/>
                    <w:tr2bl w:val="nil"/>
                  </w:tcBorders>
                  <w:shd w:val="clear" w:color="auto" w:fill="auto"/>
                  <w:noWrap w:val="0"/>
                  <w:vAlign w:val="center"/>
                </w:tcPr>
                <w:p w14:paraId="420A2DB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711" w:type="pct"/>
                  <w:tcBorders>
                    <w:tl2br w:val="nil"/>
                    <w:tr2bl w:val="nil"/>
                  </w:tcBorders>
                  <w:shd w:val="clear" w:color="auto" w:fill="auto"/>
                  <w:noWrap w:val="0"/>
                  <w:vAlign w:val="center"/>
                </w:tcPr>
                <w:p w14:paraId="17BFD97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东南侧厂界</w:t>
                  </w:r>
                  <w:r>
                    <w:rPr>
                      <w:rFonts w:hint="default" w:ascii="Times New Roman" w:hAnsi="Times New Roman" w:eastAsia="宋体" w:cs="Times New Roman"/>
                      <w:i w:val="0"/>
                      <w:iCs w:val="0"/>
                      <w:color w:val="000000"/>
                      <w:kern w:val="0"/>
                      <w:sz w:val="21"/>
                      <w:szCs w:val="21"/>
                      <w:u w:val="none"/>
                      <w:lang w:val="en-US" w:eastAsia="zh-CN" w:bidi="ar"/>
                    </w:rPr>
                    <w:t>外</w:t>
                  </w:r>
                  <w:r>
                    <w:rPr>
                      <w:rFonts w:hint="eastAsia" w:ascii="Times New Roman" w:hAnsi="Times New Roman" w:eastAsia="宋体" w:cs="Times New Roman"/>
                      <w:i w:val="0"/>
                      <w:iCs w:val="0"/>
                      <w:color w:val="000000"/>
                      <w:kern w:val="0"/>
                      <w:sz w:val="21"/>
                      <w:szCs w:val="21"/>
                      <w:u w:val="none"/>
                      <w:lang w:val="en-US" w:eastAsia="zh-CN" w:bidi="ar"/>
                    </w:rPr>
                    <w:t>1</w:t>
                  </w:r>
                  <w:r>
                    <w:rPr>
                      <w:rFonts w:hint="default" w:ascii="Times New Roman" w:hAnsi="Times New Roman" w:eastAsia="宋体" w:cs="Times New Roman"/>
                      <w:i w:val="0"/>
                      <w:iCs w:val="0"/>
                      <w:color w:val="000000"/>
                      <w:kern w:val="0"/>
                      <w:sz w:val="21"/>
                      <w:szCs w:val="21"/>
                      <w:u w:val="none"/>
                      <w:lang w:val="en-US" w:eastAsia="zh-CN" w:bidi="ar"/>
                    </w:rPr>
                    <w:t>米N2</w:t>
                  </w:r>
                </w:p>
              </w:tc>
              <w:tc>
                <w:tcPr>
                  <w:tcW w:w="1081" w:type="pct"/>
                  <w:tcBorders>
                    <w:tl2br w:val="nil"/>
                    <w:tr2bl w:val="nil"/>
                  </w:tcBorders>
                  <w:shd w:val="clear" w:color="auto" w:fill="auto"/>
                  <w:noWrap w:val="0"/>
                  <w:vAlign w:val="center"/>
                </w:tcPr>
                <w:p w14:paraId="1E6D38C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51.7</w:t>
                  </w:r>
                </w:p>
              </w:tc>
              <w:tc>
                <w:tcPr>
                  <w:tcW w:w="1081" w:type="pct"/>
                  <w:tcBorders>
                    <w:tl2br w:val="nil"/>
                    <w:tr2bl w:val="nil"/>
                  </w:tcBorders>
                  <w:shd w:val="clear" w:color="auto" w:fill="auto"/>
                  <w:noWrap w:val="0"/>
                  <w:vAlign w:val="center"/>
                </w:tcPr>
                <w:p w14:paraId="03E12DA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47.0</w:t>
                  </w:r>
                </w:p>
              </w:tc>
            </w:tr>
            <w:tr w14:paraId="7D3EF2E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567" w:hRule="atLeast"/>
                <w:jc w:val="center"/>
              </w:trPr>
              <w:tc>
                <w:tcPr>
                  <w:tcW w:w="1125" w:type="pct"/>
                  <w:vMerge w:val="continue"/>
                  <w:tcBorders>
                    <w:tl2br w:val="nil"/>
                    <w:tr2bl w:val="nil"/>
                  </w:tcBorders>
                  <w:shd w:val="clear" w:color="auto" w:fill="auto"/>
                  <w:noWrap w:val="0"/>
                  <w:vAlign w:val="center"/>
                </w:tcPr>
                <w:p w14:paraId="50D905C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711" w:type="pct"/>
                  <w:tcBorders>
                    <w:tl2br w:val="nil"/>
                    <w:tr2bl w:val="nil"/>
                  </w:tcBorders>
                  <w:shd w:val="clear" w:color="auto" w:fill="auto"/>
                  <w:noWrap w:val="0"/>
                  <w:vAlign w:val="center"/>
                </w:tcPr>
                <w:p w14:paraId="29D0B9C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东北</w:t>
                  </w:r>
                  <w:r>
                    <w:rPr>
                      <w:rFonts w:hint="default" w:ascii="Times New Roman" w:hAnsi="Times New Roman" w:eastAsia="宋体" w:cs="Times New Roman"/>
                      <w:i w:val="0"/>
                      <w:iCs w:val="0"/>
                      <w:color w:val="000000"/>
                      <w:kern w:val="0"/>
                      <w:sz w:val="21"/>
                      <w:szCs w:val="21"/>
                      <w:u w:val="none"/>
                      <w:lang w:val="en-US" w:eastAsia="zh-CN" w:bidi="ar"/>
                    </w:rPr>
                    <w:t>侧</w:t>
                  </w:r>
                  <w:r>
                    <w:rPr>
                      <w:rFonts w:hint="eastAsia" w:ascii="Times New Roman" w:hAnsi="Times New Roman" w:eastAsia="宋体" w:cs="Times New Roman"/>
                      <w:i w:val="0"/>
                      <w:iCs w:val="0"/>
                      <w:color w:val="000000"/>
                      <w:kern w:val="0"/>
                      <w:sz w:val="21"/>
                      <w:szCs w:val="21"/>
                      <w:u w:val="none"/>
                      <w:lang w:val="en-US" w:eastAsia="zh-CN" w:bidi="ar"/>
                    </w:rPr>
                    <w:t>厂界</w:t>
                  </w:r>
                  <w:r>
                    <w:rPr>
                      <w:rFonts w:hint="default" w:ascii="Times New Roman" w:hAnsi="Times New Roman" w:eastAsia="宋体" w:cs="Times New Roman"/>
                      <w:i w:val="0"/>
                      <w:iCs w:val="0"/>
                      <w:color w:val="000000"/>
                      <w:kern w:val="0"/>
                      <w:sz w:val="21"/>
                      <w:szCs w:val="21"/>
                      <w:u w:val="none"/>
                      <w:lang w:val="en-US" w:eastAsia="zh-CN" w:bidi="ar"/>
                    </w:rPr>
                    <w:t>外</w:t>
                  </w:r>
                  <w:r>
                    <w:rPr>
                      <w:rFonts w:hint="eastAsia" w:ascii="Times New Roman" w:hAnsi="Times New Roman" w:eastAsia="宋体" w:cs="Times New Roman"/>
                      <w:i w:val="0"/>
                      <w:iCs w:val="0"/>
                      <w:color w:val="000000"/>
                      <w:kern w:val="0"/>
                      <w:sz w:val="21"/>
                      <w:szCs w:val="21"/>
                      <w:u w:val="none"/>
                      <w:lang w:val="en-US" w:eastAsia="zh-CN" w:bidi="ar"/>
                    </w:rPr>
                    <w:t>1</w:t>
                  </w:r>
                  <w:r>
                    <w:rPr>
                      <w:rFonts w:hint="default" w:ascii="Times New Roman" w:hAnsi="Times New Roman" w:eastAsia="宋体" w:cs="Times New Roman"/>
                      <w:i w:val="0"/>
                      <w:iCs w:val="0"/>
                      <w:color w:val="000000"/>
                      <w:kern w:val="0"/>
                      <w:sz w:val="21"/>
                      <w:szCs w:val="21"/>
                      <w:u w:val="none"/>
                      <w:lang w:val="en-US" w:eastAsia="zh-CN" w:bidi="ar"/>
                    </w:rPr>
                    <w:t>米N</w:t>
                  </w:r>
                  <w:r>
                    <w:rPr>
                      <w:rFonts w:hint="eastAsia" w:ascii="Times New Roman" w:hAnsi="Times New Roman" w:eastAsia="宋体" w:cs="Times New Roman"/>
                      <w:i w:val="0"/>
                      <w:iCs w:val="0"/>
                      <w:color w:val="000000"/>
                      <w:kern w:val="0"/>
                      <w:sz w:val="21"/>
                      <w:szCs w:val="21"/>
                      <w:u w:val="none"/>
                      <w:lang w:val="en-US" w:eastAsia="zh-CN" w:bidi="ar"/>
                    </w:rPr>
                    <w:t>3</w:t>
                  </w:r>
                </w:p>
              </w:tc>
              <w:tc>
                <w:tcPr>
                  <w:tcW w:w="1081" w:type="pct"/>
                  <w:tcBorders>
                    <w:tl2br w:val="nil"/>
                    <w:tr2bl w:val="nil"/>
                  </w:tcBorders>
                  <w:shd w:val="clear" w:color="auto" w:fill="auto"/>
                  <w:noWrap w:val="0"/>
                  <w:vAlign w:val="center"/>
                </w:tcPr>
                <w:p w14:paraId="05F45F9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58.7</w:t>
                  </w:r>
                </w:p>
              </w:tc>
              <w:tc>
                <w:tcPr>
                  <w:tcW w:w="1081" w:type="pct"/>
                  <w:tcBorders>
                    <w:tl2br w:val="nil"/>
                    <w:tr2bl w:val="nil"/>
                  </w:tcBorders>
                  <w:shd w:val="clear" w:color="auto" w:fill="auto"/>
                  <w:noWrap w:val="0"/>
                  <w:vAlign w:val="center"/>
                </w:tcPr>
                <w:p w14:paraId="67D233D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46.4</w:t>
                  </w:r>
                </w:p>
              </w:tc>
            </w:tr>
            <w:tr w14:paraId="524AFD2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567" w:hRule="atLeast"/>
                <w:jc w:val="center"/>
              </w:trPr>
              <w:tc>
                <w:tcPr>
                  <w:tcW w:w="1125" w:type="pct"/>
                  <w:vMerge w:val="continue"/>
                  <w:tcBorders>
                    <w:tl2br w:val="nil"/>
                    <w:tr2bl w:val="nil"/>
                  </w:tcBorders>
                  <w:shd w:val="clear" w:color="auto" w:fill="auto"/>
                  <w:noWrap w:val="0"/>
                  <w:vAlign w:val="center"/>
                </w:tcPr>
                <w:p w14:paraId="07C98B7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711" w:type="pct"/>
                  <w:tcBorders>
                    <w:tl2br w:val="nil"/>
                    <w:tr2bl w:val="nil"/>
                  </w:tcBorders>
                  <w:shd w:val="clear" w:color="auto" w:fill="auto"/>
                  <w:noWrap w:val="0"/>
                  <w:vAlign w:val="center"/>
                </w:tcPr>
                <w:p w14:paraId="188F116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西北侧厂界</w:t>
                  </w:r>
                  <w:r>
                    <w:rPr>
                      <w:rFonts w:hint="default" w:ascii="Times New Roman" w:hAnsi="Times New Roman" w:eastAsia="宋体" w:cs="Times New Roman"/>
                      <w:i w:val="0"/>
                      <w:iCs w:val="0"/>
                      <w:color w:val="000000"/>
                      <w:kern w:val="0"/>
                      <w:sz w:val="21"/>
                      <w:szCs w:val="21"/>
                      <w:u w:val="none"/>
                      <w:lang w:val="en-US" w:eastAsia="zh-CN" w:bidi="ar"/>
                    </w:rPr>
                    <w:t>外</w:t>
                  </w:r>
                  <w:r>
                    <w:rPr>
                      <w:rFonts w:hint="eastAsia" w:ascii="Times New Roman" w:hAnsi="Times New Roman" w:eastAsia="宋体" w:cs="Times New Roman"/>
                      <w:i w:val="0"/>
                      <w:iCs w:val="0"/>
                      <w:color w:val="000000"/>
                      <w:kern w:val="0"/>
                      <w:sz w:val="21"/>
                      <w:szCs w:val="21"/>
                      <w:u w:val="none"/>
                      <w:lang w:val="en-US" w:eastAsia="zh-CN" w:bidi="ar"/>
                    </w:rPr>
                    <w:t>1</w:t>
                  </w:r>
                  <w:r>
                    <w:rPr>
                      <w:rFonts w:hint="default" w:ascii="Times New Roman" w:hAnsi="Times New Roman" w:eastAsia="宋体" w:cs="Times New Roman"/>
                      <w:i w:val="0"/>
                      <w:iCs w:val="0"/>
                      <w:color w:val="000000"/>
                      <w:kern w:val="0"/>
                      <w:sz w:val="21"/>
                      <w:szCs w:val="21"/>
                      <w:u w:val="none"/>
                      <w:lang w:val="en-US" w:eastAsia="zh-CN" w:bidi="ar"/>
                    </w:rPr>
                    <w:t>米N</w:t>
                  </w:r>
                  <w:r>
                    <w:rPr>
                      <w:rFonts w:hint="eastAsia" w:ascii="Times New Roman" w:hAnsi="Times New Roman" w:eastAsia="宋体" w:cs="Times New Roman"/>
                      <w:i w:val="0"/>
                      <w:iCs w:val="0"/>
                      <w:color w:val="000000"/>
                      <w:kern w:val="0"/>
                      <w:sz w:val="21"/>
                      <w:szCs w:val="21"/>
                      <w:u w:val="none"/>
                      <w:lang w:val="en-US" w:eastAsia="zh-CN" w:bidi="ar"/>
                    </w:rPr>
                    <w:t>4</w:t>
                  </w:r>
                </w:p>
              </w:tc>
              <w:tc>
                <w:tcPr>
                  <w:tcW w:w="1081" w:type="pct"/>
                  <w:tcBorders>
                    <w:tl2br w:val="nil"/>
                    <w:tr2bl w:val="nil"/>
                  </w:tcBorders>
                  <w:shd w:val="clear" w:color="auto" w:fill="auto"/>
                  <w:noWrap w:val="0"/>
                  <w:vAlign w:val="center"/>
                </w:tcPr>
                <w:p w14:paraId="2A9F25B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53.6</w:t>
                  </w:r>
                </w:p>
              </w:tc>
              <w:tc>
                <w:tcPr>
                  <w:tcW w:w="1081" w:type="pct"/>
                  <w:tcBorders>
                    <w:tl2br w:val="nil"/>
                    <w:tr2bl w:val="nil"/>
                  </w:tcBorders>
                  <w:shd w:val="clear" w:color="auto" w:fill="auto"/>
                  <w:noWrap w:val="0"/>
                  <w:vAlign w:val="center"/>
                </w:tcPr>
                <w:p w14:paraId="0D4F9BD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46.5</w:t>
                  </w:r>
                </w:p>
              </w:tc>
            </w:tr>
            <w:tr w14:paraId="27E94A7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567" w:hRule="atLeast"/>
                <w:jc w:val="center"/>
              </w:trPr>
              <w:tc>
                <w:tcPr>
                  <w:tcW w:w="1125" w:type="pct"/>
                  <w:vMerge w:val="continue"/>
                  <w:tcBorders>
                    <w:tl2br w:val="nil"/>
                    <w:tr2bl w:val="nil"/>
                  </w:tcBorders>
                  <w:shd w:val="clear" w:color="auto" w:fill="auto"/>
                  <w:noWrap w:val="0"/>
                  <w:vAlign w:val="center"/>
                </w:tcPr>
                <w:p w14:paraId="793B420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711" w:type="pct"/>
                  <w:tcBorders>
                    <w:tl2br w:val="nil"/>
                    <w:tr2bl w:val="nil"/>
                  </w:tcBorders>
                  <w:shd w:val="clear" w:color="auto" w:fill="auto"/>
                  <w:noWrap w:val="0"/>
                  <w:vAlign w:val="center"/>
                </w:tcPr>
                <w:p w14:paraId="2A82BFB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东侧丽山村N5</w:t>
                  </w:r>
                </w:p>
              </w:tc>
              <w:tc>
                <w:tcPr>
                  <w:tcW w:w="1081" w:type="pct"/>
                  <w:tcBorders>
                    <w:tl2br w:val="nil"/>
                    <w:tr2bl w:val="nil"/>
                  </w:tcBorders>
                  <w:shd w:val="clear" w:color="auto" w:fill="auto"/>
                  <w:noWrap w:val="0"/>
                  <w:vAlign w:val="center"/>
                </w:tcPr>
                <w:p w14:paraId="34D9931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54.8</w:t>
                  </w:r>
                </w:p>
              </w:tc>
              <w:tc>
                <w:tcPr>
                  <w:tcW w:w="1081" w:type="pct"/>
                  <w:tcBorders>
                    <w:tl2br w:val="nil"/>
                    <w:tr2bl w:val="nil"/>
                  </w:tcBorders>
                  <w:shd w:val="clear" w:color="auto" w:fill="auto"/>
                  <w:noWrap w:val="0"/>
                  <w:vAlign w:val="center"/>
                </w:tcPr>
                <w:p w14:paraId="760A4F2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46.8</w:t>
                  </w:r>
                </w:p>
              </w:tc>
            </w:tr>
            <w:tr w14:paraId="55C5B80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567" w:hRule="atLeast"/>
                <w:jc w:val="center"/>
              </w:trPr>
              <w:tc>
                <w:tcPr>
                  <w:tcW w:w="1125" w:type="pct"/>
                  <w:vMerge w:val="restart"/>
                  <w:tcBorders>
                    <w:tl2br w:val="nil"/>
                    <w:tr2bl w:val="nil"/>
                  </w:tcBorders>
                  <w:shd w:val="clear" w:color="auto" w:fill="auto"/>
                  <w:noWrap w:val="0"/>
                  <w:vAlign w:val="center"/>
                </w:tcPr>
                <w:p w14:paraId="48BF0BF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2025年06月12日</w:t>
                  </w:r>
                </w:p>
              </w:tc>
              <w:tc>
                <w:tcPr>
                  <w:tcW w:w="1711" w:type="pct"/>
                  <w:tcBorders>
                    <w:tl2br w:val="nil"/>
                    <w:tr2bl w:val="nil"/>
                  </w:tcBorders>
                  <w:shd w:val="clear" w:color="auto" w:fill="auto"/>
                  <w:noWrap w:val="0"/>
                  <w:vAlign w:val="center"/>
                </w:tcPr>
                <w:p w14:paraId="6486CC6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西南侧厂界</w:t>
                  </w:r>
                  <w:r>
                    <w:rPr>
                      <w:rFonts w:hint="default" w:ascii="Times New Roman" w:hAnsi="Times New Roman" w:eastAsia="宋体" w:cs="Times New Roman"/>
                      <w:i w:val="0"/>
                      <w:iCs w:val="0"/>
                      <w:color w:val="000000"/>
                      <w:kern w:val="0"/>
                      <w:sz w:val="21"/>
                      <w:szCs w:val="21"/>
                      <w:u w:val="none"/>
                      <w:lang w:val="en-US" w:eastAsia="zh-CN" w:bidi="ar"/>
                    </w:rPr>
                    <w:t>外</w:t>
                  </w:r>
                  <w:r>
                    <w:rPr>
                      <w:rFonts w:hint="eastAsia" w:ascii="Times New Roman" w:hAnsi="Times New Roman" w:eastAsia="宋体" w:cs="Times New Roman"/>
                      <w:i w:val="0"/>
                      <w:iCs w:val="0"/>
                      <w:color w:val="000000"/>
                      <w:kern w:val="0"/>
                      <w:sz w:val="21"/>
                      <w:szCs w:val="21"/>
                      <w:u w:val="none"/>
                      <w:lang w:val="en-US" w:eastAsia="zh-CN" w:bidi="ar"/>
                    </w:rPr>
                    <w:t>1</w:t>
                  </w:r>
                  <w:r>
                    <w:rPr>
                      <w:rFonts w:hint="default" w:ascii="Times New Roman" w:hAnsi="Times New Roman" w:eastAsia="宋体" w:cs="Times New Roman"/>
                      <w:i w:val="0"/>
                      <w:iCs w:val="0"/>
                      <w:color w:val="000000"/>
                      <w:kern w:val="0"/>
                      <w:sz w:val="21"/>
                      <w:szCs w:val="21"/>
                      <w:u w:val="none"/>
                      <w:lang w:val="en-US" w:eastAsia="zh-CN" w:bidi="ar"/>
                    </w:rPr>
                    <w:t>米N1</w:t>
                  </w:r>
                </w:p>
              </w:tc>
              <w:tc>
                <w:tcPr>
                  <w:tcW w:w="1081" w:type="pct"/>
                  <w:tcBorders>
                    <w:tl2br w:val="nil"/>
                    <w:tr2bl w:val="nil"/>
                  </w:tcBorders>
                  <w:shd w:val="clear" w:color="auto" w:fill="auto"/>
                  <w:noWrap w:val="0"/>
                  <w:vAlign w:val="center"/>
                </w:tcPr>
                <w:p w14:paraId="146ECF3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54.7</w:t>
                  </w:r>
                </w:p>
              </w:tc>
              <w:tc>
                <w:tcPr>
                  <w:tcW w:w="1081" w:type="pct"/>
                  <w:tcBorders>
                    <w:tl2br w:val="nil"/>
                    <w:tr2bl w:val="nil"/>
                  </w:tcBorders>
                  <w:shd w:val="clear" w:color="auto" w:fill="auto"/>
                  <w:noWrap w:val="0"/>
                  <w:vAlign w:val="center"/>
                </w:tcPr>
                <w:p w14:paraId="43722B4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43.4</w:t>
                  </w:r>
                </w:p>
              </w:tc>
            </w:tr>
            <w:tr w14:paraId="35F9D8E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567" w:hRule="atLeast"/>
                <w:jc w:val="center"/>
              </w:trPr>
              <w:tc>
                <w:tcPr>
                  <w:tcW w:w="1125" w:type="pct"/>
                  <w:vMerge w:val="continue"/>
                  <w:tcBorders>
                    <w:tl2br w:val="nil"/>
                    <w:tr2bl w:val="nil"/>
                  </w:tcBorders>
                  <w:shd w:val="clear" w:color="auto" w:fill="auto"/>
                  <w:noWrap w:val="0"/>
                  <w:vAlign w:val="center"/>
                </w:tcPr>
                <w:p w14:paraId="17B6197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711" w:type="pct"/>
                  <w:tcBorders>
                    <w:tl2br w:val="nil"/>
                    <w:tr2bl w:val="nil"/>
                  </w:tcBorders>
                  <w:shd w:val="clear" w:color="auto" w:fill="auto"/>
                  <w:noWrap w:val="0"/>
                  <w:vAlign w:val="center"/>
                </w:tcPr>
                <w:p w14:paraId="415CB10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东南侧厂界</w:t>
                  </w:r>
                  <w:r>
                    <w:rPr>
                      <w:rFonts w:hint="default" w:ascii="Times New Roman" w:hAnsi="Times New Roman" w:eastAsia="宋体" w:cs="Times New Roman"/>
                      <w:i w:val="0"/>
                      <w:iCs w:val="0"/>
                      <w:color w:val="000000"/>
                      <w:kern w:val="0"/>
                      <w:sz w:val="21"/>
                      <w:szCs w:val="21"/>
                      <w:u w:val="none"/>
                      <w:lang w:val="en-US" w:eastAsia="zh-CN" w:bidi="ar"/>
                    </w:rPr>
                    <w:t>外</w:t>
                  </w:r>
                  <w:r>
                    <w:rPr>
                      <w:rFonts w:hint="eastAsia" w:ascii="Times New Roman" w:hAnsi="Times New Roman" w:eastAsia="宋体" w:cs="Times New Roman"/>
                      <w:i w:val="0"/>
                      <w:iCs w:val="0"/>
                      <w:color w:val="000000"/>
                      <w:kern w:val="0"/>
                      <w:sz w:val="21"/>
                      <w:szCs w:val="21"/>
                      <w:u w:val="none"/>
                      <w:lang w:val="en-US" w:eastAsia="zh-CN" w:bidi="ar"/>
                    </w:rPr>
                    <w:t>1</w:t>
                  </w:r>
                  <w:r>
                    <w:rPr>
                      <w:rFonts w:hint="default" w:ascii="Times New Roman" w:hAnsi="Times New Roman" w:eastAsia="宋体" w:cs="Times New Roman"/>
                      <w:i w:val="0"/>
                      <w:iCs w:val="0"/>
                      <w:color w:val="000000"/>
                      <w:kern w:val="0"/>
                      <w:sz w:val="21"/>
                      <w:szCs w:val="21"/>
                      <w:u w:val="none"/>
                      <w:lang w:val="en-US" w:eastAsia="zh-CN" w:bidi="ar"/>
                    </w:rPr>
                    <w:t>米N2</w:t>
                  </w:r>
                </w:p>
              </w:tc>
              <w:tc>
                <w:tcPr>
                  <w:tcW w:w="1081" w:type="pct"/>
                  <w:tcBorders>
                    <w:tl2br w:val="nil"/>
                    <w:tr2bl w:val="nil"/>
                  </w:tcBorders>
                  <w:shd w:val="clear" w:color="auto" w:fill="auto"/>
                  <w:noWrap w:val="0"/>
                  <w:vAlign w:val="center"/>
                </w:tcPr>
                <w:p w14:paraId="00B4513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53.7</w:t>
                  </w:r>
                </w:p>
              </w:tc>
              <w:tc>
                <w:tcPr>
                  <w:tcW w:w="1081" w:type="pct"/>
                  <w:tcBorders>
                    <w:tl2br w:val="nil"/>
                    <w:tr2bl w:val="nil"/>
                  </w:tcBorders>
                  <w:shd w:val="clear" w:color="auto" w:fill="auto"/>
                  <w:noWrap w:val="0"/>
                  <w:vAlign w:val="center"/>
                </w:tcPr>
                <w:p w14:paraId="2CF5184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46.1</w:t>
                  </w:r>
                </w:p>
              </w:tc>
            </w:tr>
            <w:tr w14:paraId="5237209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567" w:hRule="atLeast"/>
                <w:jc w:val="center"/>
              </w:trPr>
              <w:tc>
                <w:tcPr>
                  <w:tcW w:w="1125" w:type="pct"/>
                  <w:vMerge w:val="continue"/>
                  <w:tcBorders>
                    <w:tl2br w:val="nil"/>
                    <w:tr2bl w:val="nil"/>
                  </w:tcBorders>
                  <w:shd w:val="clear" w:color="auto" w:fill="auto"/>
                  <w:noWrap w:val="0"/>
                  <w:vAlign w:val="center"/>
                </w:tcPr>
                <w:p w14:paraId="5E69643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711" w:type="pct"/>
                  <w:tcBorders>
                    <w:tl2br w:val="nil"/>
                    <w:tr2bl w:val="nil"/>
                  </w:tcBorders>
                  <w:shd w:val="clear" w:color="auto" w:fill="auto"/>
                  <w:noWrap w:val="0"/>
                  <w:vAlign w:val="center"/>
                </w:tcPr>
                <w:p w14:paraId="51AB764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东北</w:t>
                  </w:r>
                  <w:r>
                    <w:rPr>
                      <w:rFonts w:hint="default" w:ascii="Times New Roman" w:hAnsi="Times New Roman" w:eastAsia="宋体" w:cs="Times New Roman"/>
                      <w:i w:val="0"/>
                      <w:iCs w:val="0"/>
                      <w:color w:val="000000"/>
                      <w:kern w:val="0"/>
                      <w:sz w:val="21"/>
                      <w:szCs w:val="21"/>
                      <w:u w:val="none"/>
                      <w:lang w:val="en-US" w:eastAsia="zh-CN" w:bidi="ar"/>
                    </w:rPr>
                    <w:t>侧</w:t>
                  </w:r>
                  <w:r>
                    <w:rPr>
                      <w:rFonts w:hint="eastAsia" w:ascii="Times New Roman" w:hAnsi="Times New Roman" w:eastAsia="宋体" w:cs="Times New Roman"/>
                      <w:i w:val="0"/>
                      <w:iCs w:val="0"/>
                      <w:color w:val="000000"/>
                      <w:kern w:val="0"/>
                      <w:sz w:val="21"/>
                      <w:szCs w:val="21"/>
                      <w:u w:val="none"/>
                      <w:lang w:val="en-US" w:eastAsia="zh-CN" w:bidi="ar"/>
                    </w:rPr>
                    <w:t>厂界</w:t>
                  </w:r>
                  <w:r>
                    <w:rPr>
                      <w:rFonts w:hint="default" w:ascii="Times New Roman" w:hAnsi="Times New Roman" w:eastAsia="宋体" w:cs="Times New Roman"/>
                      <w:i w:val="0"/>
                      <w:iCs w:val="0"/>
                      <w:color w:val="000000"/>
                      <w:kern w:val="0"/>
                      <w:sz w:val="21"/>
                      <w:szCs w:val="21"/>
                      <w:u w:val="none"/>
                      <w:lang w:val="en-US" w:eastAsia="zh-CN" w:bidi="ar"/>
                    </w:rPr>
                    <w:t>外</w:t>
                  </w:r>
                  <w:r>
                    <w:rPr>
                      <w:rFonts w:hint="eastAsia" w:ascii="Times New Roman" w:hAnsi="Times New Roman" w:eastAsia="宋体" w:cs="Times New Roman"/>
                      <w:i w:val="0"/>
                      <w:iCs w:val="0"/>
                      <w:color w:val="000000"/>
                      <w:kern w:val="0"/>
                      <w:sz w:val="21"/>
                      <w:szCs w:val="21"/>
                      <w:u w:val="none"/>
                      <w:lang w:val="en-US" w:eastAsia="zh-CN" w:bidi="ar"/>
                    </w:rPr>
                    <w:t>1</w:t>
                  </w:r>
                  <w:r>
                    <w:rPr>
                      <w:rFonts w:hint="default" w:ascii="Times New Roman" w:hAnsi="Times New Roman" w:eastAsia="宋体" w:cs="Times New Roman"/>
                      <w:i w:val="0"/>
                      <w:iCs w:val="0"/>
                      <w:color w:val="000000"/>
                      <w:kern w:val="0"/>
                      <w:sz w:val="21"/>
                      <w:szCs w:val="21"/>
                      <w:u w:val="none"/>
                      <w:lang w:val="en-US" w:eastAsia="zh-CN" w:bidi="ar"/>
                    </w:rPr>
                    <w:t>米N</w:t>
                  </w:r>
                  <w:r>
                    <w:rPr>
                      <w:rFonts w:hint="eastAsia" w:ascii="Times New Roman" w:hAnsi="Times New Roman" w:eastAsia="宋体" w:cs="Times New Roman"/>
                      <w:i w:val="0"/>
                      <w:iCs w:val="0"/>
                      <w:color w:val="000000"/>
                      <w:kern w:val="0"/>
                      <w:sz w:val="21"/>
                      <w:szCs w:val="21"/>
                      <w:u w:val="none"/>
                      <w:lang w:val="en-US" w:eastAsia="zh-CN" w:bidi="ar"/>
                    </w:rPr>
                    <w:t>3</w:t>
                  </w:r>
                </w:p>
              </w:tc>
              <w:tc>
                <w:tcPr>
                  <w:tcW w:w="1081" w:type="pct"/>
                  <w:tcBorders>
                    <w:tl2br w:val="nil"/>
                    <w:tr2bl w:val="nil"/>
                  </w:tcBorders>
                  <w:shd w:val="clear" w:color="auto" w:fill="auto"/>
                  <w:noWrap w:val="0"/>
                  <w:vAlign w:val="center"/>
                </w:tcPr>
                <w:p w14:paraId="2C4E8E7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58.1</w:t>
                  </w:r>
                </w:p>
              </w:tc>
              <w:tc>
                <w:tcPr>
                  <w:tcW w:w="1081" w:type="pct"/>
                  <w:tcBorders>
                    <w:tl2br w:val="nil"/>
                    <w:tr2bl w:val="nil"/>
                  </w:tcBorders>
                  <w:shd w:val="clear" w:color="auto" w:fill="auto"/>
                  <w:noWrap w:val="0"/>
                  <w:vAlign w:val="center"/>
                </w:tcPr>
                <w:p w14:paraId="649B92C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46.4</w:t>
                  </w:r>
                </w:p>
              </w:tc>
            </w:tr>
            <w:tr w14:paraId="0848788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567" w:hRule="atLeast"/>
                <w:jc w:val="center"/>
              </w:trPr>
              <w:tc>
                <w:tcPr>
                  <w:tcW w:w="1125" w:type="pct"/>
                  <w:vMerge w:val="continue"/>
                  <w:tcBorders>
                    <w:tl2br w:val="nil"/>
                    <w:tr2bl w:val="nil"/>
                  </w:tcBorders>
                  <w:shd w:val="clear" w:color="auto" w:fill="auto"/>
                  <w:noWrap w:val="0"/>
                  <w:vAlign w:val="center"/>
                </w:tcPr>
                <w:p w14:paraId="06EFB24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711" w:type="pct"/>
                  <w:tcBorders>
                    <w:tl2br w:val="nil"/>
                    <w:tr2bl w:val="nil"/>
                  </w:tcBorders>
                  <w:shd w:val="clear" w:color="auto" w:fill="auto"/>
                  <w:noWrap w:val="0"/>
                  <w:vAlign w:val="center"/>
                </w:tcPr>
                <w:p w14:paraId="3D3B779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西北侧厂界</w:t>
                  </w:r>
                  <w:r>
                    <w:rPr>
                      <w:rFonts w:hint="default" w:ascii="Times New Roman" w:hAnsi="Times New Roman" w:eastAsia="宋体" w:cs="Times New Roman"/>
                      <w:i w:val="0"/>
                      <w:iCs w:val="0"/>
                      <w:color w:val="000000"/>
                      <w:kern w:val="0"/>
                      <w:sz w:val="21"/>
                      <w:szCs w:val="21"/>
                      <w:u w:val="none"/>
                      <w:lang w:val="en-US" w:eastAsia="zh-CN" w:bidi="ar"/>
                    </w:rPr>
                    <w:t>外</w:t>
                  </w:r>
                  <w:r>
                    <w:rPr>
                      <w:rFonts w:hint="eastAsia" w:ascii="Times New Roman" w:hAnsi="Times New Roman" w:eastAsia="宋体" w:cs="Times New Roman"/>
                      <w:i w:val="0"/>
                      <w:iCs w:val="0"/>
                      <w:color w:val="000000"/>
                      <w:kern w:val="0"/>
                      <w:sz w:val="21"/>
                      <w:szCs w:val="21"/>
                      <w:u w:val="none"/>
                      <w:lang w:val="en-US" w:eastAsia="zh-CN" w:bidi="ar"/>
                    </w:rPr>
                    <w:t>1</w:t>
                  </w:r>
                  <w:r>
                    <w:rPr>
                      <w:rFonts w:hint="default" w:ascii="Times New Roman" w:hAnsi="Times New Roman" w:eastAsia="宋体" w:cs="Times New Roman"/>
                      <w:i w:val="0"/>
                      <w:iCs w:val="0"/>
                      <w:color w:val="000000"/>
                      <w:kern w:val="0"/>
                      <w:sz w:val="21"/>
                      <w:szCs w:val="21"/>
                      <w:u w:val="none"/>
                      <w:lang w:val="en-US" w:eastAsia="zh-CN" w:bidi="ar"/>
                    </w:rPr>
                    <w:t>米N</w:t>
                  </w:r>
                  <w:r>
                    <w:rPr>
                      <w:rFonts w:hint="eastAsia" w:ascii="Times New Roman" w:hAnsi="Times New Roman" w:eastAsia="宋体" w:cs="Times New Roman"/>
                      <w:i w:val="0"/>
                      <w:iCs w:val="0"/>
                      <w:color w:val="000000"/>
                      <w:kern w:val="0"/>
                      <w:sz w:val="21"/>
                      <w:szCs w:val="21"/>
                      <w:u w:val="none"/>
                      <w:lang w:val="en-US" w:eastAsia="zh-CN" w:bidi="ar"/>
                    </w:rPr>
                    <w:t>4</w:t>
                  </w:r>
                </w:p>
              </w:tc>
              <w:tc>
                <w:tcPr>
                  <w:tcW w:w="1081" w:type="pct"/>
                  <w:tcBorders>
                    <w:tl2br w:val="nil"/>
                    <w:tr2bl w:val="nil"/>
                  </w:tcBorders>
                  <w:shd w:val="clear" w:color="auto" w:fill="auto"/>
                  <w:noWrap w:val="0"/>
                  <w:vAlign w:val="center"/>
                </w:tcPr>
                <w:p w14:paraId="4692600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53.6</w:t>
                  </w:r>
                </w:p>
              </w:tc>
              <w:tc>
                <w:tcPr>
                  <w:tcW w:w="1081" w:type="pct"/>
                  <w:tcBorders>
                    <w:tl2br w:val="nil"/>
                    <w:tr2bl w:val="nil"/>
                  </w:tcBorders>
                  <w:shd w:val="clear" w:color="auto" w:fill="auto"/>
                  <w:noWrap w:val="0"/>
                  <w:vAlign w:val="center"/>
                </w:tcPr>
                <w:p w14:paraId="358ED10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45.3</w:t>
                  </w:r>
                </w:p>
              </w:tc>
            </w:tr>
            <w:tr w14:paraId="70F7C77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567" w:hRule="atLeast"/>
                <w:jc w:val="center"/>
              </w:trPr>
              <w:tc>
                <w:tcPr>
                  <w:tcW w:w="1125" w:type="pct"/>
                  <w:vMerge w:val="continue"/>
                  <w:tcBorders>
                    <w:tl2br w:val="nil"/>
                    <w:tr2bl w:val="nil"/>
                  </w:tcBorders>
                  <w:shd w:val="clear" w:color="auto" w:fill="auto"/>
                  <w:noWrap w:val="0"/>
                  <w:vAlign w:val="center"/>
                </w:tcPr>
                <w:p w14:paraId="64A0C02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711" w:type="pct"/>
                  <w:tcBorders>
                    <w:tl2br w:val="nil"/>
                    <w:tr2bl w:val="nil"/>
                  </w:tcBorders>
                  <w:shd w:val="clear" w:color="auto" w:fill="auto"/>
                  <w:noWrap w:val="0"/>
                  <w:vAlign w:val="center"/>
                </w:tcPr>
                <w:p w14:paraId="2375A49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东侧丽山村N5</w:t>
                  </w:r>
                </w:p>
              </w:tc>
              <w:tc>
                <w:tcPr>
                  <w:tcW w:w="1081" w:type="pct"/>
                  <w:tcBorders>
                    <w:tl2br w:val="nil"/>
                    <w:tr2bl w:val="nil"/>
                  </w:tcBorders>
                  <w:shd w:val="clear" w:color="auto" w:fill="auto"/>
                  <w:noWrap w:val="0"/>
                  <w:vAlign w:val="center"/>
                </w:tcPr>
                <w:p w14:paraId="2AFBD16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54.8</w:t>
                  </w:r>
                </w:p>
              </w:tc>
              <w:tc>
                <w:tcPr>
                  <w:tcW w:w="1081" w:type="pct"/>
                  <w:tcBorders>
                    <w:tl2br w:val="nil"/>
                    <w:tr2bl w:val="nil"/>
                  </w:tcBorders>
                  <w:shd w:val="clear" w:color="auto" w:fill="auto"/>
                  <w:noWrap w:val="0"/>
                  <w:vAlign w:val="center"/>
                </w:tcPr>
                <w:p w14:paraId="22B6BAD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45.5</w:t>
                  </w:r>
                </w:p>
              </w:tc>
            </w:tr>
          </w:tbl>
          <w:p w14:paraId="5991ABDF">
            <w:pPr>
              <w:pStyle w:val="12"/>
              <w:rPr>
                <w:rFonts w:hint="default"/>
                <w:lang w:val="en-US" w:eastAsia="zh-CN"/>
              </w:rPr>
            </w:pPr>
          </w:p>
          <w:p w14:paraId="0D12A4B6">
            <w:pPr>
              <w:pStyle w:val="44"/>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eastAsia="宋体" w:cs="宋体"/>
                <w:color w:val="000000" w:themeColor="text1"/>
                <w:highlight w:val="none"/>
                <w:lang w:val="en-US" w:eastAsia="zh-CN"/>
                <w14:textFill>
                  <w14:solidFill>
                    <w14:schemeClr w14:val="tx1"/>
                  </w14:solidFill>
                </w14:textFill>
              </w:rPr>
            </w:pPr>
            <w:r>
              <w:rPr>
                <w:rFonts w:hint="eastAsia" w:eastAsia="宋体" w:cs="宋体"/>
                <w:color w:val="000000" w:themeColor="text1"/>
                <w:highlight w:val="none"/>
                <w:lang w:val="en-US" w:eastAsia="zh-CN"/>
                <w14:textFill>
                  <w14:solidFill>
                    <w14:schemeClr w14:val="tx1"/>
                  </w14:solidFill>
                </w14:textFill>
              </w:rPr>
              <w:t>根据监测结果分析：项目</w:t>
            </w:r>
            <w:r>
              <w:rPr>
                <w:rFonts w:hint="eastAsia" w:cs="宋体"/>
                <w:color w:val="000000" w:themeColor="text1"/>
                <w:highlight w:val="none"/>
                <w:lang w:val="en-US" w:eastAsia="zh-CN"/>
                <w14:textFill>
                  <w14:solidFill>
                    <w14:schemeClr w14:val="tx1"/>
                  </w14:solidFill>
                </w14:textFill>
              </w:rPr>
              <w:t>西</w:t>
            </w:r>
            <w:r>
              <w:rPr>
                <w:rFonts w:hint="eastAsia" w:eastAsia="宋体" w:cs="宋体"/>
                <w:color w:val="000000" w:themeColor="text1"/>
                <w:highlight w:val="none"/>
                <w:lang w:val="en-US" w:eastAsia="zh-CN"/>
                <w14:textFill>
                  <w14:solidFill>
                    <w14:schemeClr w14:val="tx1"/>
                  </w14:solidFill>
                </w14:textFill>
              </w:rPr>
              <w:t>南侧（N1）、</w:t>
            </w:r>
            <w:r>
              <w:rPr>
                <w:rFonts w:hint="eastAsia" w:cs="宋体"/>
                <w:color w:val="000000" w:themeColor="text1"/>
                <w:highlight w:val="none"/>
                <w:lang w:val="en-US" w:eastAsia="zh-CN"/>
                <w14:textFill>
                  <w14:solidFill>
                    <w14:schemeClr w14:val="tx1"/>
                  </w14:solidFill>
                </w14:textFill>
              </w:rPr>
              <w:t>东南</w:t>
            </w:r>
            <w:r>
              <w:rPr>
                <w:rFonts w:hint="eastAsia" w:eastAsia="宋体" w:cs="宋体"/>
                <w:color w:val="000000" w:themeColor="text1"/>
                <w:highlight w:val="none"/>
                <w:lang w:val="en-US" w:eastAsia="zh-CN"/>
                <w14:textFill>
                  <w14:solidFill>
                    <w14:schemeClr w14:val="tx1"/>
                  </w14:solidFill>
                </w14:textFill>
              </w:rPr>
              <w:t>侧（N2）、</w:t>
            </w:r>
            <w:r>
              <w:rPr>
                <w:rFonts w:hint="eastAsia" w:cs="宋体"/>
                <w:color w:val="000000" w:themeColor="text1"/>
                <w:highlight w:val="none"/>
                <w:lang w:val="en-US" w:eastAsia="zh-CN"/>
                <w14:textFill>
                  <w14:solidFill>
                    <w14:schemeClr w14:val="tx1"/>
                  </w14:solidFill>
                </w14:textFill>
              </w:rPr>
              <w:t>东</w:t>
            </w:r>
            <w:r>
              <w:rPr>
                <w:rFonts w:hint="eastAsia" w:eastAsia="宋体" w:cs="宋体"/>
                <w:color w:val="000000" w:themeColor="text1"/>
                <w:highlight w:val="none"/>
                <w:lang w:val="en-US" w:eastAsia="zh-CN"/>
                <w14:textFill>
                  <w14:solidFill>
                    <w14:schemeClr w14:val="tx1"/>
                  </w14:solidFill>
                </w14:textFill>
              </w:rPr>
              <w:t>北侧（N3）、</w:t>
            </w:r>
            <w:r>
              <w:rPr>
                <w:rFonts w:hint="eastAsia" w:cs="宋体"/>
                <w:color w:val="000000" w:themeColor="text1"/>
                <w:highlight w:val="none"/>
                <w:lang w:val="en-US" w:eastAsia="zh-CN"/>
                <w14:textFill>
                  <w14:solidFill>
                    <w14:schemeClr w14:val="tx1"/>
                  </w14:solidFill>
                </w14:textFill>
              </w:rPr>
              <w:t>西北</w:t>
            </w:r>
            <w:r>
              <w:rPr>
                <w:rFonts w:hint="eastAsia" w:eastAsia="宋体" w:cs="宋体"/>
                <w:color w:val="000000" w:themeColor="text1"/>
                <w:highlight w:val="none"/>
                <w:lang w:val="en-US" w:eastAsia="zh-CN"/>
                <w14:textFill>
                  <w14:solidFill>
                    <w14:schemeClr w14:val="tx1"/>
                  </w14:solidFill>
                </w14:textFill>
              </w:rPr>
              <w:t>侧（N4）厂界</w:t>
            </w:r>
            <w:r>
              <w:rPr>
                <w:rFonts w:hint="eastAsia" w:cs="宋体"/>
                <w:color w:val="000000" w:themeColor="text1"/>
                <w:highlight w:val="none"/>
                <w:lang w:val="en-US" w:eastAsia="zh-CN"/>
                <w14:textFill>
                  <w14:solidFill>
                    <w14:schemeClr w14:val="tx1"/>
                  </w14:solidFill>
                </w14:textFill>
              </w:rPr>
              <w:t>以及</w:t>
            </w:r>
            <w:r>
              <w:rPr>
                <w:rFonts w:hint="eastAsia" w:eastAsia="宋体" w:cs="宋体"/>
                <w:color w:val="000000" w:themeColor="text1"/>
                <w:highlight w:val="none"/>
                <w:lang w:val="en-US" w:eastAsia="zh-CN"/>
                <w14:textFill>
                  <w14:solidFill>
                    <w14:schemeClr w14:val="tx1"/>
                  </w14:solidFill>
                </w14:textFill>
              </w:rPr>
              <w:t>项目东侧</w:t>
            </w:r>
            <w:r>
              <w:rPr>
                <w:rFonts w:hint="eastAsia" w:cs="宋体"/>
                <w:color w:val="000000" w:themeColor="text1"/>
                <w:highlight w:val="none"/>
                <w:lang w:val="en-US" w:eastAsia="zh-CN"/>
                <w14:textFill>
                  <w14:solidFill>
                    <w14:schemeClr w14:val="tx1"/>
                  </w14:solidFill>
                </w14:textFill>
              </w:rPr>
              <w:t>丽山</w:t>
            </w:r>
            <w:r>
              <w:rPr>
                <w:rFonts w:hint="eastAsia" w:eastAsia="宋体" w:cs="宋体"/>
                <w:color w:val="000000" w:themeColor="text1"/>
                <w:highlight w:val="none"/>
                <w:lang w:val="en-US" w:eastAsia="zh-CN"/>
                <w14:textFill>
                  <w14:solidFill>
                    <w14:schemeClr w14:val="tx1"/>
                  </w14:solidFill>
                </w14:textFill>
              </w:rPr>
              <w:t>村（N5）</w:t>
            </w:r>
            <w:r>
              <w:rPr>
                <w:rFonts w:hint="eastAsia" w:cs="宋体"/>
                <w:color w:val="000000" w:themeColor="text1"/>
                <w:highlight w:val="none"/>
                <w:lang w:val="en-US" w:eastAsia="zh-CN"/>
                <w14:textFill>
                  <w14:solidFill>
                    <w14:schemeClr w14:val="tx1"/>
                  </w14:solidFill>
                </w14:textFill>
              </w:rPr>
              <w:t>均</w:t>
            </w:r>
            <w:r>
              <w:rPr>
                <w:rFonts w:hint="eastAsia" w:eastAsia="宋体" w:cs="宋体"/>
                <w:color w:val="000000" w:themeColor="text1"/>
                <w:highlight w:val="none"/>
                <w:lang w:val="en-US" w:eastAsia="zh-CN"/>
                <w14:textFill>
                  <w14:solidFill>
                    <w14:schemeClr w14:val="tx1"/>
                  </w14:solidFill>
                </w14:textFill>
              </w:rPr>
              <w:t>符合《声环境质量标准》(GB3096-2008)表1中2类标准，项目所处的声环境质量较好。</w:t>
            </w:r>
          </w:p>
          <w:p w14:paraId="7CA8EA33">
            <w:pPr>
              <w:pStyle w:val="4"/>
              <w:numPr>
                <w:ilvl w:val="2"/>
                <w:numId w:val="1"/>
              </w:numPr>
              <w:bidi w:val="0"/>
              <w:ind w:left="720" w:leftChars="0" w:hanging="720" w:firstLineChars="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生态环境</w:t>
            </w:r>
          </w:p>
          <w:p w14:paraId="7803A33C">
            <w:pPr>
              <w:pStyle w:val="44"/>
              <w:keepNext w:val="0"/>
              <w:keepLines w:val="0"/>
              <w:pageBreakBefore w:val="0"/>
              <w:widowControl w:val="0"/>
              <w:kinsoku/>
              <w:wordWrap/>
              <w:overflowPunct/>
              <w:topLinePunct w:val="0"/>
              <w:autoSpaceDE w:val="0"/>
              <w:autoSpaceDN w:val="0"/>
              <w:bidi w:val="0"/>
              <w:adjustRightInd/>
              <w:snapToGrid/>
              <w:ind w:firstLine="48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根据《建设项目环境影响报告表编制技术指南（污染影响类）（试行）》</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“产业园区外建设项目新增用地且用地范围内含生态环境保护目标时，应进行生态现状调查”。本项目位于</w:t>
            </w:r>
            <w:r>
              <w:rPr>
                <w:rFonts w:hint="eastAsia"/>
                <w:color w:val="000000" w:themeColor="text1"/>
                <w:highlight w:val="none"/>
                <w:lang w:eastAsia="zh-CN"/>
                <w14:textFill>
                  <w14:solidFill>
                    <w14:schemeClr w14:val="tx1"/>
                  </w14:solidFill>
                </w14:textFill>
              </w:rPr>
              <w:t>闽清县池园镇</w:t>
            </w:r>
            <w:r>
              <w:rPr>
                <w:rFonts w:hint="eastAsia"/>
                <w:color w:val="000000" w:themeColor="text1"/>
                <w:highlight w:val="none"/>
                <w:lang w:val="en-US" w:eastAsia="zh-CN"/>
                <w14:textFill>
                  <w14:solidFill>
                    <w14:schemeClr w14:val="tx1"/>
                  </w14:solidFill>
                </w14:textFill>
              </w:rPr>
              <w:t>丽山村丽山498号</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厂房已建设，</w:t>
            </w:r>
            <w:r>
              <w:rPr>
                <w:rFonts w:hint="eastAsia"/>
                <w:color w:val="000000" w:themeColor="text1"/>
                <w:highlight w:val="none"/>
                <w14:textFill>
                  <w14:solidFill>
                    <w14:schemeClr w14:val="tx1"/>
                  </w14:solidFill>
                </w14:textFill>
              </w:rPr>
              <w:t>用地范围内无生态环境保护目标，无需进行生态现状调查。</w:t>
            </w:r>
          </w:p>
          <w:p w14:paraId="57447257">
            <w:pPr>
              <w:pStyle w:val="4"/>
              <w:numPr>
                <w:ilvl w:val="2"/>
                <w:numId w:val="1"/>
              </w:numPr>
              <w:bidi w:val="0"/>
              <w:ind w:left="720" w:leftChars="0" w:hanging="720" w:firstLineChars="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地下水、土壤环境</w:t>
            </w:r>
          </w:p>
          <w:p w14:paraId="2B1A1968">
            <w:pPr>
              <w:pStyle w:val="44"/>
              <w:keepNext w:val="0"/>
              <w:keepLines w:val="0"/>
              <w:pageBreakBefore w:val="0"/>
              <w:widowControl w:val="0"/>
              <w:kinsoku/>
              <w:wordWrap/>
              <w:overflowPunct/>
              <w:topLinePunct w:val="0"/>
              <w:autoSpaceDE w:val="0"/>
              <w:autoSpaceDN w:val="0"/>
              <w:bidi w:val="0"/>
              <w:adjustRightInd/>
              <w:snapToGrid/>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w:t>
            </w:r>
            <w:r>
              <w:rPr>
                <w:rFonts w:hint="eastAsia"/>
                <w:color w:val="000000" w:themeColor="text1"/>
                <w:highlight w:val="none"/>
                <w14:textFill>
                  <w14:solidFill>
                    <w14:schemeClr w14:val="tx1"/>
                  </w14:solidFill>
                </w14:textFill>
              </w:rPr>
              <w:t>《建设项目环境影响报告表编制技术指南（污染影响类）》（试行）</w:t>
            </w:r>
            <w:r>
              <w:rPr>
                <w:color w:val="000000" w:themeColor="text1"/>
                <w:highlight w:val="none"/>
                <w14:textFill>
                  <w14:solidFill>
                    <w14:schemeClr w14:val="tx1"/>
                  </w14:solidFill>
                </w14:textFill>
              </w:rPr>
              <w:t>中表明：原则上不开展地下水、土壤环境质量现状调查</w:t>
            </w:r>
            <w:r>
              <w:rPr>
                <w:rFonts w:hint="eastAsia"/>
                <w:color w:val="000000" w:themeColor="text1"/>
                <w:highlight w:val="none"/>
                <w14:textFill>
                  <w14:solidFill>
                    <w14:schemeClr w14:val="tx1"/>
                  </w14:solidFill>
                </w14:textFill>
              </w:rPr>
              <w:t>。本项目厂区车间经分区防渗后，项目基本不会对土壤、地下水产生影响。且项目</w:t>
            </w:r>
            <w:r>
              <w:rPr>
                <w:color w:val="000000" w:themeColor="text1"/>
                <w:highlight w:val="none"/>
                <w14:textFill>
                  <w14:solidFill>
                    <w14:schemeClr w14:val="tx1"/>
                  </w14:solidFill>
                </w14:textFill>
              </w:rPr>
              <w:t>厂界外500</w:t>
            </w:r>
            <w:r>
              <w:rPr>
                <w:rFonts w:hint="eastAsia"/>
                <w:color w:val="000000" w:themeColor="text1"/>
                <w:highlight w:val="none"/>
                <w14:textFill>
                  <w14:solidFill>
                    <w14:schemeClr w14:val="tx1"/>
                  </w14:solidFill>
                </w14:textFill>
              </w:rPr>
              <w:t>m</w:t>
            </w:r>
            <w:r>
              <w:rPr>
                <w:color w:val="000000" w:themeColor="text1"/>
                <w:highlight w:val="none"/>
                <w14:textFill>
                  <w14:solidFill>
                    <w14:schemeClr w14:val="tx1"/>
                  </w14:solidFill>
                </w14:textFill>
              </w:rPr>
              <w:t>范围内无地下水集中式饮用水水源和热水、矿泉水、泉水等特殊地下水资源。因此，本项目不</w:t>
            </w:r>
            <w:r>
              <w:rPr>
                <w:rFonts w:hint="eastAsia"/>
                <w:color w:val="000000" w:themeColor="text1"/>
                <w:highlight w:val="none"/>
                <w14:textFill>
                  <w14:solidFill>
                    <w14:schemeClr w14:val="tx1"/>
                  </w14:solidFill>
                </w14:textFill>
              </w:rPr>
              <w:t>开展</w:t>
            </w:r>
            <w:r>
              <w:rPr>
                <w:color w:val="000000" w:themeColor="text1"/>
                <w:highlight w:val="none"/>
                <w14:textFill>
                  <w14:solidFill>
                    <w14:schemeClr w14:val="tx1"/>
                  </w14:solidFill>
                </w14:textFill>
              </w:rPr>
              <w:t>地下水、土壤环境质量现状</w:t>
            </w:r>
            <w:r>
              <w:rPr>
                <w:rFonts w:hint="eastAsia"/>
                <w:color w:val="000000" w:themeColor="text1"/>
                <w:highlight w:val="none"/>
                <w14:textFill>
                  <w14:solidFill>
                    <w14:schemeClr w14:val="tx1"/>
                  </w14:solidFill>
                </w14:textFill>
              </w:rPr>
              <w:t>调查</w:t>
            </w:r>
            <w:r>
              <w:rPr>
                <w:color w:val="000000" w:themeColor="text1"/>
                <w:highlight w:val="none"/>
                <w14:textFill>
                  <w14:solidFill>
                    <w14:schemeClr w14:val="tx1"/>
                  </w14:solidFill>
                </w14:textFill>
              </w:rPr>
              <w:t>。</w:t>
            </w:r>
          </w:p>
        </w:tc>
      </w:tr>
    </w:tbl>
    <w:p w14:paraId="63E87F74">
      <w:pPr>
        <w:rPr>
          <w:color w:val="000000" w:themeColor="text1"/>
          <w:highlight w:val="none"/>
          <w14:textFill>
            <w14:solidFill>
              <w14:schemeClr w14:val="tx1"/>
            </w14:solidFill>
          </w14:textFill>
        </w:rPr>
        <w:sectPr>
          <w:pgSz w:w="11905" w:h="16838"/>
          <w:pgMar w:top="1417" w:right="1417" w:bottom="1417" w:left="1417" w:header="851" w:footer="1077" w:gutter="0"/>
          <w:pgBorders>
            <w:top w:val="none" w:sz="0" w:space="0"/>
            <w:left w:val="none" w:sz="0" w:space="0"/>
            <w:bottom w:val="none" w:sz="0" w:space="0"/>
            <w:right w:val="none" w:sz="0" w:space="0"/>
          </w:pgBorders>
          <w:pgNumType w:fmt="decimal"/>
          <w:cols w:space="0" w:num="1"/>
          <w:docGrid w:linePitch="312" w:charSpace="0"/>
        </w:sectPr>
      </w:pPr>
    </w:p>
    <w:tbl>
      <w:tblPr>
        <w:tblStyle w:val="32"/>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52"/>
        <w:gridCol w:w="8438"/>
      </w:tblGrid>
      <w:tr w14:paraId="2D0012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68" w:hRule="atLeast"/>
          <w:jc w:val="center"/>
        </w:trPr>
        <w:tc>
          <w:tcPr>
            <w:tcW w:w="800" w:type="dxa"/>
            <w:vAlign w:val="center"/>
          </w:tcPr>
          <w:p w14:paraId="0F847932">
            <w:pPr>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环境</w:t>
            </w:r>
          </w:p>
          <w:p w14:paraId="76030C52">
            <w:pPr>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保护</w:t>
            </w:r>
          </w:p>
          <w:p w14:paraId="225B8022">
            <w:pPr>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目标</w:t>
            </w:r>
          </w:p>
        </w:tc>
        <w:tc>
          <w:tcPr>
            <w:tcW w:w="8190" w:type="dxa"/>
            <w:vAlign w:val="center"/>
          </w:tcPr>
          <w:p w14:paraId="7872162B">
            <w:pPr>
              <w:pStyle w:val="3"/>
              <w:numPr>
                <w:ilvl w:val="1"/>
                <w:numId w:val="1"/>
              </w:numPr>
              <w:bidi w:val="0"/>
              <w:ind w:left="0" w:leftChars="0" w:firstLine="0" w:firstLineChars="0"/>
              <w:rPr>
                <w:color w:val="000000" w:themeColor="text1"/>
                <w:highlight w:val="none"/>
                <w14:textFill>
                  <w14:solidFill>
                    <w14:schemeClr w14:val="tx1"/>
                  </w14:solidFill>
                </w14:textFill>
              </w:rPr>
            </w:pPr>
            <w:bookmarkStart w:id="32" w:name="_Toc15528"/>
            <w:r>
              <w:rPr>
                <w:rFonts w:hint="eastAsia"/>
                <w:color w:val="000000" w:themeColor="text1"/>
                <w:highlight w:val="none"/>
                <w14:textFill>
                  <w14:solidFill>
                    <w14:schemeClr w14:val="tx1"/>
                  </w14:solidFill>
                </w14:textFill>
              </w:rPr>
              <w:t>环境保护目标</w:t>
            </w:r>
            <w:bookmarkEnd w:id="32"/>
          </w:p>
          <w:p w14:paraId="244A48B4">
            <w:pPr>
              <w:pStyle w:val="4"/>
              <w:bidi w:val="0"/>
              <w:rPr>
                <w:rFonts w:hint="default"/>
                <w:lang w:val="en-US" w:eastAsia="zh-CN"/>
              </w:rPr>
            </w:pPr>
            <w:r>
              <w:rPr>
                <w:rFonts w:hint="eastAsia"/>
                <w:lang w:val="en-US" w:eastAsia="zh-CN"/>
              </w:rPr>
              <w:t>环境敏感目标</w:t>
            </w:r>
          </w:p>
          <w:p w14:paraId="12ADA2D7">
            <w:pPr>
              <w:pStyle w:val="44"/>
              <w:bidi w:val="0"/>
              <w:rPr>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本项目位于</w:t>
            </w:r>
            <w:r>
              <w:rPr>
                <w:rFonts w:hint="eastAsia" w:cs="Times New Roman"/>
                <w:color w:val="000000" w:themeColor="text1"/>
                <w:highlight w:val="none"/>
                <w:lang w:val="en-US" w:eastAsia="zh-CN"/>
                <w14:textFill>
                  <w14:solidFill>
                    <w14:schemeClr w14:val="tx1"/>
                  </w14:solidFill>
                </w14:textFill>
              </w:rPr>
              <w:t>闽清县池园镇</w:t>
            </w:r>
            <w:r>
              <w:rPr>
                <w:rFonts w:hint="eastAsia"/>
                <w:color w:val="000000" w:themeColor="text1"/>
                <w:highlight w:val="none"/>
                <w:lang w:val="en-US" w:eastAsia="zh-CN"/>
                <w14:textFill>
                  <w14:solidFill>
                    <w14:schemeClr w14:val="tx1"/>
                  </w14:solidFill>
                </w14:textFill>
              </w:rPr>
              <w:t>丽山村丽山498号</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eastAsia"/>
                <w:color w:val="000000" w:themeColor="text1"/>
                <w:highlight w:val="none"/>
                <w14:textFill>
                  <w14:solidFill>
                    <w14:schemeClr w14:val="tx1"/>
                  </w14:solidFill>
                </w14:textFill>
              </w:rPr>
              <w:t>项目评价范围内不涉及自然保护区、风景名胜区、文物古迹等敏感目标。本项目周边环境敏感目标详见</w:t>
            </w:r>
            <w:r>
              <w:rPr>
                <w:rFonts w:hint="eastAsia"/>
                <w:color w:val="000000" w:themeColor="text1"/>
                <w:highlight w:val="none"/>
                <w:lang w:val="en-US" w:eastAsia="zh-CN"/>
                <w14:textFill>
                  <w14:solidFill>
                    <w14:schemeClr w14:val="tx1"/>
                  </w14:solidFill>
                </w14:textFill>
              </w:rPr>
              <w:t>下表</w:t>
            </w:r>
            <w:r>
              <w:rPr>
                <w:rFonts w:hint="eastAsia"/>
                <w:color w:val="000000" w:themeColor="text1"/>
                <w:highlight w:val="none"/>
                <w14:textFill>
                  <w14:solidFill>
                    <w14:schemeClr w14:val="tx1"/>
                  </w14:solidFill>
                </w14:textFill>
              </w:rPr>
              <w:t>和附图2。</w:t>
            </w:r>
          </w:p>
          <w:p w14:paraId="0A07D094">
            <w:pPr>
              <w:pStyle w:val="42"/>
              <w:keepNext/>
              <w:keepLines/>
              <w:pageBreakBefore w:val="0"/>
              <w:widowControl w:val="0"/>
              <w:numPr>
                <w:ilvl w:val="7"/>
                <w:numId w:val="1"/>
              </w:numPr>
              <w:kinsoku/>
              <w:wordWrap/>
              <w:overflowPunct/>
              <w:topLinePunct w:val="0"/>
              <w:autoSpaceDE/>
              <w:autoSpaceDN/>
              <w:bidi w:val="0"/>
              <w:adjustRightInd/>
              <w:snapToGrid/>
              <w:spacing w:before="0" w:after="0"/>
              <w:ind w:left="630" w:leftChars="0" w:firstLine="0" w:firstLineChars="0"/>
              <w:textAlignment w:val="auto"/>
              <w:rPr>
                <w:color w:val="000000" w:themeColor="text1"/>
                <w:highlight w:val="none"/>
                <w14:textFill>
                  <w14:solidFill>
                    <w14:schemeClr w14:val="tx1"/>
                  </w14:solidFill>
                </w14:textFill>
              </w:rPr>
            </w:pPr>
            <w:bookmarkStart w:id="33" w:name="_Ref4901"/>
            <w:r>
              <w:rPr>
                <w:rFonts w:hint="eastAsia"/>
                <w:color w:val="000000" w:themeColor="text1"/>
                <w:highlight w:val="none"/>
                <w14:textFill>
                  <w14:solidFill>
                    <w14:schemeClr w14:val="tx1"/>
                  </w14:solidFill>
                </w14:textFill>
              </w:rPr>
              <w:t>本项目周边环境敏感目标一览表</w:t>
            </w:r>
            <w:bookmarkEnd w:id="33"/>
          </w:p>
          <w:tbl>
            <w:tblPr>
              <w:tblStyle w:val="32"/>
              <w:tblW w:w="79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3"/>
              <w:gridCol w:w="1093"/>
              <w:gridCol w:w="1125"/>
              <w:gridCol w:w="1070"/>
              <w:gridCol w:w="1385"/>
              <w:gridCol w:w="2395"/>
            </w:tblGrid>
            <w:tr w14:paraId="5CFD57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900" w:type="dxa"/>
                  <w:tcBorders>
                    <w:bottom w:val="single" w:color="auto" w:sz="12" w:space="0"/>
                  </w:tcBorders>
                  <w:noWrap w:val="0"/>
                  <w:vAlign w:val="center"/>
                </w:tcPr>
                <w:p w14:paraId="60EA8888">
                  <w:pPr>
                    <w:keepNext w:val="0"/>
                    <w:keepLines w:val="0"/>
                    <w:pageBreakBefore w:val="0"/>
                    <w:widowControl w:val="0"/>
                    <w:kinsoku/>
                    <w:wordWrap/>
                    <w:overflowPunct/>
                    <w:topLinePunct w:val="0"/>
                    <w:bidi w:val="0"/>
                    <w:spacing w:line="240" w:lineRule="auto"/>
                    <w:ind w:firstLine="0" w:firstLineChars="0"/>
                    <w:textAlignment w:val="auto"/>
                    <w:rPr>
                      <w:color w:val="000000"/>
                    </w:rPr>
                  </w:pPr>
                  <w:r>
                    <w:rPr>
                      <w:color w:val="000000"/>
                    </w:rPr>
                    <w:t>环境要素</w:t>
                  </w:r>
                </w:p>
              </w:tc>
              <w:tc>
                <w:tcPr>
                  <w:tcW w:w="1088" w:type="dxa"/>
                  <w:tcBorders>
                    <w:bottom w:val="single" w:color="auto" w:sz="12" w:space="0"/>
                  </w:tcBorders>
                  <w:noWrap w:val="0"/>
                  <w:vAlign w:val="center"/>
                </w:tcPr>
                <w:p w14:paraId="0610E398">
                  <w:pPr>
                    <w:keepNext w:val="0"/>
                    <w:keepLines w:val="0"/>
                    <w:pageBreakBefore w:val="0"/>
                    <w:widowControl w:val="0"/>
                    <w:kinsoku/>
                    <w:wordWrap/>
                    <w:overflowPunct/>
                    <w:topLinePunct w:val="0"/>
                    <w:bidi w:val="0"/>
                    <w:spacing w:line="240" w:lineRule="auto"/>
                    <w:ind w:firstLine="0" w:firstLineChars="0"/>
                    <w:textAlignment w:val="auto"/>
                    <w:rPr>
                      <w:color w:val="000000"/>
                    </w:rPr>
                  </w:pPr>
                  <w:r>
                    <w:rPr>
                      <w:color w:val="000000"/>
                    </w:rPr>
                    <w:t>环境保护目标名称</w:t>
                  </w:r>
                </w:p>
              </w:tc>
              <w:tc>
                <w:tcPr>
                  <w:tcW w:w="1120" w:type="dxa"/>
                  <w:tcBorders>
                    <w:bottom w:val="single" w:color="auto" w:sz="12" w:space="0"/>
                  </w:tcBorders>
                  <w:noWrap w:val="0"/>
                  <w:vAlign w:val="center"/>
                </w:tcPr>
                <w:p w14:paraId="67A8700C">
                  <w:pPr>
                    <w:keepNext w:val="0"/>
                    <w:keepLines w:val="0"/>
                    <w:pageBreakBefore w:val="0"/>
                    <w:widowControl w:val="0"/>
                    <w:kinsoku/>
                    <w:wordWrap/>
                    <w:overflowPunct/>
                    <w:topLinePunct w:val="0"/>
                    <w:bidi w:val="0"/>
                    <w:spacing w:line="240" w:lineRule="auto"/>
                    <w:ind w:firstLine="0" w:firstLineChars="0"/>
                    <w:jc w:val="center"/>
                    <w:textAlignment w:val="auto"/>
                    <w:rPr>
                      <w:color w:val="000000"/>
                    </w:rPr>
                  </w:pPr>
                  <w:r>
                    <w:rPr>
                      <w:color w:val="000000"/>
                    </w:rPr>
                    <w:t>方位</w:t>
                  </w:r>
                </w:p>
              </w:tc>
              <w:tc>
                <w:tcPr>
                  <w:tcW w:w="1065" w:type="dxa"/>
                  <w:tcBorders>
                    <w:bottom w:val="single" w:color="auto" w:sz="12" w:space="0"/>
                  </w:tcBorders>
                  <w:noWrap w:val="0"/>
                  <w:vAlign w:val="center"/>
                </w:tcPr>
                <w:p w14:paraId="6B563E80">
                  <w:pPr>
                    <w:keepNext w:val="0"/>
                    <w:keepLines w:val="0"/>
                    <w:pageBreakBefore w:val="0"/>
                    <w:widowControl w:val="0"/>
                    <w:kinsoku/>
                    <w:wordWrap/>
                    <w:overflowPunct/>
                    <w:topLinePunct w:val="0"/>
                    <w:bidi w:val="0"/>
                    <w:spacing w:line="240" w:lineRule="auto"/>
                    <w:ind w:firstLine="0" w:firstLineChars="0"/>
                    <w:textAlignment w:val="auto"/>
                    <w:rPr>
                      <w:color w:val="000000"/>
                    </w:rPr>
                  </w:pPr>
                  <w:r>
                    <w:rPr>
                      <w:color w:val="000000"/>
                    </w:rPr>
                    <w:t>距离</w:t>
                  </w:r>
                  <w:r>
                    <w:rPr>
                      <w:rFonts w:hint="eastAsia"/>
                      <w:color w:val="000000"/>
                    </w:rPr>
                    <w:t>（m）</w:t>
                  </w:r>
                </w:p>
              </w:tc>
              <w:tc>
                <w:tcPr>
                  <w:tcW w:w="1379" w:type="dxa"/>
                  <w:tcBorders>
                    <w:bottom w:val="single" w:color="auto" w:sz="12" w:space="0"/>
                  </w:tcBorders>
                  <w:noWrap w:val="0"/>
                  <w:vAlign w:val="center"/>
                </w:tcPr>
                <w:p w14:paraId="20616453">
                  <w:pPr>
                    <w:keepNext w:val="0"/>
                    <w:keepLines w:val="0"/>
                    <w:pageBreakBefore w:val="0"/>
                    <w:widowControl w:val="0"/>
                    <w:kinsoku/>
                    <w:wordWrap/>
                    <w:overflowPunct/>
                    <w:topLinePunct w:val="0"/>
                    <w:bidi w:val="0"/>
                    <w:spacing w:line="240" w:lineRule="auto"/>
                    <w:ind w:firstLine="0" w:firstLineChars="0"/>
                    <w:jc w:val="center"/>
                    <w:textAlignment w:val="auto"/>
                    <w:rPr>
                      <w:color w:val="000000"/>
                    </w:rPr>
                  </w:pPr>
                  <w:r>
                    <w:rPr>
                      <w:rFonts w:hint="eastAsia"/>
                      <w:color w:val="000000"/>
                    </w:rPr>
                    <w:t>环境特征</w:t>
                  </w:r>
                </w:p>
              </w:tc>
              <w:tc>
                <w:tcPr>
                  <w:tcW w:w="2385" w:type="dxa"/>
                  <w:tcBorders>
                    <w:bottom w:val="single" w:color="auto" w:sz="12" w:space="0"/>
                  </w:tcBorders>
                  <w:noWrap w:val="0"/>
                  <w:vAlign w:val="center"/>
                </w:tcPr>
                <w:p w14:paraId="57552812">
                  <w:pPr>
                    <w:keepNext w:val="0"/>
                    <w:keepLines w:val="0"/>
                    <w:pageBreakBefore w:val="0"/>
                    <w:widowControl w:val="0"/>
                    <w:kinsoku/>
                    <w:wordWrap/>
                    <w:overflowPunct/>
                    <w:topLinePunct w:val="0"/>
                    <w:bidi w:val="0"/>
                    <w:spacing w:line="240" w:lineRule="auto"/>
                    <w:ind w:firstLine="0" w:firstLineChars="0"/>
                    <w:textAlignment w:val="auto"/>
                    <w:rPr>
                      <w:color w:val="000000"/>
                    </w:rPr>
                  </w:pPr>
                  <w:r>
                    <w:rPr>
                      <w:color w:val="000000"/>
                    </w:rPr>
                    <w:t>环境功能及保护级别</w:t>
                  </w:r>
                </w:p>
              </w:tc>
            </w:tr>
            <w:tr w14:paraId="6F1104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900" w:type="dxa"/>
                  <w:vMerge w:val="restart"/>
                  <w:tcBorders>
                    <w:top w:val="single" w:color="auto" w:sz="12" w:space="0"/>
                    <w:tl2br w:val="nil"/>
                    <w:tr2bl w:val="nil"/>
                  </w:tcBorders>
                  <w:noWrap w:val="0"/>
                  <w:vAlign w:val="center"/>
                </w:tcPr>
                <w:p w14:paraId="029E7955">
                  <w:pPr>
                    <w:keepNext w:val="0"/>
                    <w:keepLines w:val="0"/>
                    <w:pageBreakBefore w:val="0"/>
                    <w:widowControl w:val="0"/>
                    <w:kinsoku/>
                    <w:wordWrap/>
                    <w:overflowPunct/>
                    <w:topLinePunct w:val="0"/>
                    <w:bidi w:val="0"/>
                    <w:spacing w:line="240" w:lineRule="auto"/>
                    <w:ind w:firstLine="0" w:firstLineChars="0"/>
                    <w:textAlignment w:val="auto"/>
                    <w:rPr>
                      <w:rFonts w:hint="eastAsia"/>
                      <w:color w:val="000000"/>
                    </w:rPr>
                  </w:pPr>
                  <w:r>
                    <w:rPr>
                      <w:rFonts w:hint="eastAsia"/>
                      <w:color w:val="000000"/>
                    </w:rPr>
                    <w:t>大气环境</w:t>
                  </w:r>
                </w:p>
              </w:tc>
              <w:tc>
                <w:tcPr>
                  <w:tcW w:w="1088" w:type="dxa"/>
                  <w:tcBorders>
                    <w:top w:val="single" w:color="auto" w:sz="12" w:space="0"/>
                    <w:tl2br w:val="nil"/>
                    <w:tr2bl w:val="nil"/>
                  </w:tcBorders>
                  <w:noWrap w:val="0"/>
                  <w:vAlign w:val="center"/>
                </w:tcPr>
                <w:p w14:paraId="1A9331B9">
                  <w:pPr>
                    <w:pStyle w:val="15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olor w:val="000000"/>
                      <w:lang w:val="en-US" w:eastAsia="zh-CN"/>
                    </w:rPr>
                  </w:pPr>
                  <w:r>
                    <w:rPr>
                      <w:rFonts w:hint="eastAsia"/>
                      <w:color w:val="000000"/>
                      <w:lang w:val="en-US" w:eastAsia="zh-CN"/>
                    </w:rPr>
                    <w:t>丽山村</w:t>
                  </w:r>
                </w:p>
              </w:tc>
              <w:tc>
                <w:tcPr>
                  <w:tcW w:w="1120" w:type="dxa"/>
                  <w:tcBorders>
                    <w:top w:val="single" w:color="auto" w:sz="12" w:space="0"/>
                    <w:tl2br w:val="nil"/>
                    <w:tr2bl w:val="nil"/>
                  </w:tcBorders>
                  <w:noWrap w:val="0"/>
                  <w:vAlign w:val="center"/>
                </w:tcPr>
                <w:p w14:paraId="29AE0339">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color w:val="000000"/>
                      <w:lang w:val="en-US" w:eastAsia="zh-CN"/>
                    </w:rPr>
                  </w:pPr>
                  <w:r>
                    <w:rPr>
                      <w:rFonts w:hint="eastAsia"/>
                      <w:color w:val="000000"/>
                      <w:lang w:val="en-US" w:eastAsia="zh-CN"/>
                    </w:rPr>
                    <w:t>东侧</w:t>
                  </w:r>
                </w:p>
              </w:tc>
              <w:tc>
                <w:tcPr>
                  <w:tcW w:w="1065" w:type="dxa"/>
                  <w:tcBorders>
                    <w:top w:val="single" w:color="auto" w:sz="12" w:space="0"/>
                    <w:tl2br w:val="nil"/>
                    <w:tr2bl w:val="nil"/>
                  </w:tcBorders>
                  <w:noWrap w:val="0"/>
                  <w:vAlign w:val="center"/>
                </w:tcPr>
                <w:p w14:paraId="3D455A23">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color w:val="000000"/>
                      <w:lang w:val="en-US" w:eastAsia="zh-CN"/>
                    </w:rPr>
                  </w:pPr>
                  <w:r>
                    <w:rPr>
                      <w:rFonts w:hint="eastAsia"/>
                      <w:color w:val="000000"/>
                      <w:lang w:val="en-US" w:eastAsia="zh-CN"/>
                    </w:rPr>
                    <w:t>14</w:t>
                  </w:r>
                </w:p>
              </w:tc>
              <w:tc>
                <w:tcPr>
                  <w:tcW w:w="1379" w:type="dxa"/>
                  <w:tcBorders>
                    <w:top w:val="single" w:color="auto" w:sz="12" w:space="0"/>
                    <w:tl2br w:val="nil"/>
                    <w:tr2bl w:val="nil"/>
                  </w:tcBorders>
                  <w:noWrap w:val="0"/>
                  <w:vAlign w:val="center"/>
                </w:tcPr>
                <w:p w14:paraId="6CFA86D1">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color w:val="000000"/>
                      <w:lang w:val="en-US" w:eastAsia="zh-CN"/>
                    </w:rPr>
                  </w:pPr>
                  <w:r>
                    <w:rPr>
                      <w:rFonts w:hint="eastAsia"/>
                      <w:color w:val="000000"/>
                      <w:lang w:eastAsia="zh-CN"/>
                    </w:rPr>
                    <w:t>居民区</w:t>
                  </w:r>
                </w:p>
              </w:tc>
              <w:tc>
                <w:tcPr>
                  <w:tcW w:w="2385" w:type="dxa"/>
                  <w:vMerge w:val="restart"/>
                  <w:tcBorders>
                    <w:top w:val="single" w:color="auto" w:sz="12" w:space="0"/>
                    <w:tl2br w:val="nil"/>
                    <w:tr2bl w:val="nil"/>
                  </w:tcBorders>
                  <w:noWrap w:val="0"/>
                  <w:vAlign w:val="center"/>
                </w:tcPr>
                <w:p w14:paraId="0A632FAF">
                  <w:pPr>
                    <w:keepNext w:val="0"/>
                    <w:keepLines w:val="0"/>
                    <w:pageBreakBefore w:val="0"/>
                    <w:widowControl w:val="0"/>
                    <w:kinsoku/>
                    <w:wordWrap/>
                    <w:overflowPunct/>
                    <w:topLinePunct w:val="0"/>
                    <w:bidi w:val="0"/>
                    <w:spacing w:line="240" w:lineRule="auto"/>
                    <w:ind w:firstLine="0" w:firstLineChars="0"/>
                    <w:textAlignment w:val="auto"/>
                    <w:rPr>
                      <w:color w:val="000000"/>
                    </w:rPr>
                  </w:pPr>
                  <w:r>
                    <w:rPr>
                      <w:rFonts w:hint="eastAsia"/>
                      <w:color w:val="000000"/>
                    </w:rPr>
                    <w:t>《环境空气质量标准》（</w:t>
                  </w:r>
                  <w:r>
                    <w:rPr>
                      <w:color w:val="000000"/>
                    </w:rPr>
                    <w:t>GB3095-2012</w:t>
                  </w:r>
                  <w:r>
                    <w:rPr>
                      <w:rFonts w:hint="eastAsia"/>
                      <w:color w:val="000000"/>
                    </w:rPr>
                    <w:t>）</w:t>
                  </w:r>
                  <w:r>
                    <w:rPr>
                      <w:rFonts w:hint="eastAsia"/>
                      <w:color w:val="000000"/>
                      <w:lang w:val="en-US" w:eastAsia="zh-CN"/>
                    </w:rPr>
                    <w:t>及其修改单</w:t>
                  </w:r>
                  <w:r>
                    <w:rPr>
                      <w:rFonts w:hint="eastAsia"/>
                      <w:color w:val="000000"/>
                    </w:rPr>
                    <w:t>中的二</w:t>
                  </w:r>
                  <w:r>
                    <w:rPr>
                      <w:color w:val="000000"/>
                    </w:rPr>
                    <w:t>类功能区</w:t>
                  </w:r>
                </w:p>
              </w:tc>
            </w:tr>
            <w:tr w14:paraId="499775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900" w:type="dxa"/>
                  <w:vMerge w:val="continue"/>
                  <w:tcBorders>
                    <w:tl2br w:val="nil"/>
                    <w:tr2bl w:val="nil"/>
                  </w:tcBorders>
                  <w:noWrap w:val="0"/>
                  <w:vAlign w:val="center"/>
                </w:tcPr>
                <w:p w14:paraId="19ED1B08">
                  <w:pPr>
                    <w:keepNext w:val="0"/>
                    <w:keepLines w:val="0"/>
                    <w:pageBreakBefore w:val="0"/>
                    <w:widowControl w:val="0"/>
                    <w:kinsoku/>
                    <w:wordWrap/>
                    <w:overflowPunct/>
                    <w:topLinePunct w:val="0"/>
                    <w:bidi w:val="0"/>
                    <w:spacing w:line="240" w:lineRule="auto"/>
                    <w:ind w:firstLine="0" w:firstLineChars="0"/>
                    <w:textAlignment w:val="auto"/>
                    <w:rPr>
                      <w:rFonts w:hint="eastAsia"/>
                      <w:color w:val="000000"/>
                    </w:rPr>
                  </w:pPr>
                </w:p>
              </w:tc>
              <w:tc>
                <w:tcPr>
                  <w:tcW w:w="1088" w:type="dxa"/>
                  <w:tcBorders>
                    <w:tl2br w:val="nil"/>
                    <w:tr2bl w:val="nil"/>
                  </w:tcBorders>
                  <w:noWrap w:val="0"/>
                  <w:vAlign w:val="center"/>
                </w:tcPr>
                <w:p w14:paraId="367172C3">
                  <w:pPr>
                    <w:pStyle w:val="15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olor w:val="000000"/>
                      <w:lang w:val="en-US" w:eastAsia="zh-CN"/>
                    </w:rPr>
                  </w:pPr>
                  <w:r>
                    <w:rPr>
                      <w:rFonts w:hint="eastAsia"/>
                      <w:color w:val="000000"/>
                      <w:kern w:val="2"/>
                      <w:sz w:val="21"/>
                      <w:szCs w:val="21"/>
                      <w:highlight w:val="none"/>
                      <w:lang w:val="en-US" w:eastAsia="zh-CN" w:bidi="ar-SA"/>
                    </w:rPr>
                    <w:t>闽清县第三中学</w:t>
                  </w:r>
                </w:p>
              </w:tc>
              <w:tc>
                <w:tcPr>
                  <w:tcW w:w="1120" w:type="dxa"/>
                  <w:tcBorders>
                    <w:tl2br w:val="nil"/>
                    <w:tr2bl w:val="nil"/>
                  </w:tcBorders>
                  <w:noWrap w:val="0"/>
                  <w:vAlign w:val="center"/>
                </w:tcPr>
                <w:p w14:paraId="5F707E42">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color w:val="000000"/>
                      <w:lang w:val="en-US" w:eastAsia="zh-CN"/>
                    </w:rPr>
                  </w:pPr>
                  <w:r>
                    <w:rPr>
                      <w:rFonts w:hint="eastAsia"/>
                      <w:color w:val="000000"/>
                      <w:lang w:val="en-US" w:eastAsia="zh-CN"/>
                    </w:rPr>
                    <w:t>东南侧</w:t>
                  </w:r>
                </w:p>
              </w:tc>
              <w:tc>
                <w:tcPr>
                  <w:tcW w:w="1065" w:type="dxa"/>
                  <w:tcBorders>
                    <w:tl2br w:val="nil"/>
                    <w:tr2bl w:val="nil"/>
                  </w:tcBorders>
                  <w:noWrap w:val="0"/>
                  <w:vAlign w:val="center"/>
                </w:tcPr>
                <w:p w14:paraId="6C851320">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color w:val="000000"/>
                      <w:lang w:val="en-US" w:eastAsia="zh-CN"/>
                    </w:rPr>
                  </w:pPr>
                  <w:r>
                    <w:rPr>
                      <w:rFonts w:hint="eastAsia"/>
                      <w:color w:val="000000"/>
                      <w:lang w:val="en-US" w:eastAsia="zh-CN"/>
                    </w:rPr>
                    <w:t>236</w:t>
                  </w:r>
                </w:p>
              </w:tc>
              <w:tc>
                <w:tcPr>
                  <w:tcW w:w="1379" w:type="dxa"/>
                  <w:tcBorders>
                    <w:tl2br w:val="nil"/>
                    <w:tr2bl w:val="nil"/>
                  </w:tcBorders>
                  <w:noWrap w:val="0"/>
                  <w:vAlign w:val="center"/>
                </w:tcPr>
                <w:p w14:paraId="7198E7C8">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color w:val="000000"/>
                      <w:lang w:val="en-US" w:eastAsia="zh-CN"/>
                    </w:rPr>
                  </w:pPr>
                  <w:r>
                    <w:rPr>
                      <w:rFonts w:hint="eastAsia"/>
                      <w:color w:val="000000"/>
                      <w:lang w:eastAsia="zh-CN"/>
                    </w:rPr>
                    <w:t>居民区</w:t>
                  </w:r>
                </w:p>
              </w:tc>
              <w:tc>
                <w:tcPr>
                  <w:tcW w:w="2385" w:type="dxa"/>
                  <w:vMerge w:val="continue"/>
                  <w:tcBorders>
                    <w:tl2br w:val="nil"/>
                    <w:tr2bl w:val="nil"/>
                  </w:tcBorders>
                  <w:noWrap w:val="0"/>
                  <w:vAlign w:val="center"/>
                </w:tcPr>
                <w:p w14:paraId="3B879DBE">
                  <w:pPr>
                    <w:keepNext w:val="0"/>
                    <w:keepLines w:val="0"/>
                    <w:pageBreakBefore w:val="0"/>
                    <w:widowControl w:val="0"/>
                    <w:kinsoku/>
                    <w:wordWrap/>
                    <w:overflowPunct/>
                    <w:topLinePunct w:val="0"/>
                    <w:bidi w:val="0"/>
                    <w:spacing w:line="240" w:lineRule="auto"/>
                    <w:ind w:firstLine="0" w:firstLineChars="0"/>
                    <w:textAlignment w:val="auto"/>
                    <w:rPr>
                      <w:rFonts w:hint="eastAsia"/>
                      <w:color w:val="000000"/>
                    </w:rPr>
                  </w:pPr>
                </w:p>
              </w:tc>
            </w:tr>
            <w:tr w14:paraId="25CE6F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900" w:type="dxa"/>
                  <w:tcBorders>
                    <w:tl2br w:val="nil"/>
                    <w:tr2bl w:val="nil"/>
                  </w:tcBorders>
                  <w:noWrap w:val="0"/>
                  <w:vAlign w:val="center"/>
                </w:tcPr>
                <w:p w14:paraId="20463FDE">
                  <w:pPr>
                    <w:keepNext w:val="0"/>
                    <w:keepLines w:val="0"/>
                    <w:pageBreakBefore w:val="0"/>
                    <w:widowControl w:val="0"/>
                    <w:kinsoku/>
                    <w:wordWrap/>
                    <w:overflowPunct/>
                    <w:topLinePunct w:val="0"/>
                    <w:bidi w:val="0"/>
                    <w:spacing w:line="240" w:lineRule="auto"/>
                    <w:ind w:firstLine="0" w:firstLineChars="0"/>
                    <w:textAlignment w:val="auto"/>
                    <w:rPr>
                      <w:rFonts w:hint="eastAsia" w:eastAsia="宋体"/>
                      <w:color w:val="000000"/>
                      <w:kern w:val="2"/>
                      <w:sz w:val="21"/>
                      <w:szCs w:val="24"/>
                      <w:lang w:val="en-US" w:eastAsia="zh-CN" w:bidi="ar-SA"/>
                    </w:rPr>
                  </w:pPr>
                  <w:r>
                    <w:rPr>
                      <w:rFonts w:hint="eastAsia"/>
                      <w:color w:val="000000"/>
                      <w:lang w:val="en-US" w:eastAsia="zh-CN"/>
                    </w:rPr>
                    <w:t>声环境</w:t>
                  </w:r>
                </w:p>
              </w:tc>
              <w:tc>
                <w:tcPr>
                  <w:tcW w:w="1088" w:type="dxa"/>
                  <w:tcBorders>
                    <w:tl2br w:val="nil"/>
                    <w:tr2bl w:val="nil"/>
                  </w:tcBorders>
                  <w:noWrap w:val="0"/>
                  <w:vAlign w:val="center"/>
                </w:tcPr>
                <w:p w14:paraId="1153AF87">
                  <w:pPr>
                    <w:pStyle w:val="15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olor w:val="000000"/>
                      <w:kern w:val="2"/>
                      <w:sz w:val="21"/>
                      <w:szCs w:val="21"/>
                      <w:lang w:val="en-US" w:eastAsia="zh-CN" w:bidi="ar-SA"/>
                    </w:rPr>
                  </w:pPr>
                  <w:r>
                    <w:rPr>
                      <w:rFonts w:hint="eastAsia"/>
                      <w:color w:val="000000"/>
                      <w:lang w:val="en-US" w:eastAsia="zh-CN"/>
                    </w:rPr>
                    <w:t>丽山村</w:t>
                  </w:r>
                </w:p>
              </w:tc>
              <w:tc>
                <w:tcPr>
                  <w:tcW w:w="1120" w:type="dxa"/>
                  <w:tcBorders>
                    <w:tl2br w:val="nil"/>
                    <w:tr2bl w:val="nil"/>
                  </w:tcBorders>
                  <w:noWrap w:val="0"/>
                  <w:vAlign w:val="center"/>
                </w:tcPr>
                <w:p w14:paraId="0A54E510">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color w:val="000000"/>
                      <w:kern w:val="2"/>
                      <w:sz w:val="21"/>
                      <w:szCs w:val="24"/>
                      <w:lang w:val="en-US" w:eastAsia="zh-CN" w:bidi="ar-SA"/>
                    </w:rPr>
                  </w:pPr>
                  <w:r>
                    <w:rPr>
                      <w:rFonts w:hint="eastAsia"/>
                      <w:color w:val="000000"/>
                      <w:lang w:val="en-US" w:eastAsia="zh-CN"/>
                    </w:rPr>
                    <w:t>东侧</w:t>
                  </w:r>
                </w:p>
              </w:tc>
              <w:tc>
                <w:tcPr>
                  <w:tcW w:w="1065" w:type="dxa"/>
                  <w:tcBorders>
                    <w:tl2br w:val="nil"/>
                    <w:tr2bl w:val="nil"/>
                  </w:tcBorders>
                  <w:noWrap w:val="0"/>
                  <w:vAlign w:val="center"/>
                </w:tcPr>
                <w:p w14:paraId="2D57AC39">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color w:val="000000"/>
                      <w:kern w:val="2"/>
                      <w:sz w:val="21"/>
                      <w:szCs w:val="24"/>
                      <w:lang w:val="en-US" w:eastAsia="zh-CN" w:bidi="ar-SA"/>
                    </w:rPr>
                  </w:pPr>
                  <w:r>
                    <w:rPr>
                      <w:rFonts w:hint="eastAsia"/>
                      <w:color w:val="000000"/>
                      <w:lang w:val="en-US" w:eastAsia="zh-CN"/>
                    </w:rPr>
                    <w:t>14</w:t>
                  </w:r>
                </w:p>
              </w:tc>
              <w:tc>
                <w:tcPr>
                  <w:tcW w:w="1379" w:type="dxa"/>
                  <w:tcBorders>
                    <w:tl2br w:val="nil"/>
                    <w:tr2bl w:val="nil"/>
                  </w:tcBorders>
                  <w:noWrap w:val="0"/>
                  <w:vAlign w:val="center"/>
                </w:tcPr>
                <w:p w14:paraId="3C411031">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color w:val="000000"/>
                      <w:kern w:val="2"/>
                      <w:sz w:val="21"/>
                      <w:szCs w:val="24"/>
                      <w:lang w:val="en-US" w:eastAsia="zh-CN" w:bidi="ar-SA"/>
                    </w:rPr>
                  </w:pPr>
                  <w:r>
                    <w:rPr>
                      <w:rFonts w:hint="eastAsia"/>
                      <w:color w:val="000000"/>
                      <w:lang w:eastAsia="zh-CN"/>
                    </w:rPr>
                    <w:t>居民区</w:t>
                  </w:r>
                </w:p>
              </w:tc>
              <w:tc>
                <w:tcPr>
                  <w:tcW w:w="2385" w:type="dxa"/>
                  <w:tcBorders>
                    <w:tl2br w:val="nil"/>
                    <w:tr2bl w:val="nil"/>
                  </w:tcBorders>
                  <w:noWrap w:val="0"/>
                  <w:vAlign w:val="center"/>
                </w:tcPr>
                <w:p w14:paraId="332B4261">
                  <w:pPr>
                    <w:keepNext w:val="0"/>
                    <w:keepLines w:val="0"/>
                    <w:pageBreakBefore w:val="0"/>
                    <w:widowControl w:val="0"/>
                    <w:kinsoku/>
                    <w:wordWrap/>
                    <w:overflowPunct/>
                    <w:topLinePunct w:val="0"/>
                    <w:bidi w:val="0"/>
                    <w:spacing w:line="240" w:lineRule="auto"/>
                    <w:ind w:firstLine="0" w:firstLineChars="0"/>
                    <w:textAlignment w:val="auto"/>
                    <w:rPr>
                      <w:rFonts w:hint="eastAsia"/>
                      <w:color w:val="000000"/>
                      <w:kern w:val="2"/>
                      <w:sz w:val="21"/>
                      <w:szCs w:val="24"/>
                      <w:lang w:val="en-US" w:eastAsia="zh-CN" w:bidi="ar-SA"/>
                    </w:rPr>
                  </w:pPr>
                  <w:r>
                    <w:rPr>
                      <w:color w:val="000000"/>
                    </w:rPr>
                    <w:t>GB3096-2008《声环境质量标准》</w:t>
                  </w:r>
                  <w:r>
                    <w:rPr>
                      <w:rFonts w:hint="eastAsia"/>
                      <w:color w:val="000000"/>
                      <w:lang w:val="en-US" w:eastAsia="zh-CN"/>
                    </w:rPr>
                    <w:t>2类标准</w:t>
                  </w:r>
                </w:p>
              </w:tc>
            </w:tr>
            <w:tr w14:paraId="18FD34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900" w:type="dxa"/>
                  <w:tcBorders>
                    <w:tl2br w:val="nil"/>
                    <w:tr2bl w:val="nil"/>
                  </w:tcBorders>
                  <w:noWrap w:val="0"/>
                  <w:vAlign w:val="center"/>
                </w:tcPr>
                <w:p w14:paraId="40D3C3F9">
                  <w:pPr>
                    <w:ind w:firstLine="0" w:firstLineChars="0"/>
                    <w:rPr>
                      <w:color w:val="000000"/>
                      <w:lang w:val="en-US" w:eastAsia="zh-CN"/>
                    </w:rPr>
                  </w:pPr>
                  <w:r>
                    <w:rPr>
                      <w:rFonts w:hint="eastAsia"/>
                      <w:color w:val="000000"/>
                      <w:lang w:val="en-US" w:eastAsia="zh-CN"/>
                    </w:rPr>
                    <w:t>地下水</w:t>
                  </w:r>
                  <w:r>
                    <w:rPr>
                      <w:rFonts w:hint="eastAsia"/>
                      <w:color w:val="000000"/>
                    </w:rPr>
                    <w:t>水</w:t>
                  </w:r>
                  <w:r>
                    <w:rPr>
                      <w:color w:val="000000"/>
                    </w:rPr>
                    <w:t>环境</w:t>
                  </w:r>
                </w:p>
              </w:tc>
              <w:tc>
                <w:tcPr>
                  <w:tcW w:w="7037" w:type="dxa"/>
                  <w:gridSpan w:val="5"/>
                  <w:tcBorders>
                    <w:tl2br w:val="nil"/>
                    <w:tr2bl w:val="nil"/>
                  </w:tcBorders>
                  <w:noWrap w:val="0"/>
                  <w:vAlign w:val="center"/>
                </w:tcPr>
                <w:p w14:paraId="24EDA7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olor w:val="000000"/>
                    </w:rPr>
                  </w:pPr>
                  <w:r>
                    <w:rPr>
                      <w:rFonts w:hint="eastAsia"/>
                      <w:color w:val="000000"/>
                      <w:lang w:val="en-US" w:eastAsia="zh-CN"/>
                    </w:rPr>
                    <w:t>项目周边厂界外500米范围内不涉及地下水集中式饮用水水源和热水、矿泉水、温泉等特殊地下水资源</w:t>
                  </w:r>
                </w:p>
              </w:tc>
            </w:tr>
            <w:tr w14:paraId="1E079B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900" w:type="dxa"/>
                  <w:tcBorders>
                    <w:tl2br w:val="nil"/>
                    <w:tr2bl w:val="nil"/>
                  </w:tcBorders>
                  <w:noWrap w:val="0"/>
                  <w:vAlign w:val="center"/>
                </w:tcPr>
                <w:p w14:paraId="437B3DE6">
                  <w:pPr>
                    <w:jc w:val="center"/>
                    <w:rPr>
                      <w:rFonts w:hint="eastAsia"/>
                      <w:color w:val="000000"/>
                      <w:lang w:val="en-US" w:eastAsia="zh-CN"/>
                    </w:rPr>
                  </w:pPr>
                  <w:r>
                    <w:rPr>
                      <w:rFonts w:hint="eastAsia"/>
                      <w:color w:val="000000"/>
                    </w:rPr>
                    <w:t>生态环境</w:t>
                  </w:r>
                </w:p>
              </w:tc>
              <w:tc>
                <w:tcPr>
                  <w:tcW w:w="7037" w:type="dxa"/>
                  <w:gridSpan w:val="5"/>
                  <w:tcBorders>
                    <w:tl2br w:val="nil"/>
                    <w:tr2bl w:val="nil"/>
                  </w:tcBorders>
                  <w:noWrap w:val="0"/>
                  <w:vAlign w:val="center"/>
                </w:tcPr>
                <w:p w14:paraId="60FEA993">
                  <w:pPr>
                    <w:pStyle w:val="160"/>
                    <w:rPr>
                      <w:rFonts w:hint="eastAsia"/>
                      <w:color w:val="000000"/>
                      <w:lang w:val="en-US" w:eastAsia="zh-CN"/>
                    </w:rPr>
                  </w:pPr>
                  <w:r>
                    <w:rPr>
                      <w:rFonts w:hint="eastAsia"/>
                      <w:color w:val="000000"/>
                    </w:rPr>
                    <w:t>本项目不涉及生态环境保护目标</w:t>
                  </w:r>
                </w:p>
              </w:tc>
            </w:tr>
          </w:tbl>
          <w:p w14:paraId="07C5EA34">
            <w:pPr>
              <w:pStyle w:val="4"/>
              <w:bidi w:val="0"/>
              <w:rPr>
                <w:rFonts w:hint="default"/>
                <w:lang w:val="en-US" w:eastAsia="zh-CN"/>
              </w:rPr>
            </w:pPr>
            <w:r>
              <w:rPr>
                <w:rFonts w:hint="eastAsia"/>
                <w:lang w:val="en-US" w:eastAsia="zh-CN"/>
              </w:rPr>
              <w:t>生态环境保护目标</w:t>
            </w:r>
          </w:p>
          <w:p w14:paraId="280469C2">
            <w:pPr>
              <w:pStyle w:val="9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ascii="宋体" w:hAnsi="宋体" w:cs="宋体"/>
                <w:color w:val="000000" w:themeColor="text1"/>
                <w:kern w:val="0"/>
                <w:szCs w:val="21"/>
                <w:highlight w:val="none"/>
                <w14:textFill>
                  <w14:solidFill>
                    <w14:schemeClr w14:val="tx1"/>
                  </w14:solidFill>
                </w14:textFill>
              </w:rPr>
            </w:pPr>
            <w:r>
              <w:rPr>
                <w:rFonts w:hint="eastAsia" w:ascii="Times New Roman" w:hAnsi="Times New Roman" w:eastAsia="宋体" w:cs="宋体"/>
                <w:color w:val="000000" w:themeColor="text1"/>
                <w:kern w:val="0"/>
                <w:sz w:val="24"/>
                <w:szCs w:val="20"/>
                <w:highlight w:val="none"/>
                <w:lang w:val="en-US" w:eastAsia="zh-CN" w:bidi="ar-SA"/>
                <w14:textFill>
                  <w14:solidFill>
                    <w14:schemeClr w14:val="tx1"/>
                  </w14:solidFill>
                </w14:textFill>
              </w:rPr>
              <w:t>根据《建设项目环境影响报告表编制技术指南(污染影响类)(试行)》(环办环评〔2020〕33号)“产业园区外建设项目新增用地的，应明确新增用地范围内生态环境保护目标”。本项目位于</w:t>
            </w:r>
            <w:r>
              <w:rPr>
                <w:rFonts w:hint="eastAsia" w:ascii="Times New Roman" w:hAnsi="Times New Roman" w:cs="宋体"/>
                <w:color w:val="000000" w:themeColor="text1"/>
                <w:kern w:val="0"/>
                <w:sz w:val="24"/>
                <w:szCs w:val="20"/>
                <w:highlight w:val="none"/>
                <w:lang w:val="en-US" w:eastAsia="zh-CN" w:bidi="ar-SA"/>
                <w14:textFill>
                  <w14:solidFill>
                    <w14:schemeClr w14:val="tx1"/>
                  </w14:solidFill>
                </w14:textFill>
              </w:rPr>
              <w:t>闽清县池园镇丽山村丽山498号</w:t>
            </w:r>
            <w:r>
              <w:rPr>
                <w:rFonts w:hint="eastAsia" w:ascii="Times New Roman" w:hAnsi="Times New Roman" w:eastAsia="宋体" w:cs="宋体"/>
                <w:color w:val="000000" w:themeColor="text1"/>
                <w:kern w:val="0"/>
                <w:sz w:val="24"/>
                <w:szCs w:val="20"/>
                <w:highlight w:val="none"/>
                <w:lang w:val="en-US" w:eastAsia="zh-CN" w:bidi="ar-SA"/>
                <w14:textFill>
                  <w14:solidFill>
                    <w14:schemeClr w14:val="tx1"/>
                  </w14:solidFill>
                </w14:textFill>
              </w:rPr>
              <w:t>内，根据调查，项目评价区域主要植被为草坪、行道树等景观树种，主要动物为常见的蛙类、鸟类和昆虫类等，评价区域内无珍稀濒危物种、自然保护区、风景名胜区等生态敏感目标，调查区域也未发现国家重点保护的野生动植物等。</w:t>
            </w:r>
          </w:p>
        </w:tc>
      </w:tr>
      <w:tr w14:paraId="6265E7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00" w:type="dxa"/>
            <w:tcMar>
              <w:left w:w="28" w:type="dxa"/>
              <w:right w:w="28" w:type="dxa"/>
            </w:tcMar>
            <w:vAlign w:val="center"/>
          </w:tcPr>
          <w:p w14:paraId="0562F830">
            <w:pPr>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污染</w:t>
            </w:r>
          </w:p>
          <w:p w14:paraId="6FF9B220">
            <w:pPr>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物排</w:t>
            </w:r>
          </w:p>
          <w:p w14:paraId="661F6F87">
            <w:pPr>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放控</w:t>
            </w:r>
          </w:p>
          <w:p w14:paraId="73023F50">
            <w:pPr>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制标</w:t>
            </w:r>
          </w:p>
          <w:p w14:paraId="3E54C10E">
            <w:pPr>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准</w:t>
            </w:r>
          </w:p>
        </w:tc>
        <w:tc>
          <w:tcPr>
            <w:tcW w:w="8190" w:type="dxa"/>
            <w:vAlign w:val="center"/>
          </w:tcPr>
          <w:p w14:paraId="300FDED1">
            <w:pPr>
              <w:pStyle w:val="3"/>
              <w:numPr>
                <w:ilvl w:val="1"/>
                <w:numId w:val="1"/>
              </w:numPr>
              <w:bidi w:val="0"/>
              <w:ind w:left="0" w:leftChars="0" w:firstLine="0" w:firstLineChars="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污染物排放控制标准</w:t>
            </w:r>
          </w:p>
          <w:p w14:paraId="4945D4BD">
            <w:pPr>
              <w:pStyle w:val="4"/>
              <w:numPr>
                <w:ilvl w:val="2"/>
                <w:numId w:val="1"/>
              </w:numPr>
              <w:bidi w:val="0"/>
              <w:ind w:left="720" w:leftChars="0" w:hanging="720" w:firstLineChars="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废气排放标准</w:t>
            </w:r>
          </w:p>
          <w:p w14:paraId="603450E9">
            <w:pPr>
              <w:pStyle w:val="44"/>
              <w:keepNext w:val="0"/>
              <w:keepLines w:val="0"/>
              <w:pageBreakBefore w:val="0"/>
              <w:widowControl w:val="0"/>
              <w:kinsoku/>
              <w:wordWrap/>
              <w:overflowPunct/>
              <w:topLinePunct w:val="0"/>
              <w:autoSpaceDE w:val="0"/>
              <w:autoSpaceDN w:val="0"/>
              <w:bidi w:val="0"/>
              <w:adjustRightInd/>
              <w:snapToGrid/>
              <w:spacing w:before="157" w:beforeLines="50"/>
              <w:textAlignment w:val="auto"/>
              <w:rPr>
                <w:rFonts w:hint="default" w:ascii="Times New Roman" w:hAnsi="Times New Roman" w:eastAsia="宋体" w:cs="宋体"/>
                <w:color w:val="000000" w:themeColor="text1"/>
                <w:kern w:val="0"/>
                <w:sz w:val="24"/>
                <w:szCs w:val="20"/>
                <w:highlight w:val="none"/>
                <w:lang w:val="en-US" w:eastAsia="zh-CN" w:bidi="ar-SA"/>
                <w14:textFill>
                  <w14:solidFill>
                    <w14:schemeClr w14:val="tx1"/>
                  </w14:solidFill>
                </w14:textFill>
              </w:rPr>
            </w:pPr>
            <w:bookmarkStart w:id="34" w:name="_Ref11732"/>
            <w:r>
              <w:rPr>
                <w:rFonts w:hint="default" w:ascii="Times New Roman" w:hAnsi="Times New Roman" w:eastAsia="宋体" w:cs="宋体"/>
                <w:color w:val="000000" w:themeColor="text1"/>
                <w:kern w:val="0"/>
                <w:sz w:val="24"/>
                <w:szCs w:val="20"/>
                <w:highlight w:val="none"/>
                <w:lang w:val="en-US" w:eastAsia="zh-CN" w:bidi="ar-SA"/>
                <w14:textFill>
                  <w14:solidFill>
                    <w14:schemeClr w14:val="tx1"/>
                  </w14:solidFill>
                </w14:textFill>
              </w:rPr>
              <w:t>项目</w:t>
            </w:r>
            <w:r>
              <w:rPr>
                <w:rFonts w:hint="eastAsia" w:cs="宋体"/>
                <w:color w:val="000000" w:themeColor="text1"/>
                <w:kern w:val="0"/>
                <w:sz w:val="24"/>
                <w:szCs w:val="20"/>
                <w:highlight w:val="none"/>
                <w:lang w:val="en-US" w:eastAsia="zh-CN" w:bidi="ar-SA"/>
                <w14:textFill>
                  <w14:solidFill>
                    <w14:schemeClr w14:val="tx1"/>
                  </w14:solidFill>
                </w14:textFill>
              </w:rPr>
              <w:t>水泥、石灰、铝粉料仓呼吸孔</w:t>
            </w:r>
            <w:r>
              <w:rPr>
                <w:rFonts w:hint="default" w:ascii="Times New Roman" w:hAnsi="Times New Roman" w:eastAsia="宋体" w:cs="宋体"/>
                <w:color w:val="000000" w:themeColor="text1"/>
                <w:kern w:val="0"/>
                <w:sz w:val="24"/>
                <w:szCs w:val="20"/>
                <w:highlight w:val="none"/>
                <w:lang w:val="en-US" w:eastAsia="zh-CN" w:bidi="ar-SA"/>
                <w14:textFill>
                  <w14:solidFill>
                    <w14:schemeClr w14:val="tx1"/>
                  </w14:solidFill>
                </w14:textFill>
              </w:rPr>
              <w:t>主要污染物因子表征为颗粒物，</w:t>
            </w:r>
            <w:r>
              <w:rPr>
                <w:rFonts w:hint="eastAsia"/>
                <w:color w:val="000000"/>
                <w:lang w:val="en-US" w:eastAsia="zh-CN"/>
              </w:rPr>
              <w:t>无组织排放执行《水泥工业大气污染物排放标准》（GB 4915-2013）表3无组织排放浓度限值</w:t>
            </w:r>
            <w:r>
              <w:rPr>
                <w:rFonts w:hint="default" w:ascii="Times New Roman" w:hAnsi="Times New Roman" w:eastAsia="宋体" w:cs="宋体"/>
                <w:color w:val="000000" w:themeColor="text1"/>
                <w:kern w:val="0"/>
                <w:sz w:val="24"/>
                <w:szCs w:val="20"/>
                <w:highlight w:val="none"/>
                <w:lang w:val="en-US" w:eastAsia="zh-CN" w:bidi="ar-SA"/>
                <w14:textFill>
                  <w14:solidFill>
                    <w14:schemeClr w14:val="tx1"/>
                  </w14:solidFill>
                </w14:textFill>
              </w:rPr>
              <w:t>；项目</w:t>
            </w:r>
            <w:r>
              <w:rPr>
                <w:rFonts w:hint="eastAsia" w:cs="宋体"/>
                <w:color w:val="000000" w:themeColor="text1"/>
                <w:kern w:val="0"/>
                <w:sz w:val="24"/>
                <w:szCs w:val="20"/>
                <w:highlight w:val="none"/>
                <w:lang w:val="en-US" w:eastAsia="zh-CN" w:bidi="ar-SA"/>
                <w14:textFill>
                  <w14:solidFill>
                    <w14:schemeClr w14:val="tx1"/>
                  </w14:solidFill>
                </w14:textFill>
              </w:rPr>
              <w:t>燃生物质锅炉</w:t>
            </w:r>
            <w:r>
              <w:rPr>
                <w:rFonts w:hint="default" w:ascii="Times New Roman" w:hAnsi="Times New Roman" w:eastAsia="宋体" w:cs="宋体"/>
                <w:color w:val="000000" w:themeColor="text1"/>
                <w:kern w:val="0"/>
                <w:sz w:val="24"/>
                <w:szCs w:val="20"/>
                <w:highlight w:val="none"/>
                <w:lang w:val="en-US" w:eastAsia="zh-CN" w:bidi="ar-SA"/>
                <w14:textFill>
                  <w14:solidFill>
                    <w14:schemeClr w14:val="tx1"/>
                  </w14:solidFill>
                </w14:textFill>
              </w:rPr>
              <w:t>主要污染物因子表征为</w:t>
            </w:r>
            <w:r>
              <w:rPr>
                <w:rFonts w:hint="eastAsia" w:cs="宋体"/>
                <w:color w:val="000000" w:themeColor="text1"/>
                <w:kern w:val="0"/>
                <w:sz w:val="24"/>
                <w:szCs w:val="20"/>
                <w:highlight w:val="none"/>
                <w:lang w:val="en-US" w:eastAsia="zh-CN" w:bidi="ar-SA"/>
                <w14:textFill>
                  <w14:solidFill>
                    <w14:schemeClr w14:val="tx1"/>
                  </w14:solidFill>
                </w14:textFill>
              </w:rPr>
              <w:t>氮氧化物、二氧化硫、颗粒物</w:t>
            </w:r>
            <w:r>
              <w:rPr>
                <w:rFonts w:hint="default" w:ascii="Times New Roman" w:hAnsi="Times New Roman" w:eastAsia="宋体" w:cs="宋体"/>
                <w:color w:val="000000" w:themeColor="text1"/>
                <w:kern w:val="0"/>
                <w:sz w:val="24"/>
                <w:szCs w:val="20"/>
                <w:highlight w:val="none"/>
                <w:lang w:val="en-US" w:eastAsia="zh-CN" w:bidi="ar-SA"/>
                <w14:textFill>
                  <w14:solidFill>
                    <w14:schemeClr w14:val="tx1"/>
                  </w14:solidFill>
                </w14:textFill>
              </w:rPr>
              <w:t>，根据《关于全面推进锅炉污染整治促进清洁低碳转型的意见》（榕环保函〔2023〕136号），“2025年前，城市建成区外保留的燃油、燃生物质锅炉应配套污染治理设施，污染物排放应达到《锅炉大气污染物排放标准》（GB13271-2014）的特别排放限值要求（燃生物质锅炉参照燃煤锅炉执行）。”，经核实，项目不在建成区内，生物质锅炉燃料燃烧产生的SO</w:t>
            </w:r>
            <w:r>
              <w:rPr>
                <w:rFonts w:hint="default" w:ascii="Times New Roman" w:hAnsi="Times New Roman" w:eastAsia="宋体" w:cs="宋体"/>
                <w:color w:val="000000" w:themeColor="text1"/>
                <w:kern w:val="0"/>
                <w:sz w:val="24"/>
                <w:szCs w:val="20"/>
                <w:highlight w:val="none"/>
                <w:vertAlign w:val="subscript"/>
                <w:lang w:val="en-US" w:eastAsia="zh-CN" w:bidi="ar-SA"/>
                <w14:textFill>
                  <w14:solidFill>
                    <w14:schemeClr w14:val="tx1"/>
                  </w14:solidFill>
                </w14:textFill>
              </w:rPr>
              <w:t>2</w:t>
            </w:r>
            <w:r>
              <w:rPr>
                <w:rFonts w:hint="default" w:ascii="Times New Roman" w:hAnsi="Times New Roman" w:eastAsia="宋体" w:cs="宋体"/>
                <w:color w:val="000000" w:themeColor="text1"/>
                <w:kern w:val="0"/>
                <w:sz w:val="24"/>
                <w:szCs w:val="20"/>
                <w:highlight w:val="none"/>
                <w:lang w:val="en-US" w:eastAsia="zh-CN" w:bidi="ar-SA"/>
                <w14:textFill>
                  <w14:solidFill>
                    <w14:schemeClr w14:val="tx1"/>
                  </w14:solidFill>
                </w14:textFill>
              </w:rPr>
              <w:t>、NO</w:t>
            </w:r>
            <w:r>
              <w:rPr>
                <w:rFonts w:hint="default" w:ascii="Times New Roman" w:hAnsi="Times New Roman" w:eastAsia="宋体" w:cs="宋体"/>
                <w:color w:val="000000" w:themeColor="text1"/>
                <w:kern w:val="0"/>
                <w:sz w:val="24"/>
                <w:szCs w:val="20"/>
                <w:highlight w:val="none"/>
                <w:vertAlign w:val="subscript"/>
                <w:lang w:val="en-US" w:eastAsia="zh-CN" w:bidi="ar-SA"/>
                <w14:textFill>
                  <w14:solidFill>
                    <w14:schemeClr w14:val="tx1"/>
                  </w14:solidFill>
                </w14:textFill>
              </w:rPr>
              <w:t>X</w:t>
            </w:r>
            <w:r>
              <w:rPr>
                <w:rFonts w:hint="default" w:ascii="Times New Roman" w:hAnsi="Times New Roman" w:eastAsia="宋体" w:cs="宋体"/>
                <w:color w:val="000000" w:themeColor="text1"/>
                <w:kern w:val="0"/>
                <w:sz w:val="24"/>
                <w:szCs w:val="20"/>
                <w:highlight w:val="none"/>
                <w:lang w:val="en-US" w:eastAsia="zh-CN" w:bidi="ar-SA"/>
                <w14:textFill>
                  <w14:solidFill>
                    <w14:schemeClr w14:val="tx1"/>
                  </w14:solidFill>
                </w14:textFill>
              </w:rPr>
              <w:t>、颗粒物排放执行《锅炉大气污染物排放标准》（GB 13271-2014）中表3燃煤锅炉的特别排放限值；根据4.5“……，燃油、燃气锅炉烟囱不低于8米，锅炉烟囱的具体高度按批复的环境影响评价文件确定。新建锅炉房的烟囱周围半径200m距离内有建筑物时，其烟囱应高出最高建筑物3m以上”。标准详见表3.</w:t>
            </w:r>
            <w:r>
              <w:rPr>
                <w:rFonts w:hint="eastAsia" w:ascii="Times New Roman" w:hAnsi="Times New Roman" w:eastAsia="宋体" w:cs="宋体"/>
                <w:color w:val="000000" w:themeColor="text1"/>
                <w:kern w:val="0"/>
                <w:sz w:val="24"/>
                <w:szCs w:val="20"/>
                <w:highlight w:val="none"/>
                <w:lang w:val="en-US" w:eastAsia="zh-CN" w:bidi="ar-SA"/>
                <w14:textFill>
                  <w14:solidFill>
                    <w14:schemeClr w14:val="tx1"/>
                  </w14:solidFill>
                </w14:textFill>
              </w:rPr>
              <w:t>3</w:t>
            </w:r>
            <w:r>
              <w:rPr>
                <w:rFonts w:hint="default" w:ascii="Times New Roman" w:hAnsi="Times New Roman" w:eastAsia="宋体" w:cs="宋体"/>
                <w:color w:val="000000" w:themeColor="text1"/>
                <w:kern w:val="0"/>
                <w:sz w:val="24"/>
                <w:szCs w:val="20"/>
                <w:highlight w:val="none"/>
                <w:lang w:val="en-US" w:eastAsia="zh-CN" w:bidi="ar-SA"/>
                <w14:textFill>
                  <w14:solidFill>
                    <w14:schemeClr w14:val="tx1"/>
                  </w14:solidFill>
                </w14:textFill>
              </w:rPr>
              <w:t>-</w:t>
            </w:r>
            <w:r>
              <w:rPr>
                <w:rFonts w:hint="eastAsia" w:ascii="Times New Roman" w:hAnsi="Times New Roman" w:eastAsia="宋体" w:cs="宋体"/>
                <w:color w:val="000000" w:themeColor="text1"/>
                <w:kern w:val="0"/>
                <w:sz w:val="24"/>
                <w:szCs w:val="20"/>
                <w:highlight w:val="none"/>
                <w:lang w:val="en-US" w:eastAsia="zh-CN" w:bidi="ar-SA"/>
                <w14:textFill>
                  <w14:solidFill>
                    <w14:schemeClr w14:val="tx1"/>
                  </w14:solidFill>
                </w14:textFill>
              </w:rPr>
              <w:t>1</w:t>
            </w:r>
            <w:r>
              <w:rPr>
                <w:rFonts w:hint="default" w:ascii="Times New Roman" w:hAnsi="Times New Roman" w:eastAsia="宋体" w:cs="宋体"/>
                <w:color w:val="000000" w:themeColor="text1"/>
                <w:kern w:val="0"/>
                <w:sz w:val="24"/>
                <w:szCs w:val="20"/>
                <w:highlight w:val="none"/>
                <w:lang w:val="en-US" w:eastAsia="zh-CN" w:bidi="ar-SA"/>
                <w14:textFill>
                  <w14:solidFill>
                    <w14:schemeClr w14:val="tx1"/>
                  </w14:solidFill>
                </w14:textFill>
              </w:rPr>
              <w:t>。</w:t>
            </w:r>
          </w:p>
          <w:p w14:paraId="7841445F">
            <w:pPr>
              <w:pStyle w:val="42"/>
              <w:keepNext/>
              <w:keepLines/>
              <w:pageBreakBefore w:val="0"/>
              <w:widowControl w:val="0"/>
              <w:numPr>
                <w:ilvl w:val="7"/>
                <w:numId w:val="1"/>
              </w:numPr>
              <w:kinsoku/>
              <w:wordWrap/>
              <w:overflowPunct/>
              <w:topLinePunct w:val="0"/>
              <w:autoSpaceDE/>
              <w:autoSpaceDN/>
              <w:bidi w:val="0"/>
              <w:adjustRightInd/>
              <w:snapToGrid/>
              <w:spacing w:before="0" w:after="0"/>
              <w:ind w:left="630" w:leftChars="0" w:firstLine="0" w:firstLineChars="0"/>
              <w:textAlignment w:val="auto"/>
              <w:rPr>
                <w:rFonts w:hint="default" w:eastAsia="宋体" w:cs="宋体"/>
                <w:lang w:val="en-US" w:eastAsia="zh-CN"/>
              </w:rPr>
            </w:pPr>
            <w:r>
              <w:rPr>
                <w:rFonts w:hint="default" w:eastAsia="宋体" w:cs="宋体"/>
                <w:lang w:val="en-US" w:eastAsia="zh-CN"/>
              </w:rPr>
              <w:t>本项目废气排放标准</w:t>
            </w:r>
          </w:p>
          <w:tbl>
            <w:tblPr>
              <w:tblStyle w:val="84"/>
              <w:tblW w:w="8222" w:type="dxa"/>
              <w:tblInd w:w="9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20"/>
              <w:gridCol w:w="1543"/>
              <w:gridCol w:w="701"/>
              <w:gridCol w:w="701"/>
              <w:gridCol w:w="753"/>
              <w:gridCol w:w="1210"/>
              <w:gridCol w:w="2294"/>
            </w:tblGrid>
            <w:tr w14:paraId="0BF69C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8" w:hRule="atLeast"/>
              </w:trPr>
              <w:tc>
                <w:tcPr>
                  <w:tcW w:w="2563" w:type="dxa"/>
                  <w:gridSpan w:val="2"/>
                  <w:vMerge w:val="restart"/>
                  <w:tcBorders>
                    <w:tl2br w:val="nil"/>
                    <w:tr2bl w:val="nil"/>
                  </w:tcBorders>
                  <w:vAlign w:val="center"/>
                </w:tcPr>
                <w:p w14:paraId="3C8074D4">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b/>
                      <w:bCs/>
                      <w:spacing w:val="-3"/>
                      <w:sz w:val="21"/>
                    </w:rPr>
                    <w:t>污染物项目</w:t>
                  </w:r>
                </w:p>
              </w:tc>
              <w:tc>
                <w:tcPr>
                  <w:tcW w:w="2155" w:type="dxa"/>
                  <w:gridSpan w:val="3"/>
                  <w:tcBorders>
                    <w:tl2br w:val="nil"/>
                    <w:tr2bl w:val="nil"/>
                  </w:tcBorders>
                  <w:vAlign w:val="center"/>
                </w:tcPr>
                <w:p w14:paraId="7EE5F674">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b/>
                      <w:bCs/>
                      <w:spacing w:val="-3"/>
                      <w:sz w:val="21"/>
                    </w:rPr>
                    <w:t>限值（</w:t>
                  </w:r>
                  <w:r>
                    <w:rPr>
                      <w:rFonts w:ascii="Times New Roman" w:hAnsi="Times New Roman" w:eastAsia="宋体" w:cs="Times New Roman"/>
                      <w:b/>
                      <w:bCs/>
                      <w:spacing w:val="-3"/>
                      <w:sz w:val="21"/>
                    </w:rPr>
                    <w:t>mg/m</w:t>
                  </w:r>
                  <w:r>
                    <w:rPr>
                      <w:rFonts w:ascii="Times New Roman" w:hAnsi="Times New Roman" w:eastAsia="宋体" w:cs="Times New Roman"/>
                      <w:b/>
                      <w:bCs/>
                      <w:spacing w:val="-3"/>
                      <w:position w:val="6"/>
                      <w:sz w:val="21"/>
                      <w:szCs w:val="13"/>
                    </w:rPr>
                    <w:t>3</w:t>
                  </w:r>
                  <w:r>
                    <w:rPr>
                      <w:rFonts w:ascii="Times New Roman" w:hAnsi="Times New Roman" w:eastAsia="宋体"/>
                      <w:b/>
                      <w:bCs/>
                      <w:spacing w:val="-3"/>
                      <w:sz w:val="21"/>
                    </w:rPr>
                    <w:t>）</w:t>
                  </w:r>
                </w:p>
              </w:tc>
              <w:tc>
                <w:tcPr>
                  <w:tcW w:w="1210" w:type="dxa"/>
                  <w:vMerge w:val="restart"/>
                  <w:tcBorders>
                    <w:tl2br w:val="nil"/>
                    <w:tr2bl w:val="nil"/>
                  </w:tcBorders>
                  <w:vAlign w:val="center"/>
                </w:tcPr>
                <w:p w14:paraId="793C25AF">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b/>
                      <w:bCs/>
                      <w:spacing w:val="-3"/>
                      <w:sz w:val="21"/>
                    </w:rPr>
                    <w:t>污染物排放</w:t>
                  </w:r>
                  <w:r>
                    <w:rPr>
                      <w:rFonts w:ascii="Times New Roman" w:hAnsi="Times New Roman" w:eastAsia="宋体"/>
                      <w:b/>
                      <w:bCs/>
                      <w:spacing w:val="-4"/>
                      <w:sz w:val="21"/>
                    </w:rPr>
                    <w:t>监控位置</w:t>
                  </w:r>
                </w:p>
              </w:tc>
              <w:tc>
                <w:tcPr>
                  <w:tcW w:w="2294" w:type="dxa"/>
                  <w:vMerge w:val="restart"/>
                  <w:tcBorders>
                    <w:tl2br w:val="nil"/>
                    <w:tr2bl w:val="nil"/>
                  </w:tcBorders>
                  <w:vAlign w:val="center"/>
                </w:tcPr>
                <w:p w14:paraId="1656C913">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b/>
                      <w:bCs/>
                      <w:spacing w:val="-4"/>
                      <w:sz w:val="21"/>
                    </w:rPr>
                    <w:t>标准来源</w:t>
                  </w:r>
                </w:p>
              </w:tc>
            </w:tr>
            <w:tr w14:paraId="37FD9B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9" w:hRule="atLeast"/>
              </w:trPr>
              <w:tc>
                <w:tcPr>
                  <w:tcW w:w="2563" w:type="dxa"/>
                  <w:gridSpan w:val="2"/>
                  <w:vMerge w:val="continue"/>
                  <w:tcBorders>
                    <w:tl2br w:val="nil"/>
                    <w:tr2bl w:val="nil"/>
                  </w:tcBorders>
                  <w:vAlign w:val="center"/>
                </w:tcPr>
                <w:p w14:paraId="5B75754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p>
              </w:tc>
              <w:tc>
                <w:tcPr>
                  <w:tcW w:w="701" w:type="dxa"/>
                  <w:tcBorders>
                    <w:tl2br w:val="nil"/>
                    <w:tr2bl w:val="nil"/>
                  </w:tcBorders>
                  <w:shd w:val="clear" w:color="auto" w:fill="D7D7D7" w:themeFill="background1" w:themeFillShade="D8"/>
                  <w:vAlign w:val="center"/>
                </w:tcPr>
                <w:p w14:paraId="09CB7D7B">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b/>
                      <w:bCs/>
                      <w:spacing w:val="-4"/>
                      <w:sz w:val="21"/>
                    </w:rPr>
                    <w:t>燃煤</w:t>
                  </w:r>
                </w:p>
                <w:p w14:paraId="631CA396">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b/>
                      <w:bCs/>
                      <w:spacing w:val="-4"/>
                      <w:sz w:val="21"/>
                    </w:rPr>
                    <w:t>锅炉</w:t>
                  </w:r>
                </w:p>
              </w:tc>
              <w:tc>
                <w:tcPr>
                  <w:tcW w:w="701" w:type="dxa"/>
                  <w:tcBorders>
                    <w:tl2br w:val="nil"/>
                    <w:tr2bl w:val="nil"/>
                  </w:tcBorders>
                  <w:vAlign w:val="center"/>
                </w:tcPr>
                <w:p w14:paraId="03E8CDA9">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b/>
                      <w:bCs/>
                      <w:spacing w:val="-4"/>
                      <w:sz w:val="21"/>
                    </w:rPr>
                    <w:t>燃油</w:t>
                  </w:r>
                </w:p>
                <w:p w14:paraId="7C6543C2">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b/>
                      <w:bCs/>
                      <w:spacing w:val="-4"/>
                      <w:sz w:val="21"/>
                    </w:rPr>
                    <w:t>锅炉</w:t>
                  </w:r>
                </w:p>
              </w:tc>
              <w:tc>
                <w:tcPr>
                  <w:tcW w:w="753" w:type="dxa"/>
                  <w:tcBorders>
                    <w:tl2br w:val="nil"/>
                    <w:tr2bl w:val="nil"/>
                  </w:tcBorders>
                  <w:vAlign w:val="center"/>
                </w:tcPr>
                <w:p w14:paraId="67DB965A">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b/>
                      <w:bCs/>
                      <w:spacing w:val="-4"/>
                      <w:sz w:val="21"/>
                    </w:rPr>
                  </w:pPr>
                  <w:r>
                    <w:rPr>
                      <w:rFonts w:ascii="Times New Roman" w:hAnsi="Times New Roman" w:eastAsia="宋体"/>
                      <w:b/>
                      <w:bCs/>
                      <w:spacing w:val="-4"/>
                      <w:sz w:val="21"/>
                    </w:rPr>
                    <w:t>燃气</w:t>
                  </w:r>
                </w:p>
                <w:p w14:paraId="417434A2">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b/>
                      <w:bCs/>
                      <w:spacing w:val="-4"/>
                      <w:sz w:val="21"/>
                    </w:rPr>
                    <w:t>锅炉</w:t>
                  </w:r>
                </w:p>
              </w:tc>
              <w:tc>
                <w:tcPr>
                  <w:tcW w:w="1210" w:type="dxa"/>
                  <w:vMerge w:val="continue"/>
                  <w:tcBorders>
                    <w:tl2br w:val="nil"/>
                    <w:tr2bl w:val="nil"/>
                  </w:tcBorders>
                  <w:vAlign w:val="center"/>
                </w:tcPr>
                <w:p w14:paraId="57C5EEA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p>
              </w:tc>
              <w:tc>
                <w:tcPr>
                  <w:tcW w:w="2294" w:type="dxa"/>
                  <w:vMerge w:val="continue"/>
                  <w:tcBorders>
                    <w:tl2br w:val="nil"/>
                    <w:tr2bl w:val="nil"/>
                  </w:tcBorders>
                  <w:vAlign w:val="center"/>
                </w:tcPr>
                <w:p w14:paraId="66CC0BA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p>
              </w:tc>
            </w:tr>
            <w:tr w14:paraId="5B9338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4" w:hRule="atLeast"/>
              </w:trPr>
              <w:tc>
                <w:tcPr>
                  <w:tcW w:w="1020" w:type="dxa"/>
                  <w:vMerge w:val="restart"/>
                  <w:tcBorders>
                    <w:tl2br w:val="nil"/>
                    <w:tr2bl w:val="nil"/>
                  </w:tcBorders>
                  <w:vAlign w:val="center"/>
                </w:tcPr>
                <w:p w14:paraId="2E377563">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spacing w:val="-2"/>
                      <w:sz w:val="21"/>
                    </w:rPr>
                    <w:t>生物质锅炉燃</w:t>
                  </w:r>
                  <w:r>
                    <w:rPr>
                      <w:rFonts w:ascii="Times New Roman" w:hAnsi="Times New Roman" w:eastAsia="宋体"/>
                      <w:spacing w:val="-1"/>
                      <w:sz w:val="21"/>
                    </w:rPr>
                    <w:t>烧废气</w:t>
                  </w:r>
                </w:p>
              </w:tc>
              <w:tc>
                <w:tcPr>
                  <w:tcW w:w="1543" w:type="dxa"/>
                  <w:tcBorders>
                    <w:tl2br w:val="nil"/>
                    <w:tr2bl w:val="nil"/>
                  </w:tcBorders>
                  <w:vAlign w:val="center"/>
                </w:tcPr>
                <w:p w14:paraId="16AD62B0">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spacing w:val="-1"/>
                      <w:sz w:val="21"/>
                    </w:rPr>
                    <w:t>颗粒物</w:t>
                  </w:r>
                </w:p>
              </w:tc>
              <w:tc>
                <w:tcPr>
                  <w:tcW w:w="701" w:type="dxa"/>
                  <w:tcBorders>
                    <w:tl2br w:val="nil"/>
                    <w:tr2bl w:val="nil"/>
                  </w:tcBorders>
                  <w:shd w:val="clear" w:color="auto" w:fill="D7D7D7" w:themeFill="background1" w:themeFillShade="D8"/>
                  <w:vAlign w:val="center"/>
                </w:tcPr>
                <w:p w14:paraId="1BE39CF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position w:val="-4"/>
                      <w:sz w:val="21"/>
                    </w:rPr>
                    <mc:AlternateContent>
                      <mc:Choice Requires="wps">
                        <w:drawing>
                          <wp:inline distT="0" distB="0" distL="114300" distR="114300">
                            <wp:extent cx="134620" cy="152400"/>
                            <wp:effectExtent l="0" t="0" r="17780" b="0"/>
                            <wp:docPr id="134" name="文本框 134"/>
                            <wp:cNvGraphicFramePr/>
                            <a:graphic xmlns:a="http://schemas.openxmlformats.org/drawingml/2006/main">
                              <a:graphicData uri="http://schemas.microsoft.com/office/word/2010/wordprocessingShape">
                                <wps:wsp>
                                  <wps:cNvSpPr txBox="1"/>
                                  <wps:spPr>
                                    <a:xfrm>
                                      <a:off x="0" y="0"/>
                                      <a:ext cx="134620" cy="152400"/>
                                    </a:xfrm>
                                    <a:prstGeom prst="rect">
                                      <a:avLst/>
                                    </a:prstGeom>
                                    <a:solidFill>
                                      <a:srgbClr val="E5E5E5"/>
                                    </a:solidFill>
                                    <a:ln>
                                      <a:noFill/>
                                    </a:ln>
                                  </wps:spPr>
                                  <wps:txbx>
                                    <w:txbxContent>
                                      <w:p w14:paraId="6021CB2D">
                                        <w:pPr>
                                          <w:spacing w:before="51" w:line="187" w:lineRule="auto"/>
                                          <w:jc w:val="right"/>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30</w:t>
                                        </w:r>
                                      </w:p>
                                    </w:txbxContent>
                                  </wps:txbx>
                                  <wps:bodyPr lIns="0" tIns="0" rIns="0" bIns="0" upright="1"/>
                                </wps:wsp>
                              </a:graphicData>
                            </a:graphic>
                          </wp:inline>
                        </w:drawing>
                      </mc:Choice>
                      <mc:Fallback>
                        <w:pict>
                          <v:shape id="_x0000_s1026" o:spid="_x0000_s1026" o:spt="202" type="#_x0000_t202" style="height:12pt;width:10.6pt;" fillcolor="#E5E5E5" filled="t" stroked="f" coordsize="21600,21600" o:gfxdata="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JtVmi0QAAAAMBAAAPAAAAAAAAAAEAIAAAACIAAABkcnMv&#10;ZG93bnJldi54bWxQSwECFAAUAAAACACHTuJAHggCutEBAACeAwAADgAAAAAAAAABACAAAAAgAQAA&#10;ZHJzL2Uyb0RvYy54bWxQSwUGAAAAAAYABgBZAQAAYwUAAAAA&#10;">
                            <v:fill on="t" focussize="0,0"/>
                            <v:stroke on="f"/>
                            <v:imagedata o:title=""/>
                            <o:lock v:ext="edit" aspectratio="f"/>
                            <v:textbox inset="0mm,0mm,0mm,0mm">
                              <w:txbxContent>
                                <w:p w14:paraId="6021CB2D">
                                  <w:pPr>
                                    <w:spacing w:before="51" w:line="187" w:lineRule="auto"/>
                                    <w:jc w:val="right"/>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30</w:t>
                                  </w:r>
                                </w:p>
                              </w:txbxContent>
                            </v:textbox>
                            <w10:wrap type="none"/>
                            <w10:anchorlock/>
                          </v:shape>
                        </w:pict>
                      </mc:Fallback>
                    </mc:AlternateContent>
                  </w:r>
                </w:p>
              </w:tc>
              <w:tc>
                <w:tcPr>
                  <w:tcW w:w="701" w:type="dxa"/>
                  <w:tcBorders>
                    <w:tl2br w:val="nil"/>
                    <w:tr2bl w:val="nil"/>
                  </w:tcBorders>
                  <w:vAlign w:val="center"/>
                </w:tcPr>
                <w:p w14:paraId="16AFD1D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1"/>
                    </w:rPr>
                  </w:pPr>
                  <w:r>
                    <w:rPr>
                      <w:rFonts w:ascii="Times New Roman" w:hAnsi="Times New Roman" w:eastAsia="宋体" w:cs="Times New Roman"/>
                      <w:spacing w:val="-4"/>
                      <w:sz w:val="21"/>
                      <w:szCs w:val="21"/>
                    </w:rPr>
                    <w:t>30</w:t>
                  </w:r>
                </w:p>
              </w:tc>
              <w:tc>
                <w:tcPr>
                  <w:tcW w:w="753" w:type="dxa"/>
                  <w:tcBorders>
                    <w:tl2br w:val="nil"/>
                    <w:tr2bl w:val="nil"/>
                  </w:tcBorders>
                  <w:vAlign w:val="center"/>
                </w:tcPr>
                <w:p w14:paraId="630CACF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1"/>
                    </w:rPr>
                  </w:pPr>
                  <w:r>
                    <w:rPr>
                      <w:rFonts w:ascii="Times New Roman" w:hAnsi="Times New Roman" w:eastAsia="宋体" w:cs="Times New Roman"/>
                      <w:spacing w:val="-2"/>
                      <w:sz w:val="21"/>
                      <w:szCs w:val="21"/>
                    </w:rPr>
                    <w:t>20</w:t>
                  </w:r>
                </w:p>
              </w:tc>
              <w:tc>
                <w:tcPr>
                  <w:tcW w:w="1210" w:type="dxa"/>
                  <w:vMerge w:val="restart"/>
                  <w:tcBorders>
                    <w:tl2br w:val="nil"/>
                    <w:tr2bl w:val="nil"/>
                  </w:tcBorders>
                  <w:vAlign w:val="center"/>
                </w:tcPr>
                <w:p w14:paraId="7B3E249D">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spacing w:val="-2"/>
                      <w:sz w:val="21"/>
                    </w:rPr>
                    <w:t>烟囱或烟道</w:t>
                  </w:r>
                </w:p>
              </w:tc>
              <w:tc>
                <w:tcPr>
                  <w:tcW w:w="2294" w:type="dxa"/>
                  <w:vMerge w:val="restart"/>
                  <w:tcBorders>
                    <w:tl2br w:val="nil"/>
                    <w:tr2bl w:val="nil"/>
                  </w:tcBorders>
                  <w:vAlign w:val="center"/>
                </w:tcPr>
                <w:p w14:paraId="3F40EB1D">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rPr>
                  </w:pPr>
                  <w:r>
                    <w:rPr>
                      <w:rFonts w:ascii="Times New Roman" w:hAnsi="Times New Roman" w:eastAsia="宋体"/>
                      <w:spacing w:val="-1"/>
                      <w:sz w:val="21"/>
                    </w:rPr>
                    <w:t>《锅炉大气污染物排放</w:t>
                  </w:r>
                  <w:r>
                    <w:rPr>
                      <w:rFonts w:ascii="Times New Roman" w:hAnsi="Times New Roman" w:eastAsia="宋体"/>
                      <w:spacing w:val="-12"/>
                      <w:sz w:val="21"/>
                    </w:rPr>
                    <w:t>标准》（</w:t>
                  </w:r>
                  <w:r>
                    <w:rPr>
                      <w:rFonts w:ascii="Times New Roman" w:hAnsi="Times New Roman" w:eastAsia="宋体" w:cs="Times New Roman"/>
                      <w:spacing w:val="-12"/>
                      <w:sz w:val="21"/>
                    </w:rPr>
                    <w:t>GB</w:t>
                  </w:r>
                  <w:r>
                    <w:rPr>
                      <w:rFonts w:ascii="Times New Roman" w:hAnsi="Times New Roman" w:eastAsia="宋体" w:cs="Times New Roman"/>
                      <w:spacing w:val="30"/>
                      <w:w w:val="101"/>
                      <w:sz w:val="21"/>
                    </w:rPr>
                    <w:t xml:space="preserve"> </w:t>
                  </w:r>
                  <w:r>
                    <w:rPr>
                      <w:rFonts w:ascii="Times New Roman" w:hAnsi="Times New Roman" w:eastAsia="宋体" w:cs="Times New Roman"/>
                      <w:spacing w:val="-12"/>
                      <w:sz w:val="21"/>
                    </w:rPr>
                    <w:t>13271-</w:t>
                  </w:r>
                </w:p>
                <w:p w14:paraId="102BA380">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cs="Times New Roman"/>
                      <w:spacing w:val="-5"/>
                      <w:sz w:val="21"/>
                    </w:rPr>
                    <w:t>2014</w:t>
                  </w:r>
                  <w:r>
                    <w:rPr>
                      <w:rFonts w:ascii="Times New Roman" w:hAnsi="Times New Roman" w:eastAsia="宋体"/>
                      <w:spacing w:val="-5"/>
                      <w:sz w:val="21"/>
                    </w:rPr>
                    <w:t>）中表</w:t>
                  </w:r>
                  <w:r>
                    <w:rPr>
                      <w:rFonts w:ascii="Times New Roman" w:hAnsi="Times New Roman" w:eastAsia="宋体" w:cs="Times New Roman"/>
                      <w:spacing w:val="-5"/>
                      <w:sz w:val="21"/>
                    </w:rPr>
                    <w:t>3</w:t>
                  </w:r>
                  <w:r>
                    <w:rPr>
                      <w:rFonts w:ascii="Times New Roman" w:hAnsi="Times New Roman" w:eastAsia="宋体"/>
                      <w:spacing w:val="-5"/>
                      <w:sz w:val="21"/>
                    </w:rPr>
                    <w:t>的</w:t>
                  </w:r>
                  <w:r>
                    <w:rPr>
                      <w:rFonts w:ascii="Times New Roman" w:hAnsi="Times New Roman" w:eastAsia="宋体"/>
                      <w:b/>
                      <w:bCs/>
                      <w:spacing w:val="-5"/>
                      <w:sz w:val="21"/>
                    </w:rPr>
                    <w:t>特别</w:t>
                  </w:r>
                  <w:r>
                    <w:rPr>
                      <w:rFonts w:ascii="Times New Roman" w:hAnsi="Times New Roman" w:eastAsia="宋体"/>
                      <w:spacing w:val="-5"/>
                      <w:sz w:val="21"/>
                    </w:rPr>
                    <w:t>排</w:t>
                  </w:r>
                </w:p>
                <w:p w14:paraId="74978C86">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spacing w:val="-2"/>
                      <w:sz w:val="21"/>
                    </w:rPr>
                    <w:t>放限值</w:t>
                  </w:r>
                </w:p>
              </w:tc>
            </w:tr>
            <w:tr w14:paraId="40F8AA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2" w:hRule="atLeast"/>
              </w:trPr>
              <w:tc>
                <w:tcPr>
                  <w:tcW w:w="1020" w:type="dxa"/>
                  <w:vMerge w:val="continue"/>
                  <w:tcBorders>
                    <w:tl2br w:val="nil"/>
                    <w:tr2bl w:val="nil"/>
                  </w:tcBorders>
                  <w:vAlign w:val="center"/>
                </w:tcPr>
                <w:p w14:paraId="43DE57F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p>
              </w:tc>
              <w:tc>
                <w:tcPr>
                  <w:tcW w:w="1543" w:type="dxa"/>
                  <w:tcBorders>
                    <w:tl2br w:val="nil"/>
                    <w:tr2bl w:val="nil"/>
                  </w:tcBorders>
                  <w:vAlign w:val="center"/>
                </w:tcPr>
                <w:p w14:paraId="589C33B3">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spacing w:val="-3"/>
                      <w:sz w:val="21"/>
                    </w:rPr>
                    <w:t>二氧化硫</w:t>
                  </w:r>
                </w:p>
              </w:tc>
              <w:tc>
                <w:tcPr>
                  <w:tcW w:w="701" w:type="dxa"/>
                  <w:tcBorders>
                    <w:tl2br w:val="nil"/>
                    <w:tr2bl w:val="nil"/>
                  </w:tcBorders>
                  <w:shd w:val="clear" w:color="auto" w:fill="D7D7D7" w:themeFill="background1" w:themeFillShade="D8"/>
                  <w:vAlign w:val="center"/>
                </w:tcPr>
                <w:p w14:paraId="66EC578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1"/>
                    </w:rPr>
                  </w:pPr>
                  <w:r>
                    <w:rPr>
                      <w:rFonts w:ascii="Times New Roman" w:hAnsi="Times New Roman" w:eastAsia="宋体" w:cs="Times New Roman"/>
                      <w:spacing w:val="-1"/>
                      <w:sz w:val="21"/>
                      <w:szCs w:val="21"/>
                      <w:shd w:val="clear" w:fill="E5E5E5"/>
                    </w:rPr>
                    <w:t>200</w:t>
                  </w:r>
                </w:p>
              </w:tc>
              <w:tc>
                <w:tcPr>
                  <w:tcW w:w="701" w:type="dxa"/>
                  <w:tcBorders>
                    <w:tl2br w:val="nil"/>
                    <w:tr2bl w:val="nil"/>
                  </w:tcBorders>
                  <w:vAlign w:val="center"/>
                </w:tcPr>
                <w:p w14:paraId="7F330FD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1"/>
                    </w:rPr>
                  </w:pPr>
                  <w:r>
                    <w:rPr>
                      <w:rFonts w:ascii="Times New Roman" w:hAnsi="Times New Roman" w:eastAsia="宋体" w:cs="Times New Roman"/>
                      <w:spacing w:val="-8"/>
                      <w:sz w:val="21"/>
                      <w:szCs w:val="21"/>
                    </w:rPr>
                    <w:t>100</w:t>
                  </w:r>
                </w:p>
              </w:tc>
              <w:tc>
                <w:tcPr>
                  <w:tcW w:w="753" w:type="dxa"/>
                  <w:tcBorders>
                    <w:tl2br w:val="nil"/>
                    <w:tr2bl w:val="nil"/>
                  </w:tcBorders>
                  <w:vAlign w:val="center"/>
                </w:tcPr>
                <w:p w14:paraId="5451B00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1"/>
                    </w:rPr>
                  </w:pPr>
                  <w:r>
                    <w:rPr>
                      <w:rFonts w:ascii="Times New Roman" w:hAnsi="Times New Roman" w:eastAsia="宋体" w:cs="Times New Roman"/>
                      <w:spacing w:val="-3"/>
                      <w:sz w:val="21"/>
                      <w:szCs w:val="21"/>
                    </w:rPr>
                    <w:t>50</w:t>
                  </w:r>
                </w:p>
              </w:tc>
              <w:tc>
                <w:tcPr>
                  <w:tcW w:w="1210" w:type="dxa"/>
                  <w:vMerge w:val="continue"/>
                  <w:tcBorders>
                    <w:tl2br w:val="nil"/>
                    <w:tr2bl w:val="nil"/>
                  </w:tcBorders>
                  <w:vAlign w:val="center"/>
                </w:tcPr>
                <w:p w14:paraId="7054EE2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p>
              </w:tc>
              <w:tc>
                <w:tcPr>
                  <w:tcW w:w="2294" w:type="dxa"/>
                  <w:vMerge w:val="continue"/>
                  <w:tcBorders>
                    <w:tl2br w:val="nil"/>
                    <w:tr2bl w:val="nil"/>
                  </w:tcBorders>
                  <w:vAlign w:val="center"/>
                </w:tcPr>
                <w:p w14:paraId="69FB3E70">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sz w:val="21"/>
                    </w:rPr>
                  </w:pPr>
                </w:p>
              </w:tc>
            </w:tr>
            <w:tr w14:paraId="0C04B8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020" w:type="dxa"/>
                  <w:vMerge w:val="continue"/>
                  <w:tcBorders>
                    <w:tl2br w:val="nil"/>
                    <w:tr2bl w:val="nil"/>
                  </w:tcBorders>
                  <w:vAlign w:val="center"/>
                </w:tcPr>
                <w:p w14:paraId="2B34D82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p>
              </w:tc>
              <w:tc>
                <w:tcPr>
                  <w:tcW w:w="1543" w:type="dxa"/>
                  <w:tcBorders>
                    <w:tl2br w:val="nil"/>
                    <w:tr2bl w:val="nil"/>
                  </w:tcBorders>
                  <w:vAlign w:val="center"/>
                </w:tcPr>
                <w:p w14:paraId="19FFE254">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spacing w:val="-1"/>
                      <w:sz w:val="21"/>
                    </w:rPr>
                    <w:t>氮氧化物</w:t>
                  </w:r>
                </w:p>
              </w:tc>
              <w:tc>
                <w:tcPr>
                  <w:tcW w:w="701" w:type="dxa"/>
                  <w:tcBorders>
                    <w:tl2br w:val="nil"/>
                    <w:tr2bl w:val="nil"/>
                  </w:tcBorders>
                  <w:shd w:val="clear" w:color="auto" w:fill="D7D7D7" w:themeFill="background1" w:themeFillShade="D8"/>
                  <w:vAlign w:val="center"/>
                </w:tcPr>
                <w:p w14:paraId="5D18CB3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1"/>
                    </w:rPr>
                  </w:pPr>
                  <w:r>
                    <w:rPr>
                      <w:rFonts w:ascii="Times New Roman" w:hAnsi="Times New Roman" w:eastAsia="宋体" w:cs="Times New Roman"/>
                      <w:spacing w:val="-1"/>
                      <w:sz w:val="21"/>
                      <w:szCs w:val="21"/>
                      <w:shd w:val="clear" w:fill="E5E5E5"/>
                    </w:rPr>
                    <w:t>200</w:t>
                  </w:r>
                </w:p>
              </w:tc>
              <w:tc>
                <w:tcPr>
                  <w:tcW w:w="701" w:type="dxa"/>
                  <w:tcBorders>
                    <w:tl2br w:val="nil"/>
                    <w:tr2bl w:val="nil"/>
                  </w:tcBorders>
                  <w:vAlign w:val="center"/>
                </w:tcPr>
                <w:p w14:paraId="7493AB1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1"/>
                    </w:rPr>
                  </w:pPr>
                  <w:r>
                    <w:rPr>
                      <w:rFonts w:ascii="Times New Roman" w:hAnsi="Times New Roman" w:eastAsia="宋体" w:cs="Times New Roman"/>
                      <w:spacing w:val="-1"/>
                      <w:sz w:val="21"/>
                      <w:szCs w:val="21"/>
                    </w:rPr>
                    <w:t>200</w:t>
                  </w:r>
                </w:p>
              </w:tc>
              <w:tc>
                <w:tcPr>
                  <w:tcW w:w="753" w:type="dxa"/>
                  <w:tcBorders>
                    <w:tl2br w:val="nil"/>
                    <w:tr2bl w:val="nil"/>
                  </w:tcBorders>
                  <w:vAlign w:val="center"/>
                </w:tcPr>
                <w:p w14:paraId="7FEDAD0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1"/>
                    </w:rPr>
                  </w:pPr>
                  <w:r>
                    <w:rPr>
                      <w:rFonts w:ascii="Times New Roman" w:hAnsi="Times New Roman" w:eastAsia="宋体" w:cs="Times New Roman"/>
                      <w:spacing w:val="-6"/>
                      <w:sz w:val="21"/>
                      <w:szCs w:val="21"/>
                    </w:rPr>
                    <w:t>150</w:t>
                  </w:r>
                </w:p>
              </w:tc>
              <w:tc>
                <w:tcPr>
                  <w:tcW w:w="1210" w:type="dxa"/>
                  <w:vMerge w:val="continue"/>
                  <w:tcBorders>
                    <w:tl2br w:val="nil"/>
                    <w:tr2bl w:val="nil"/>
                  </w:tcBorders>
                  <w:vAlign w:val="center"/>
                </w:tcPr>
                <w:p w14:paraId="3477888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p>
              </w:tc>
              <w:tc>
                <w:tcPr>
                  <w:tcW w:w="2294" w:type="dxa"/>
                  <w:vMerge w:val="continue"/>
                  <w:tcBorders>
                    <w:tl2br w:val="nil"/>
                    <w:tr2bl w:val="nil"/>
                  </w:tcBorders>
                  <w:vAlign w:val="center"/>
                </w:tcPr>
                <w:p w14:paraId="2BEF90DA">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sz w:val="21"/>
                    </w:rPr>
                  </w:pPr>
                </w:p>
              </w:tc>
            </w:tr>
            <w:tr w14:paraId="3B45E7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2" w:hRule="atLeast"/>
              </w:trPr>
              <w:tc>
                <w:tcPr>
                  <w:tcW w:w="1020" w:type="dxa"/>
                  <w:vMerge w:val="continue"/>
                  <w:tcBorders>
                    <w:tl2br w:val="nil"/>
                    <w:tr2bl w:val="nil"/>
                  </w:tcBorders>
                  <w:vAlign w:val="center"/>
                </w:tcPr>
                <w:p w14:paraId="031276E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p>
              </w:tc>
              <w:tc>
                <w:tcPr>
                  <w:tcW w:w="1543" w:type="dxa"/>
                  <w:tcBorders>
                    <w:tl2br w:val="nil"/>
                    <w:tr2bl w:val="nil"/>
                  </w:tcBorders>
                  <w:vAlign w:val="center"/>
                </w:tcPr>
                <w:p w14:paraId="48DA50CF">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spacing w:val="-1"/>
                      <w:sz w:val="21"/>
                    </w:rPr>
                    <w:t>汞及其化合物</w:t>
                  </w:r>
                </w:p>
              </w:tc>
              <w:tc>
                <w:tcPr>
                  <w:tcW w:w="701" w:type="dxa"/>
                  <w:tcBorders>
                    <w:tl2br w:val="nil"/>
                    <w:tr2bl w:val="nil"/>
                  </w:tcBorders>
                  <w:shd w:val="clear" w:color="auto" w:fill="D7D7D7" w:themeFill="background1" w:themeFillShade="D8"/>
                  <w:vAlign w:val="center"/>
                </w:tcPr>
                <w:p w14:paraId="1836793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position w:val="-4"/>
                      <w:sz w:val="21"/>
                    </w:rPr>
                    <mc:AlternateContent>
                      <mc:Choice Requires="wps">
                        <w:drawing>
                          <wp:inline distT="0" distB="0" distL="114300" distR="114300">
                            <wp:extent cx="234950" cy="154305"/>
                            <wp:effectExtent l="0" t="0" r="12700" b="17145"/>
                            <wp:docPr id="149" name="文本框 149"/>
                            <wp:cNvGraphicFramePr/>
                            <a:graphic xmlns:a="http://schemas.openxmlformats.org/drawingml/2006/main">
                              <a:graphicData uri="http://schemas.microsoft.com/office/word/2010/wordprocessingShape">
                                <wps:wsp>
                                  <wps:cNvSpPr txBox="1"/>
                                  <wps:spPr>
                                    <a:xfrm>
                                      <a:off x="0" y="0"/>
                                      <a:ext cx="234950" cy="154305"/>
                                    </a:xfrm>
                                    <a:prstGeom prst="rect">
                                      <a:avLst/>
                                    </a:prstGeom>
                                    <a:solidFill>
                                      <a:srgbClr val="E5E5E5"/>
                                    </a:solidFill>
                                    <a:ln>
                                      <a:noFill/>
                                    </a:ln>
                                  </wps:spPr>
                                  <wps:txbx>
                                    <w:txbxContent>
                                      <w:p w14:paraId="1AA45635">
                                        <w:pPr>
                                          <w:spacing w:before="53" w:line="187" w:lineRule="auto"/>
                                          <w:jc w:val="right"/>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0.05</w:t>
                                        </w:r>
                                      </w:p>
                                    </w:txbxContent>
                                  </wps:txbx>
                                  <wps:bodyPr lIns="0" tIns="0" rIns="0" bIns="0" upright="1"/>
                                </wps:wsp>
                              </a:graphicData>
                            </a:graphic>
                          </wp:inline>
                        </w:drawing>
                      </mc:Choice>
                      <mc:Fallback>
                        <w:pict>
                          <v:shape id="_x0000_s1026" o:spid="_x0000_s1026" o:spt="202" type="#_x0000_t202" style="height:12.15pt;width:18.5pt;" fillcolor="#E5E5E5" filled="t" stroked="f" coordsize="21600,21600" o:gfxdata="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CNKsutMAAAADAQAADwAAAAAAAAABACAAAAAiAAAAZHJz&#10;L2Rvd25yZXYueG1sUEsBAhQAFAAAAAgAh07iQHufIk/QAQAAngMAAA4AAAAAAAAAAQAgAAAAIgEA&#10;AGRycy9lMm9Eb2MueG1sUEsFBgAAAAAGAAYAWQEAAGQFAAAAAA==&#10;">
                            <v:fill on="t" focussize="0,0"/>
                            <v:stroke on="f"/>
                            <v:imagedata o:title=""/>
                            <o:lock v:ext="edit" aspectratio="f"/>
                            <v:textbox inset="0mm,0mm,0mm,0mm">
                              <w:txbxContent>
                                <w:p w14:paraId="1AA45635">
                                  <w:pPr>
                                    <w:spacing w:before="53" w:line="187" w:lineRule="auto"/>
                                    <w:jc w:val="right"/>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0.05</w:t>
                                  </w:r>
                                </w:p>
                              </w:txbxContent>
                            </v:textbox>
                            <w10:wrap type="none"/>
                            <w10:anchorlock/>
                          </v:shape>
                        </w:pict>
                      </mc:Fallback>
                    </mc:AlternateContent>
                  </w:r>
                </w:p>
              </w:tc>
              <w:tc>
                <w:tcPr>
                  <w:tcW w:w="701" w:type="dxa"/>
                  <w:tcBorders>
                    <w:tl2br w:val="nil"/>
                    <w:tr2bl w:val="nil"/>
                  </w:tcBorders>
                  <w:vAlign w:val="center"/>
                </w:tcPr>
                <w:p w14:paraId="6A1DB7B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1"/>
                    </w:rPr>
                  </w:pPr>
                  <w:r>
                    <w:rPr>
                      <w:rFonts w:ascii="Times New Roman" w:hAnsi="Times New Roman" w:eastAsia="宋体" w:cs="Times New Roman"/>
                      <w:position w:val="-6"/>
                      <w:sz w:val="21"/>
                      <w:szCs w:val="21"/>
                    </w:rPr>
                    <w:t>-</w:t>
                  </w:r>
                </w:p>
              </w:tc>
              <w:tc>
                <w:tcPr>
                  <w:tcW w:w="753" w:type="dxa"/>
                  <w:tcBorders>
                    <w:tl2br w:val="nil"/>
                    <w:tr2bl w:val="nil"/>
                  </w:tcBorders>
                  <w:vAlign w:val="center"/>
                </w:tcPr>
                <w:p w14:paraId="7B042CA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1"/>
                    </w:rPr>
                  </w:pPr>
                  <w:r>
                    <w:rPr>
                      <w:rFonts w:ascii="Times New Roman" w:hAnsi="Times New Roman" w:eastAsia="宋体" w:cs="Times New Roman"/>
                      <w:position w:val="-6"/>
                      <w:sz w:val="21"/>
                      <w:szCs w:val="21"/>
                    </w:rPr>
                    <w:t>-</w:t>
                  </w:r>
                </w:p>
              </w:tc>
              <w:tc>
                <w:tcPr>
                  <w:tcW w:w="1210" w:type="dxa"/>
                  <w:vMerge w:val="continue"/>
                  <w:tcBorders>
                    <w:tl2br w:val="nil"/>
                    <w:tr2bl w:val="nil"/>
                  </w:tcBorders>
                  <w:vAlign w:val="center"/>
                </w:tcPr>
                <w:p w14:paraId="210A376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p>
              </w:tc>
              <w:tc>
                <w:tcPr>
                  <w:tcW w:w="2294" w:type="dxa"/>
                  <w:vMerge w:val="continue"/>
                  <w:tcBorders>
                    <w:tl2br w:val="nil"/>
                    <w:tr2bl w:val="nil"/>
                  </w:tcBorders>
                  <w:vAlign w:val="center"/>
                </w:tcPr>
                <w:p w14:paraId="69774312">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sz w:val="21"/>
                    </w:rPr>
                  </w:pPr>
                </w:p>
              </w:tc>
            </w:tr>
            <w:tr w14:paraId="5F4C2E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5" w:hRule="atLeast"/>
              </w:trPr>
              <w:tc>
                <w:tcPr>
                  <w:tcW w:w="1020" w:type="dxa"/>
                  <w:vMerge w:val="continue"/>
                  <w:tcBorders>
                    <w:tl2br w:val="nil"/>
                    <w:tr2bl w:val="nil"/>
                  </w:tcBorders>
                  <w:vAlign w:val="center"/>
                </w:tcPr>
                <w:p w14:paraId="7BC3525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p>
              </w:tc>
              <w:tc>
                <w:tcPr>
                  <w:tcW w:w="1543" w:type="dxa"/>
                  <w:tcBorders>
                    <w:tl2br w:val="nil"/>
                    <w:tr2bl w:val="nil"/>
                  </w:tcBorders>
                  <w:vAlign w:val="center"/>
                </w:tcPr>
                <w:p w14:paraId="11B3469E">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spacing w:val="-1"/>
                      <w:sz w:val="21"/>
                    </w:rPr>
                    <w:t>烟气黑度（林格</w:t>
                  </w:r>
                  <w:r>
                    <w:rPr>
                      <w:rFonts w:ascii="Times New Roman" w:hAnsi="Times New Roman" w:eastAsia="宋体"/>
                      <w:spacing w:val="-4"/>
                      <w:sz w:val="21"/>
                    </w:rPr>
                    <w:t>曼黑度，级）</w:t>
                  </w:r>
                </w:p>
              </w:tc>
              <w:tc>
                <w:tcPr>
                  <w:tcW w:w="2155" w:type="dxa"/>
                  <w:gridSpan w:val="3"/>
                  <w:tcBorders>
                    <w:tl2br w:val="nil"/>
                    <w:tr2bl w:val="nil"/>
                  </w:tcBorders>
                  <w:vAlign w:val="center"/>
                </w:tcPr>
                <w:p w14:paraId="00C0A4D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rPr>
                  </w:pPr>
                  <w:r>
                    <w:rPr>
                      <w:rFonts w:ascii="Times New Roman" w:hAnsi="Times New Roman" w:eastAsia="宋体" w:cs="Times New Roman"/>
                      <w:color w:val="auto"/>
                      <w:spacing w:val="-1"/>
                      <w:sz w:val="21"/>
                      <w:szCs w:val="21"/>
                      <w:shd w:val="clear"/>
                    </w:rPr>
                    <w:t>≤1</w:t>
                  </w:r>
                </w:p>
              </w:tc>
              <w:tc>
                <w:tcPr>
                  <w:tcW w:w="1210" w:type="dxa"/>
                  <w:tcBorders>
                    <w:tl2br w:val="nil"/>
                    <w:tr2bl w:val="nil"/>
                  </w:tcBorders>
                  <w:vAlign w:val="center"/>
                </w:tcPr>
                <w:p w14:paraId="4038391D">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spacing w:val="-2"/>
                      <w:sz w:val="21"/>
                    </w:rPr>
                    <w:t>烟囱排放口</w:t>
                  </w:r>
                </w:p>
              </w:tc>
              <w:tc>
                <w:tcPr>
                  <w:tcW w:w="2294" w:type="dxa"/>
                  <w:vMerge w:val="continue"/>
                  <w:tcBorders>
                    <w:tl2br w:val="nil"/>
                    <w:tr2bl w:val="nil"/>
                  </w:tcBorders>
                  <w:vAlign w:val="center"/>
                </w:tcPr>
                <w:p w14:paraId="3E9324D8">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sz w:val="21"/>
                    </w:rPr>
                  </w:pPr>
                </w:p>
              </w:tc>
            </w:tr>
            <w:tr w14:paraId="5DB3AE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5" w:hRule="atLeast"/>
              </w:trPr>
              <w:tc>
                <w:tcPr>
                  <w:tcW w:w="1020" w:type="dxa"/>
                  <w:tcBorders>
                    <w:tl2br w:val="nil"/>
                    <w:tr2bl w:val="nil"/>
                  </w:tcBorders>
                  <w:vAlign w:val="center"/>
                </w:tcPr>
                <w:p w14:paraId="1D0D822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厂界无组织</w:t>
                  </w:r>
                </w:p>
              </w:tc>
              <w:tc>
                <w:tcPr>
                  <w:tcW w:w="1543" w:type="dxa"/>
                  <w:tcBorders>
                    <w:tl2br w:val="nil"/>
                    <w:tr2bl w:val="nil"/>
                  </w:tcBorders>
                  <w:vAlign w:val="center"/>
                </w:tcPr>
                <w:p w14:paraId="550E49FE">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pacing w:val="-1"/>
                      <w:sz w:val="21"/>
                    </w:rPr>
                  </w:pPr>
                  <w:r>
                    <w:rPr>
                      <w:rFonts w:ascii="Times New Roman" w:hAnsi="Times New Roman" w:eastAsia="宋体"/>
                      <w:color w:val="000000"/>
                      <w:sz w:val="21"/>
                    </w:rPr>
                    <w:t>颗粒物</w:t>
                  </w:r>
                </w:p>
              </w:tc>
              <w:tc>
                <w:tcPr>
                  <w:tcW w:w="2155" w:type="dxa"/>
                  <w:gridSpan w:val="3"/>
                  <w:tcBorders>
                    <w:tl2br w:val="nil"/>
                    <w:tr2bl w:val="nil"/>
                  </w:tcBorders>
                  <w:vAlign w:val="center"/>
                </w:tcPr>
                <w:p w14:paraId="764BD3B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spacing w:val="-1"/>
                      <w:sz w:val="21"/>
                      <w:szCs w:val="21"/>
                      <w:shd w:val="clear" w:fill="E5E5E5"/>
                      <w:lang w:val="en-US" w:eastAsia="zh-CN"/>
                    </w:rPr>
                  </w:pPr>
                  <w:r>
                    <w:rPr>
                      <w:rFonts w:ascii="Times New Roman" w:hAnsi="Times New Roman" w:eastAsia="宋体"/>
                      <w:color w:val="000000"/>
                      <w:sz w:val="21"/>
                    </w:rPr>
                    <w:t>0.5</w:t>
                  </w:r>
                  <w:r>
                    <w:rPr>
                      <w:rFonts w:hint="eastAsia" w:ascii="Times New Roman" w:hAnsi="Times New Roman" w:eastAsia="宋体"/>
                      <w:color w:val="000000"/>
                      <w:sz w:val="21"/>
                      <w:lang w:val="en-US" w:eastAsia="zh-CN"/>
                    </w:rPr>
                    <w:t>*</w:t>
                  </w:r>
                </w:p>
              </w:tc>
              <w:tc>
                <w:tcPr>
                  <w:tcW w:w="1210" w:type="dxa"/>
                  <w:tcBorders>
                    <w:tl2br w:val="nil"/>
                    <w:tr2bl w:val="nil"/>
                  </w:tcBorders>
                  <w:vAlign w:val="center"/>
                </w:tcPr>
                <w:p w14:paraId="742C33F2">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pacing w:val="-2"/>
                      <w:sz w:val="21"/>
                    </w:rPr>
                  </w:pPr>
                  <w:r>
                    <w:rPr>
                      <w:rFonts w:ascii="Times New Roman" w:hAnsi="Times New Roman" w:eastAsia="宋体"/>
                      <w:spacing w:val="-2"/>
                      <w:sz w:val="21"/>
                    </w:rPr>
                    <w:t>厂界外20m处上风向设参照点，下风向设监控点</w:t>
                  </w:r>
                </w:p>
              </w:tc>
              <w:tc>
                <w:tcPr>
                  <w:tcW w:w="2294" w:type="dxa"/>
                  <w:tcBorders>
                    <w:tl2br w:val="nil"/>
                    <w:tr2bl w:val="nil"/>
                  </w:tcBorders>
                  <w:vAlign w:val="center"/>
                </w:tcPr>
                <w:p w14:paraId="27CC62B3">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sz w:val="21"/>
                    </w:rPr>
                  </w:pPr>
                  <w:r>
                    <w:rPr>
                      <w:rFonts w:ascii="Times New Roman" w:hAnsi="Times New Roman" w:eastAsia="宋体"/>
                      <w:color w:val="000000"/>
                      <w:sz w:val="21"/>
                      <w:szCs w:val="21"/>
                    </w:rPr>
                    <w:t>《水泥工业大气污染物排放标准》（GB 4915-2013）表3无组织排放浓度限值</w:t>
                  </w:r>
                </w:p>
              </w:tc>
            </w:tr>
            <w:tr w14:paraId="57F9E9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5" w:hRule="atLeast"/>
              </w:trPr>
              <w:tc>
                <w:tcPr>
                  <w:tcW w:w="8222" w:type="dxa"/>
                  <w:gridSpan w:val="7"/>
                  <w:tcBorders>
                    <w:tl2br w:val="nil"/>
                    <w:tr2bl w:val="nil"/>
                  </w:tcBorders>
                  <w:vAlign w:val="center"/>
                </w:tcPr>
                <w:p w14:paraId="04F56B78">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*注：</w:t>
                  </w:r>
                  <w:r>
                    <w:rPr>
                      <w:color w:val="000000"/>
                    </w:rPr>
                    <w:t>监控点与参照点总悬浮颗粒物（TSP）1小时浓度值的差值</w:t>
                  </w:r>
                </w:p>
              </w:tc>
            </w:tr>
          </w:tbl>
          <w:p w14:paraId="7DD24940">
            <w:pPr>
              <w:pStyle w:val="46"/>
              <w:jc w:val="both"/>
              <w:rPr>
                <w:rFonts w:hint="default"/>
                <w:lang w:val="en-US" w:eastAsia="zh-CN"/>
              </w:rPr>
            </w:pPr>
          </w:p>
          <w:bookmarkEnd w:id="34"/>
          <w:p w14:paraId="4CDD1598">
            <w:pPr>
              <w:pStyle w:val="4"/>
              <w:numPr>
                <w:ilvl w:val="2"/>
                <w:numId w:val="1"/>
              </w:numPr>
              <w:bidi w:val="0"/>
              <w:ind w:left="720" w:leftChars="0" w:hanging="720" w:firstLineChars="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废水排放标准</w:t>
            </w:r>
          </w:p>
          <w:p w14:paraId="167C50DA">
            <w:pPr>
              <w:pStyle w:val="95"/>
              <w:spacing w:before="158" w:line="364" w:lineRule="auto"/>
              <w:ind w:left="10" w:right="87" w:firstLine="480"/>
              <w:jc w:val="both"/>
              <w:rPr>
                <w:rFonts w:ascii="Times New Roman" w:hAnsi="Times New Roman"/>
                <w:spacing w:val="-10"/>
                <w:sz w:val="24"/>
              </w:rPr>
            </w:pPr>
            <w:r>
              <w:rPr>
                <w:rFonts w:ascii="Times New Roman" w:hAnsi="Times New Roman"/>
                <w:spacing w:val="-2"/>
                <w:sz w:val="24"/>
              </w:rPr>
              <w:t>项目生产废水经自建污水处理设施处理后回用于生产，不外排，生活污水依托出租方化粪池处理后排入市政污水管网送往</w:t>
            </w:r>
            <w:r>
              <w:rPr>
                <w:rFonts w:hint="eastAsia" w:ascii="Times New Roman" w:hAnsi="Times New Roman"/>
                <w:spacing w:val="-2"/>
                <w:sz w:val="24"/>
                <w:lang w:eastAsia="zh-CN"/>
              </w:rPr>
              <w:t>闽清县白金工业园区污水处理厂</w:t>
            </w:r>
            <w:r>
              <w:rPr>
                <w:rFonts w:ascii="Times New Roman" w:hAnsi="Times New Roman"/>
                <w:spacing w:val="-2"/>
                <w:sz w:val="24"/>
              </w:rPr>
              <w:t>集中处理</w:t>
            </w:r>
            <w:r>
              <w:rPr>
                <w:rFonts w:ascii="Times New Roman" w:hAnsi="Times New Roman"/>
                <w:spacing w:val="-2"/>
                <w:sz w:val="24"/>
                <w:highlight w:val="none"/>
              </w:rPr>
              <w:t>；外</w:t>
            </w:r>
            <w:r>
              <w:rPr>
                <w:rFonts w:ascii="Times New Roman" w:hAnsi="Times New Roman"/>
                <w:spacing w:val="-2"/>
                <w:sz w:val="24"/>
              </w:rPr>
              <w:t>排生活污水执行《污水综合排放标准》(GB8978-1996)表4中的三级标准，氨氮参照执行《污水排入城镇下水道水质标准》(GB/T 31962-2015)表1中B级标准，详见表3.</w:t>
            </w:r>
            <w:r>
              <w:rPr>
                <w:rFonts w:hint="eastAsia" w:ascii="Times New Roman" w:hAnsi="Times New Roman"/>
                <w:spacing w:val="-2"/>
                <w:sz w:val="24"/>
                <w:lang w:val="en-US" w:eastAsia="zh-CN"/>
              </w:rPr>
              <w:t>3</w:t>
            </w:r>
            <w:r>
              <w:rPr>
                <w:rFonts w:ascii="Times New Roman" w:hAnsi="Times New Roman"/>
                <w:spacing w:val="-2"/>
                <w:sz w:val="24"/>
              </w:rPr>
              <w:t>-</w:t>
            </w:r>
            <w:r>
              <w:rPr>
                <w:rFonts w:hint="eastAsia" w:ascii="Times New Roman" w:hAnsi="Times New Roman"/>
                <w:spacing w:val="-2"/>
                <w:sz w:val="24"/>
                <w:lang w:val="en-US" w:eastAsia="zh-CN"/>
              </w:rPr>
              <w:t>3</w:t>
            </w:r>
            <w:r>
              <w:rPr>
                <w:rFonts w:ascii="Times New Roman" w:hAnsi="Times New Roman"/>
                <w:spacing w:val="-2"/>
                <w:sz w:val="24"/>
              </w:rPr>
              <w:t>。</w:t>
            </w:r>
          </w:p>
          <w:p w14:paraId="3CEC5607">
            <w:pPr>
              <w:pStyle w:val="42"/>
              <w:keepNext/>
              <w:keepLines/>
              <w:pageBreakBefore w:val="0"/>
              <w:widowControl w:val="0"/>
              <w:numPr>
                <w:ilvl w:val="7"/>
                <w:numId w:val="1"/>
              </w:numPr>
              <w:kinsoku/>
              <w:wordWrap/>
              <w:overflowPunct/>
              <w:topLinePunct w:val="0"/>
              <w:autoSpaceDE/>
              <w:autoSpaceDN/>
              <w:bidi w:val="0"/>
              <w:adjustRightInd/>
              <w:snapToGrid/>
              <w:spacing w:before="0" w:after="0"/>
              <w:ind w:left="630" w:leftChars="0" w:firstLine="0" w:firstLineChars="0"/>
              <w:textAlignment w:val="auto"/>
              <w:rPr>
                <w:rFonts w:hint="eastAsia"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项目污水排放标准限值一览表</w:t>
            </w:r>
          </w:p>
          <w:tbl>
            <w:tblPr>
              <w:tblStyle w:val="32"/>
              <w:tblW w:w="0" w:type="auto"/>
              <w:tblInd w:w="68"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802"/>
              <w:gridCol w:w="1958"/>
              <w:gridCol w:w="4211"/>
            </w:tblGrid>
            <w:tr w14:paraId="3122294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17" w:hRule="atLeast"/>
              </w:trPr>
              <w:tc>
                <w:tcPr>
                  <w:tcW w:w="1802" w:type="dxa"/>
                  <w:tcBorders>
                    <w:left w:val="nil"/>
                    <w:bottom w:val="single" w:color="000000" w:sz="4" w:space="0"/>
                    <w:right w:val="single" w:color="000000" w:sz="4" w:space="0"/>
                  </w:tcBorders>
                  <w:vAlign w:val="center"/>
                </w:tcPr>
                <w:p w14:paraId="1C774BAC">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1"/>
                    </w:rPr>
                  </w:pPr>
                  <w:r>
                    <w:rPr>
                      <w:spacing w:val="-4"/>
                      <w:sz w:val="21"/>
                    </w:rPr>
                    <w:t>污染物名称</w:t>
                  </w:r>
                </w:p>
              </w:tc>
              <w:tc>
                <w:tcPr>
                  <w:tcW w:w="1958" w:type="dxa"/>
                  <w:tcBorders>
                    <w:left w:val="single" w:color="000000" w:sz="4" w:space="0"/>
                    <w:bottom w:val="single" w:color="000000" w:sz="4" w:space="0"/>
                    <w:right w:val="single" w:color="000000" w:sz="4" w:space="0"/>
                  </w:tcBorders>
                  <w:vAlign w:val="center"/>
                </w:tcPr>
                <w:p w14:paraId="1CAAF66C">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1"/>
                    </w:rPr>
                  </w:pPr>
                  <w:r>
                    <w:rPr>
                      <w:spacing w:val="-4"/>
                      <w:sz w:val="21"/>
                    </w:rPr>
                    <w:t>三级标准值</w:t>
                  </w:r>
                </w:p>
              </w:tc>
              <w:tc>
                <w:tcPr>
                  <w:tcW w:w="4211" w:type="dxa"/>
                  <w:tcBorders>
                    <w:left w:val="single" w:color="000000" w:sz="4" w:space="0"/>
                    <w:bottom w:val="single" w:color="000000" w:sz="4" w:space="0"/>
                    <w:right w:val="nil"/>
                  </w:tcBorders>
                  <w:vAlign w:val="center"/>
                </w:tcPr>
                <w:p w14:paraId="6461ADB4">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1"/>
                    </w:rPr>
                  </w:pPr>
                  <w:r>
                    <w:rPr>
                      <w:spacing w:val="-7"/>
                      <w:sz w:val="21"/>
                    </w:rPr>
                    <w:t>标准来源</w:t>
                  </w:r>
                </w:p>
              </w:tc>
            </w:tr>
            <w:tr w14:paraId="05EF3F8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3" w:hRule="atLeast"/>
              </w:trPr>
              <w:tc>
                <w:tcPr>
                  <w:tcW w:w="1802" w:type="dxa"/>
                  <w:tcBorders>
                    <w:top w:val="single" w:color="000000" w:sz="4" w:space="0"/>
                    <w:left w:val="nil"/>
                    <w:bottom w:val="single" w:color="000000" w:sz="4" w:space="0"/>
                    <w:right w:val="single" w:color="000000" w:sz="4" w:space="0"/>
                  </w:tcBorders>
                  <w:vAlign w:val="center"/>
                </w:tcPr>
                <w:p w14:paraId="2AD3E882">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sz w:val="21"/>
                    </w:rPr>
                  </w:pPr>
                  <w:r>
                    <w:rPr>
                      <w:rFonts w:ascii="Times New Roman"/>
                      <w:spacing w:val="-5"/>
                      <w:sz w:val="21"/>
                    </w:rPr>
                    <w:t>pH</w:t>
                  </w:r>
                </w:p>
              </w:tc>
              <w:tc>
                <w:tcPr>
                  <w:tcW w:w="1958" w:type="dxa"/>
                  <w:tcBorders>
                    <w:top w:val="single" w:color="000000" w:sz="4" w:space="0"/>
                    <w:left w:val="single" w:color="000000" w:sz="4" w:space="0"/>
                    <w:bottom w:val="single" w:color="000000" w:sz="4" w:space="0"/>
                    <w:right w:val="single" w:color="000000" w:sz="4" w:space="0"/>
                  </w:tcBorders>
                  <w:vAlign w:val="center"/>
                </w:tcPr>
                <w:p w14:paraId="507934CC">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eastAsia="Times New Roman"/>
                      <w:sz w:val="21"/>
                    </w:rPr>
                  </w:pPr>
                  <w:r>
                    <w:rPr>
                      <w:rFonts w:ascii="Times New Roman" w:eastAsia="Times New Roman"/>
                      <w:spacing w:val="-2"/>
                      <w:sz w:val="21"/>
                    </w:rPr>
                    <w:t>6</w:t>
                  </w:r>
                  <w:r>
                    <w:rPr>
                      <w:spacing w:val="-2"/>
                      <w:sz w:val="21"/>
                    </w:rPr>
                    <w:t>～</w:t>
                  </w:r>
                  <w:r>
                    <w:rPr>
                      <w:rFonts w:ascii="Times New Roman" w:eastAsia="Times New Roman"/>
                      <w:spacing w:val="-2"/>
                      <w:sz w:val="21"/>
                    </w:rPr>
                    <w:t>9(</w:t>
                  </w:r>
                  <w:r>
                    <w:rPr>
                      <w:spacing w:val="-2"/>
                      <w:sz w:val="21"/>
                    </w:rPr>
                    <w:t>无量纲</w:t>
                  </w:r>
                  <w:r>
                    <w:rPr>
                      <w:rFonts w:ascii="Times New Roman" w:eastAsia="Times New Roman"/>
                      <w:spacing w:val="-10"/>
                      <w:sz w:val="21"/>
                    </w:rPr>
                    <w:t>)</w:t>
                  </w:r>
                </w:p>
              </w:tc>
              <w:tc>
                <w:tcPr>
                  <w:tcW w:w="4211" w:type="dxa"/>
                  <w:vMerge w:val="restart"/>
                  <w:tcBorders>
                    <w:top w:val="single" w:color="000000" w:sz="4" w:space="0"/>
                    <w:left w:val="single" w:color="000000" w:sz="4" w:space="0"/>
                    <w:bottom w:val="single" w:color="000000" w:sz="4" w:space="0"/>
                    <w:right w:val="nil"/>
                  </w:tcBorders>
                  <w:vAlign w:val="center"/>
                </w:tcPr>
                <w:p w14:paraId="7FBBA63C">
                  <w:pPr>
                    <w:pStyle w:val="9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sz w:val="21"/>
                    </w:rPr>
                  </w:pPr>
                </w:p>
                <w:p w14:paraId="323F7BD0">
                  <w:pPr>
                    <w:pStyle w:val="9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sz w:val="21"/>
                    </w:rPr>
                  </w:pPr>
                  <w:r>
                    <w:rPr>
                      <w:spacing w:val="-3"/>
                      <w:sz w:val="21"/>
                    </w:rPr>
                    <w:t>《污水综合排放标准》</w:t>
                  </w:r>
                </w:p>
                <w:p w14:paraId="1B3DCFB0">
                  <w:pPr>
                    <w:pStyle w:val="9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ascii="Times New Roman" w:eastAsia="Times New Roman"/>
                      <w:sz w:val="21"/>
                    </w:rPr>
                  </w:pPr>
                  <w:r>
                    <w:rPr>
                      <w:rFonts w:ascii="Times New Roman" w:eastAsia="Times New Roman"/>
                      <w:spacing w:val="-2"/>
                      <w:sz w:val="21"/>
                    </w:rPr>
                    <w:t>(GB8978-1996)</w:t>
                  </w:r>
                  <w:r>
                    <w:rPr>
                      <w:spacing w:val="-13"/>
                      <w:sz w:val="21"/>
                    </w:rPr>
                    <w:t>中表</w:t>
                  </w:r>
                  <w:r>
                    <w:rPr>
                      <w:rFonts w:ascii="Times New Roman" w:eastAsia="Times New Roman"/>
                      <w:spacing w:val="-10"/>
                      <w:sz w:val="21"/>
                    </w:rPr>
                    <w:t>4</w:t>
                  </w:r>
                </w:p>
              </w:tc>
            </w:tr>
            <w:tr w14:paraId="3D5F57C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1802" w:type="dxa"/>
                  <w:tcBorders>
                    <w:top w:val="single" w:color="000000" w:sz="4" w:space="0"/>
                    <w:left w:val="nil"/>
                    <w:bottom w:val="single" w:color="000000" w:sz="4" w:space="0"/>
                    <w:right w:val="single" w:color="000000" w:sz="4" w:space="0"/>
                  </w:tcBorders>
                  <w:vAlign w:val="center"/>
                </w:tcPr>
                <w:p w14:paraId="01DF0A7D">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sz w:val="21"/>
                    </w:rPr>
                  </w:pPr>
                  <w:r>
                    <w:rPr>
                      <w:rFonts w:ascii="Times New Roman"/>
                      <w:spacing w:val="-5"/>
                      <w:sz w:val="21"/>
                    </w:rPr>
                    <w:t>COD</w:t>
                  </w:r>
                </w:p>
              </w:tc>
              <w:tc>
                <w:tcPr>
                  <w:tcW w:w="1958" w:type="dxa"/>
                  <w:tcBorders>
                    <w:top w:val="single" w:color="000000" w:sz="4" w:space="0"/>
                    <w:left w:val="single" w:color="000000" w:sz="4" w:space="0"/>
                    <w:bottom w:val="single" w:color="000000" w:sz="4" w:space="0"/>
                    <w:right w:val="single" w:color="000000" w:sz="4" w:space="0"/>
                  </w:tcBorders>
                  <w:vAlign w:val="center"/>
                </w:tcPr>
                <w:p w14:paraId="0C6EEDBD">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sz w:val="21"/>
                    </w:rPr>
                  </w:pPr>
                  <w:r>
                    <w:rPr>
                      <w:rFonts w:ascii="Times New Roman"/>
                      <w:spacing w:val="-2"/>
                      <w:sz w:val="21"/>
                    </w:rPr>
                    <w:t>500mg/L</w:t>
                  </w:r>
                </w:p>
              </w:tc>
              <w:tc>
                <w:tcPr>
                  <w:tcW w:w="4211" w:type="dxa"/>
                  <w:vMerge w:val="continue"/>
                  <w:tcBorders>
                    <w:top w:val="nil"/>
                    <w:left w:val="single" w:color="000000" w:sz="4" w:space="0"/>
                    <w:bottom w:val="single" w:color="000000" w:sz="4" w:space="0"/>
                    <w:right w:val="nil"/>
                  </w:tcBorders>
                  <w:vAlign w:val="center"/>
                </w:tcPr>
                <w:p w14:paraId="3A7112E3">
                  <w:pPr>
                    <w:keepNext w:val="0"/>
                    <w:keepLines w:val="0"/>
                    <w:pageBreakBefore w:val="0"/>
                    <w:widowControl w:val="0"/>
                    <w:kinsoku/>
                    <w:wordWrap/>
                    <w:overflowPunct/>
                    <w:topLinePunct w:val="0"/>
                    <w:autoSpaceDE/>
                    <w:autoSpaceDN/>
                    <w:bidi w:val="0"/>
                    <w:adjustRightInd/>
                    <w:snapToGrid/>
                    <w:spacing w:line="240" w:lineRule="auto"/>
                    <w:ind w:left="0" w:right="0"/>
                    <w:textAlignment w:val="auto"/>
                    <w:rPr>
                      <w:sz w:val="2"/>
                      <w:szCs w:val="2"/>
                    </w:rPr>
                  </w:pPr>
                </w:p>
              </w:tc>
            </w:tr>
            <w:tr w14:paraId="78390AB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97" w:hRule="atLeast"/>
              </w:trPr>
              <w:tc>
                <w:tcPr>
                  <w:tcW w:w="1802" w:type="dxa"/>
                  <w:tcBorders>
                    <w:top w:val="single" w:color="000000" w:sz="4" w:space="0"/>
                    <w:left w:val="nil"/>
                    <w:bottom w:val="single" w:color="000000" w:sz="4" w:space="0"/>
                    <w:right w:val="single" w:color="000000" w:sz="4" w:space="0"/>
                  </w:tcBorders>
                  <w:vAlign w:val="center"/>
                </w:tcPr>
                <w:p w14:paraId="75D1E5AB">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sz w:val="13"/>
                    </w:rPr>
                  </w:pPr>
                  <w:r>
                    <w:rPr>
                      <w:rFonts w:ascii="Times New Roman"/>
                      <w:spacing w:val="-4"/>
                      <w:position w:val="2"/>
                      <w:sz w:val="21"/>
                    </w:rPr>
                    <w:t>BOD</w:t>
                  </w:r>
                  <w:r>
                    <w:rPr>
                      <w:rFonts w:ascii="Times New Roman"/>
                      <w:spacing w:val="-4"/>
                      <w:sz w:val="13"/>
                    </w:rPr>
                    <w:t>5</w:t>
                  </w:r>
                </w:p>
              </w:tc>
              <w:tc>
                <w:tcPr>
                  <w:tcW w:w="1958" w:type="dxa"/>
                  <w:tcBorders>
                    <w:top w:val="single" w:color="000000" w:sz="4" w:space="0"/>
                    <w:left w:val="single" w:color="000000" w:sz="4" w:space="0"/>
                    <w:bottom w:val="single" w:color="000000" w:sz="4" w:space="0"/>
                    <w:right w:val="single" w:color="000000" w:sz="4" w:space="0"/>
                  </w:tcBorders>
                  <w:vAlign w:val="center"/>
                </w:tcPr>
                <w:p w14:paraId="3D0D348C">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sz w:val="21"/>
                    </w:rPr>
                  </w:pPr>
                  <w:r>
                    <w:rPr>
                      <w:rFonts w:ascii="Times New Roman"/>
                      <w:spacing w:val="-2"/>
                      <w:sz w:val="21"/>
                    </w:rPr>
                    <w:t>300mg/L</w:t>
                  </w:r>
                </w:p>
              </w:tc>
              <w:tc>
                <w:tcPr>
                  <w:tcW w:w="4211" w:type="dxa"/>
                  <w:vMerge w:val="continue"/>
                  <w:tcBorders>
                    <w:top w:val="nil"/>
                    <w:left w:val="single" w:color="000000" w:sz="4" w:space="0"/>
                    <w:bottom w:val="single" w:color="000000" w:sz="4" w:space="0"/>
                    <w:right w:val="nil"/>
                  </w:tcBorders>
                  <w:vAlign w:val="center"/>
                </w:tcPr>
                <w:p w14:paraId="48258D7C">
                  <w:pPr>
                    <w:keepNext w:val="0"/>
                    <w:keepLines w:val="0"/>
                    <w:pageBreakBefore w:val="0"/>
                    <w:widowControl w:val="0"/>
                    <w:kinsoku/>
                    <w:wordWrap/>
                    <w:overflowPunct/>
                    <w:topLinePunct w:val="0"/>
                    <w:autoSpaceDE/>
                    <w:autoSpaceDN/>
                    <w:bidi w:val="0"/>
                    <w:adjustRightInd/>
                    <w:snapToGrid/>
                    <w:spacing w:line="240" w:lineRule="auto"/>
                    <w:ind w:left="0" w:right="0"/>
                    <w:textAlignment w:val="auto"/>
                    <w:rPr>
                      <w:sz w:val="2"/>
                      <w:szCs w:val="2"/>
                    </w:rPr>
                  </w:pPr>
                </w:p>
              </w:tc>
            </w:tr>
            <w:tr w14:paraId="381E449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1802" w:type="dxa"/>
                  <w:tcBorders>
                    <w:top w:val="single" w:color="000000" w:sz="4" w:space="0"/>
                    <w:left w:val="nil"/>
                    <w:bottom w:val="single" w:color="000000" w:sz="4" w:space="0"/>
                    <w:right w:val="single" w:color="000000" w:sz="4" w:space="0"/>
                  </w:tcBorders>
                  <w:vAlign w:val="center"/>
                </w:tcPr>
                <w:p w14:paraId="75DEAC8B">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sz w:val="21"/>
                    </w:rPr>
                  </w:pPr>
                  <w:r>
                    <w:rPr>
                      <w:rFonts w:ascii="Times New Roman"/>
                      <w:spacing w:val="-5"/>
                      <w:sz w:val="21"/>
                    </w:rPr>
                    <w:t>SS</w:t>
                  </w:r>
                </w:p>
              </w:tc>
              <w:tc>
                <w:tcPr>
                  <w:tcW w:w="1958" w:type="dxa"/>
                  <w:tcBorders>
                    <w:top w:val="single" w:color="000000" w:sz="4" w:space="0"/>
                    <w:left w:val="single" w:color="000000" w:sz="4" w:space="0"/>
                    <w:bottom w:val="single" w:color="000000" w:sz="4" w:space="0"/>
                    <w:right w:val="single" w:color="000000" w:sz="4" w:space="0"/>
                  </w:tcBorders>
                  <w:vAlign w:val="center"/>
                </w:tcPr>
                <w:p w14:paraId="26781A22">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sz w:val="21"/>
                    </w:rPr>
                  </w:pPr>
                  <w:r>
                    <w:rPr>
                      <w:rFonts w:ascii="Times New Roman"/>
                      <w:spacing w:val="-2"/>
                      <w:sz w:val="21"/>
                    </w:rPr>
                    <w:t>400mg/L</w:t>
                  </w:r>
                </w:p>
              </w:tc>
              <w:tc>
                <w:tcPr>
                  <w:tcW w:w="4211" w:type="dxa"/>
                  <w:vMerge w:val="continue"/>
                  <w:tcBorders>
                    <w:top w:val="nil"/>
                    <w:left w:val="single" w:color="000000" w:sz="4" w:space="0"/>
                    <w:bottom w:val="single" w:color="000000" w:sz="4" w:space="0"/>
                    <w:right w:val="nil"/>
                  </w:tcBorders>
                  <w:vAlign w:val="center"/>
                </w:tcPr>
                <w:p w14:paraId="12A0A60C">
                  <w:pPr>
                    <w:keepNext w:val="0"/>
                    <w:keepLines w:val="0"/>
                    <w:pageBreakBefore w:val="0"/>
                    <w:widowControl w:val="0"/>
                    <w:kinsoku/>
                    <w:wordWrap/>
                    <w:overflowPunct/>
                    <w:topLinePunct w:val="0"/>
                    <w:autoSpaceDE/>
                    <w:autoSpaceDN/>
                    <w:bidi w:val="0"/>
                    <w:adjustRightInd/>
                    <w:snapToGrid/>
                    <w:spacing w:line="240" w:lineRule="auto"/>
                    <w:ind w:left="0" w:right="0"/>
                    <w:textAlignment w:val="auto"/>
                    <w:rPr>
                      <w:sz w:val="2"/>
                      <w:szCs w:val="2"/>
                    </w:rPr>
                  </w:pPr>
                </w:p>
              </w:tc>
            </w:tr>
            <w:tr w14:paraId="71BF1EE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74" w:hRule="atLeast"/>
              </w:trPr>
              <w:tc>
                <w:tcPr>
                  <w:tcW w:w="1802" w:type="dxa"/>
                  <w:tcBorders>
                    <w:top w:val="single" w:color="000000" w:sz="4" w:space="0"/>
                    <w:left w:val="nil"/>
                    <w:right w:val="single" w:color="000000" w:sz="4" w:space="0"/>
                  </w:tcBorders>
                  <w:vAlign w:val="center"/>
                </w:tcPr>
                <w:p w14:paraId="62B26BA3">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1"/>
                    </w:rPr>
                  </w:pPr>
                  <w:r>
                    <w:rPr>
                      <w:spacing w:val="-8"/>
                      <w:sz w:val="21"/>
                    </w:rPr>
                    <w:t>氨氮</w:t>
                  </w:r>
                </w:p>
              </w:tc>
              <w:tc>
                <w:tcPr>
                  <w:tcW w:w="1958" w:type="dxa"/>
                  <w:tcBorders>
                    <w:top w:val="single" w:color="000000" w:sz="4" w:space="0"/>
                    <w:left w:val="single" w:color="000000" w:sz="4" w:space="0"/>
                    <w:right w:val="single" w:color="000000" w:sz="4" w:space="0"/>
                  </w:tcBorders>
                  <w:vAlign w:val="center"/>
                </w:tcPr>
                <w:p w14:paraId="61FE811A">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sz w:val="21"/>
                    </w:rPr>
                  </w:pPr>
                  <w:r>
                    <w:rPr>
                      <w:rFonts w:ascii="Times New Roman"/>
                      <w:spacing w:val="-2"/>
                      <w:sz w:val="21"/>
                    </w:rPr>
                    <w:t>45mg/L</w:t>
                  </w:r>
                </w:p>
              </w:tc>
              <w:tc>
                <w:tcPr>
                  <w:tcW w:w="4211" w:type="dxa"/>
                  <w:tcBorders>
                    <w:top w:val="single" w:color="000000" w:sz="4" w:space="0"/>
                    <w:left w:val="single" w:color="000000" w:sz="4" w:space="0"/>
                    <w:right w:val="nil"/>
                  </w:tcBorders>
                  <w:vAlign w:val="center"/>
                </w:tcPr>
                <w:p w14:paraId="31814617">
                  <w:pPr>
                    <w:pStyle w:val="9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sz w:val="21"/>
                    </w:rPr>
                  </w:pPr>
                  <w:r>
                    <w:rPr>
                      <w:spacing w:val="-3"/>
                      <w:sz w:val="21"/>
                    </w:rPr>
                    <w:t>《污水排入城镇下水道水质标准》</w:t>
                  </w:r>
                </w:p>
                <w:p w14:paraId="6AA79D8D">
                  <w:pPr>
                    <w:pStyle w:val="9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sz w:val="21"/>
                    </w:rPr>
                  </w:pPr>
                  <w:r>
                    <w:rPr>
                      <w:rFonts w:ascii="Times New Roman" w:eastAsia="Times New Roman"/>
                      <w:sz w:val="21"/>
                    </w:rPr>
                    <w:t>(GB/T</w:t>
                  </w:r>
                  <w:r>
                    <w:rPr>
                      <w:rFonts w:ascii="Times New Roman" w:eastAsia="Times New Roman"/>
                      <w:spacing w:val="-14"/>
                      <w:sz w:val="21"/>
                    </w:rPr>
                    <w:t xml:space="preserve"> </w:t>
                  </w:r>
                  <w:r>
                    <w:rPr>
                      <w:rFonts w:ascii="Times New Roman" w:eastAsia="Times New Roman"/>
                      <w:sz w:val="21"/>
                    </w:rPr>
                    <w:t>31962-2015)</w:t>
                  </w:r>
                  <w:r>
                    <w:rPr>
                      <w:spacing w:val="-27"/>
                      <w:sz w:val="21"/>
                    </w:rPr>
                    <w:t>表</w:t>
                  </w:r>
                  <w:r>
                    <w:rPr>
                      <w:rFonts w:ascii="Times New Roman" w:eastAsia="Times New Roman"/>
                      <w:sz w:val="21"/>
                    </w:rPr>
                    <w:t>1</w:t>
                  </w:r>
                  <w:r>
                    <w:rPr>
                      <w:spacing w:val="-27"/>
                      <w:sz w:val="21"/>
                    </w:rPr>
                    <w:t>中</w:t>
                  </w:r>
                  <w:r>
                    <w:rPr>
                      <w:rFonts w:ascii="Times New Roman" w:eastAsia="Times New Roman"/>
                      <w:sz w:val="21"/>
                    </w:rPr>
                    <w:t>B</w:t>
                  </w:r>
                  <w:r>
                    <w:rPr>
                      <w:spacing w:val="-4"/>
                      <w:sz w:val="21"/>
                    </w:rPr>
                    <w:t>级标准</w:t>
                  </w:r>
                </w:p>
              </w:tc>
            </w:tr>
          </w:tbl>
          <w:p w14:paraId="23864DB6">
            <w:pPr>
              <w:pStyle w:val="95"/>
              <w:numPr>
                <w:ilvl w:val="3"/>
                <w:numId w:val="14"/>
              </w:numPr>
              <w:tabs>
                <w:tab w:val="left" w:pos="767"/>
              </w:tabs>
              <w:spacing w:before="0" w:after="0" w:line="240" w:lineRule="auto"/>
              <w:ind w:left="767" w:right="0" w:hanging="277"/>
              <w:jc w:val="left"/>
              <w:rPr>
                <w:sz w:val="24"/>
              </w:rPr>
            </w:pPr>
            <w:r>
              <w:rPr>
                <w:rFonts w:hint="eastAsia"/>
                <w:spacing w:val="-2"/>
                <w:sz w:val="24"/>
                <w:lang w:eastAsia="zh-CN"/>
              </w:rPr>
              <w:t>污水处理厂</w:t>
            </w:r>
            <w:r>
              <w:rPr>
                <w:spacing w:val="-2"/>
                <w:sz w:val="24"/>
              </w:rPr>
              <w:t>排放标准</w:t>
            </w:r>
          </w:p>
          <w:p w14:paraId="476E2BAE">
            <w:pPr>
              <w:pStyle w:val="95"/>
              <w:spacing w:before="158" w:line="364" w:lineRule="auto"/>
              <w:ind w:left="10" w:right="87" w:firstLine="480"/>
              <w:jc w:val="both"/>
              <w:rPr>
                <w:spacing w:val="-2"/>
                <w:sz w:val="24"/>
              </w:rPr>
            </w:pPr>
            <w:r>
              <w:rPr>
                <w:spacing w:val="-2"/>
                <w:sz w:val="24"/>
              </w:rPr>
              <w:t>根据调查，</w:t>
            </w:r>
            <w:r>
              <w:rPr>
                <w:rFonts w:hint="eastAsia"/>
                <w:spacing w:val="-2"/>
                <w:sz w:val="24"/>
                <w:highlight w:val="none"/>
                <w:lang w:eastAsia="zh-CN"/>
              </w:rPr>
              <w:t>闽清县白金工业园区污水处理厂</w:t>
            </w:r>
            <w:r>
              <w:rPr>
                <w:spacing w:val="-2"/>
                <w:sz w:val="24"/>
              </w:rPr>
              <w:t>尾水排放执行《城镇污水处理厂污染物排放标准》</w:t>
            </w:r>
            <w:r>
              <w:rPr>
                <w:rFonts w:ascii="Times New Roman" w:eastAsia="Times New Roman"/>
                <w:spacing w:val="-2"/>
                <w:sz w:val="24"/>
              </w:rPr>
              <w:t>(GB18918-2002)</w:t>
            </w:r>
            <w:r>
              <w:rPr>
                <w:spacing w:val="-6"/>
                <w:sz w:val="24"/>
              </w:rPr>
              <w:t>及其修改单表</w:t>
            </w:r>
            <w:r>
              <w:rPr>
                <w:rFonts w:ascii="Times New Roman" w:eastAsia="Times New Roman"/>
                <w:spacing w:val="-2"/>
                <w:sz w:val="24"/>
              </w:rPr>
              <w:t>1</w:t>
            </w:r>
            <w:r>
              <w:rPr>
                <w:spacing w:val="-9"/>
                <w:sz w:val="24"/>
              </w:rPr>
              <w:t>的一级</w:t>
            </w:r>
            <w:r>
              <w:rPr>
                <w:rFonts w:ascii="Times New Roman" w:eastAsia="Times New Roman"/>
                <w:spacing w:val="-2"/>
                <w:sz w:val="24"/>
              </w:rPr>
              <w:t>A</w:t>
            </w:r>
            <w:r>
              <w:rPr>
                <w:spacing w:val="-2"/>
                <w:sz w:val="24"/>
              </w:rPr>
              <w:t>标准，具体详见表</w:t>
            </w:r>
            <w:r>
              <w:rPr>
                <w:rFonts w:ascii="Times New Roman" w:eastAsia="Times New Roman"/>
                <w:spacing w:val="-2"/>
                <w:sz w:val="24"/>
              </w:rPr>
              <w:t>3.</w:t>
            </w:r>
            <w:r>
              <w:rPr>
                <w:rFonts w:hint="eastAsia" w:ascii="Times New Roman" w:eastAsia="宋体"/>
                <w:spacing w:val="-2"/>
                <w:sz w:val="24"/>
                <w:lang w:val="en-US" w:eastAsia="zh-CN"/>
              </w:rPr>
              <w:t>3</w:t>
            </w:r>
            <w:r>
              <w:rPr>
                <w:rFonts w:ascii="Times New Roman" w:eastAsia="Times New Roman"/>
                <w:spacing w:val="-2"/>
                <w:sz w:val="24"/>
              </w:rPr>
              <w:t>-</w:t>
            </w:r>
            <w:r>
              <w:rPr>
                <w:rFonts w:hint="eastAsia" w:ascii="Times New Roman" w:eastAsia="宋体"/>
                <w:spacing w:val="-2"/>
                <w:sz w:val="24"/>
                <w:lang w:val="en-US" w:eastAsia="zh-CN"/>
              </w:rPr>
              <w:t>4</w:t>
            </w:r>
            <w:r>
              <w:rPr>
                <w:spacing w:val="-2"/>
                <w:sz w:val="24"/>
              </w:rPr>
              <w:t>。</w:t>
            </w:r>
          </w:p>
          <w:p w14:paraId="0DBA42E8">
            <w:pPr>
              <w:pStyle w:val="42"/>
              <w:keepNext/>
              <w:keepLines/>
              <w:pageBreakBefore w:val="0"/>
              <w:widowControl w:val="0"/>
              <w:numPr>
                <w:ilvl w:val="7"/>
                <w:numId w:val="1"/>
              </w:numPr>
              <w:kinsoku/>
              <w:wordWrap/>
              <w:overflowPunct/>
              <w:topLinePunct w:val="0"/>
              <w:autoSpaceDE/>
              <w:autoSpaceDN/>
              <w:bidi w:val="0"/>
              <w:adjustRightInd/>
              <w:snapToGrid/>
              <w:spacing w:before="0" w:after="0"/>
              <w:ind w:left="630" w:leftChars="0" w:firstLine="0" w:firstLineChars="0"/>
              <w:textAlignment w:val="auto"/>
              <w:rPr>
                <w:rFonts w:hint="eastAsia"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污水处理厂尾水排放标准一览表</w:t>
            </w:r>
          </w:p>
          <w:tbl>
            <w:tblPr>
              <w:tblStyle w:val="33"/>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90"/>
              <w:gridCol w:w="1991"/>
              <w:gridCol w:w="1992"/>
              <w:gridCol w:w="1991"/>
            </w:tblGrid>
            <w:tr w14:paraId="1CE0C7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90" w:type="dxa"/>
                  <w:tcBorders>
                    <w:tl2br w:val="nil"/>
                    <w:tr2bl w:val="nil"/>
                  </w:tcBorders>
                  <w:vAlign w:val="center"/>
                </w:tcPr>
                <w:p w14:paraId="5A289188">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sz w:val="24"/>
                      <w:vertAlign w:val="baseline"/>
                    </w:rPr>
                  </w:pPr>
                  <w:r>
                    <w:rPr>
                      <w:rFonts w:ascii="Times New Roman" w:hAnsi="Times New Roman" w:eastAsia="宋体"/>
                      <w:spacing w:val="-8"/>
                      <w:sz w:val="21"/>
                    </w:rPr>
                    <w:t>序号</w:t>
                  </w:r>
                </w:p>
              </w:tc>
              <w:tc>
                <w:tcPr>
                  <w:tcW w:w="1991" w:type="dxa"/>
                  <w:tcBorders>
                    <w:tl2br w:val="nil"/>
                    <w:tr2bl w:val="nil"/>
                  </w:tcBorders>
                  <w:vAlign w:val="center"/>
                </w:tcPr>
                <w:p w14:paraId="36C19F73">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sz w:val="24"/>
                      <w:vertAlign w:val="baseline"/>
                    </w:rPr>
                  </w:pPr>
                  <w:r>
                    <w:rPr>
                      <w:rFonts w:ascii="Times New Roman" w:hAnsi="Times New Roman" w:eastAsia="宋体"/>
                      <w:spacing w:val="-4"/>
                      <w:sz w:val="21"/>
                    </w:rPr>
                    <w:t>污染物名称</w:t>
                  </w:r>
                </w:p>
              </w:tc>
              <w:tc>
                <w:tcPr>
                  <w:tcW w:w="1992" w:type="dxa"/>
                  <w:tcBorders>
                    <w:tl2br w:val="nil"/>
                    <w:tr2bl w:val="nil"/>
                  </w:tcBorders>
                  <w:vAlign w:val="center"/>
                </w:tcPr>
                <w:p w14:paraId="35DA60A4">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sz w:val="24"/>
                      <w:vertAlign w:val="baseline"/>
                    </w:rPr>
                  </w:pPr>
                  <w:r>
                    <w:rPr>
                      <w:rFonts w:ascii="Times New Roman" w:hAnsi="Times New Roman" w:eastAsia="宋体"/>
                      <w:spacing w:val="-11"/>
                      <w:sz w:val="21"/>
                    </w:rPr>
                    <w:t>一级标准</w:t>
                  </w:r>
                  <w:r>
                    <w:rPr>
                      <w:rFonts w:ascii="Times New Roman" w:hAnsi="Times New Roman" w:eastAsia="宋体"/>
                      <w:sz w:val="21"/>
                    </w:rPr>
                    <w:t>A</w:t>
                  </w:r>
                  <w:r>
                    <w:rPr>
                      <w:rFonts w:ascii="Times New Roman" w:hAnsi="Times New Roman" w:eastAsia="宋体"/>
                      <w:spacing w:val="-5"/>
                      <w:sz w:val="21"/>
                    </w:rPr>
                    <w:t>标准</w:t>
                  </w:r>
                </w:p>
              </w:tc>
              <w:tc>
                <w:tcPr>
                  <w:tcW w:w="1991" w:type="dxa"/>
                  <w:tcBorders>
                    <w:tl2br w:val="nil"/>
                    <w:tr2bl w:val="nil"/>
                  </w:tcBorders>
                  <w:vAlign w:val="center"/>
                </w:tcPr>
                <w:p w14:paraId="1F223BCB">
                  <w:pPr>
                    <w:pStyle w:val="9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ascii="Times New Roman" w:hAnsi="Times New Roman" w:eastAsia="宋体"/>
                      <w:sz w:val="24"/>
                      <w:vertAlign w:val="baseline"/>
                    </w:rPr>
                  </w:pPr>
                  <w:r>
                    <w:rPr>
                      <w:rFonts w:ascii="Times New Roman" w:hAnsi="Times New Roman" w:eastAsia="宋体"/>
                      <w:spacing w:val="-7"/>
                      <w:sz w:val="21"/>
                    </w:rPr>
                    <w:t>标准来源</w:t>
                  </w:r>
                </w:p>
              </w:tc>
            </w:tr>
            <w:tr w14:paraId="1C8364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90" w:type="dxa"/>
                  <w:tcBorders>
                    <w:tl2br w:val="nil"/>
                    <w:tr2bl w:val="nil"/>
                  </w:tcBorders>
                  <w:vAlign w:val="center"/>
                </w:tcPr>
                <w:p w14:paraId="18EF064E">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ascii="Times New Roman" w:hAnsi="Times New Roman" w:eastAsia="宋体"/>
                      <w:sz w:val="24"/>
                      <w:vertAlign w:val="baseline"/>
                    </w:rPr>
                  </w:pPr>
                  <w:r>
                    <w:rPr>
                      <w:rFonts w:ascii="Times New Roman" w:hAnsi="Times New Roman" w:eastAsia="宋体"/>
                      <w:spacing w:val="-10"/>
                      <w:sz w:val="21"/>
                    </w:rPr>
                    <w:t>1</w:t>
                  </w:r>
                </w:p>
              </w:tc>
              <w:tc>
                <w:tcPr>
                  <w:tcW w:w="1991" w:type="dxa"/>
                  <w:tcBorders>
                    <w:tl2br w:val="nil"/>
                    <w:tr2bl w:val="nil"/>
                  </w:tcBorders>
                  <w:vAlign w:val="center"/>
                </w:tcPr>
                <w:p w14:paraId="2C58C524">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sz w:val="24"/>
                      <w:vertAlign w:val="baseline"/>
                    </w:rPr>
                  </w:pPr>
                  <w:r>
                    <w:rPr>
                      <w:rFonts w:ascii="Times New Roman" w:hAnsi="Times New Roman" w:eastAsia="宋体"/>
                      <w:spacing w:val="-5"/>
                      <w:sz w:val="21"/>
                    </w:rPr>
                    <w:t>pH</w:t>
                  </w:r>
                </w:p>
              </w:tc>
              <w:tc>
                <w:tcPr>
                  <w:tcW w:w="1992" w:type="dxa"/>
                  <w:tcBorders>
                    <w:tl2br w:val="nil"/>
                    <w:tr2bl w:val="nil"/>
                  </w:tcBorders>
                  <w:vAlign w:val="center"/>
                </w:tcPr>
                <w:p w14:paraId="7F478103">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ascii="Times New Roman" w:hAnsi="Times New Roman" w:eastAsia="宋体"/>
                      <w:sz w:val="24"/>
                      <w:vertAlign w:val="baseline"/>
                    </w:rPr>
                  </w:pPr>
                  <w:r>
                    <w:rPr>
                      <w:rFonts w:ascii="Times New Roman" w:hAnsi="Times New Roman" w:eastAsia="宋体"/>
                      <w:spacing w:val="-2"/>
                      <w:sz w:val="21"/>
                    </w:rPr>
                    <w:t>6～9(无量纲</w:t>
                  </w:r>
                  <w:r>
                    <w:rPr>
                      <w:rFonts w:ascii="Times New Roman" w:hAnsi="Times New Roman" w:eastAsia="宋体"/>
                      <w:spacing w:val="-10"/>
                      <w:sz w:val="21"/>
                    </w:rPr>
                    <w:t>)</w:t>
                  </w:r>
                </w:p>
              </w:tc>
              <w:tc>
                <w:tcPr>
                  <w:tcW w:w="1991" w:type="dxa"/>
                  <w:vMerge w:val="restart"/>
                  <w:tcBorders>
                    <w:tl2br w:val="nil"/>
                    <w:tr2bl w:val="nil"/>
                  </w:tcBorders>
                  <w:vAlign w:val="center"/>
                </w:tcPr>
                <w:p w14:paraId="11720790">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4"/>
                      <w:vertAlign w:val="baseline"/>
                    </w:rPr>
                  </w:pPr>
                  <w:r>
                    <w:rPr>
                      <w:rFonts w:ascii="Times New Roman" w:hAnsi="Times New Roman" w:eastAsia="宋体"/>
                      <w:spacing w:val="-2"/>
                      <w:sz w:val="21"/>
                    </w:rPr>
                    <w:t>《城镇污水处理厂污染物排放标准》(GB18918-2002)及其修</w:t>
                  </w:r>
                  <w:r>
                    <w:rPr>
                      <w:rFonts w:ascii="Times New Roman" w:hAnsi="Times New Roman" w:eastAsia="宋体"/>
                      <w:spacing w:val="-14"/>
                      <w:sz w:val="21"/>
                    </w:rPr>
                    <w:t>改单表</w:t>
                  </w:r>
                  <w:r>
                    <w:rPr>
                      <w:rFonts w:ascii="Times New Roman" w:hAnsi="Times New Roman" w:eastAsia="宋体"/>
                      <w:spacing w:val="-10"/>
                      <w:sz w:val="21"/>
                    </w:rPr>
                    <w:t>1</w:t>
                  </w:r>
                </w:p>
              </w:tc>
            </w:tr>
            <w:tr w14:paraId="691903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90" w:type="dxa"/>
                  <w:tcBorders>
                    <w:tl2br w:val="nil"/>
                    <w:tr2bl w:val="nil"/>
                  </w:tcBorders>
                  <w:vAlign w:val="center"/>
                </w:tcPr>
                <w:p w14:paraId="7EFD3106">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ascii="Times New Roman" w:hAnsi="Times New Roman" w:eastAsia="宋体"/>
                      <w:sz w:val="24"/>
                      <w:vertAlign w:val="baseline"/>
                    </w:rPr>
                  </w:pPr>
                  <w:r>
                    <w:rPr>
                      <w:rFonts w:ascii="Times New Roman" w:hAnsi="Times New Roman" w:eastAsia="宋体"/>
                      <w:spacing w:val="-10"/>
                      <w:sz w:val="21"/>
                    </w:rPr>
                    <w:t>2</w:t>
                  </w:r>
                </w:p>
              </w:tc>
              <w:tc>
                <w:tcPr>
                  <w:tcW w:w="1991" w:type="dxa"/>
                  <w:tcBorders>
                    <w:tl2br w:val="nil"/>
                    <w:tr2bl w:val="nil"/>
                  </w:tcBorders>
                  <w:vAlign w:val="center"/>
                </w:tcPr>
                <w:p w14:paraId="3330027F">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ascii="Times New Roman" w:hAnsi="Times New Roman" w:eastAsia="宋体"/>
                      <w:sz w:val="24"/>
                      <w:vertAlign w:val="baseline"/>
                    </w:rPr>
                  </w:pPr>
                  <w:r>
                    <w:rPr>
                      <w:rFonts w:ascii="Times New Roman" w:hAnsi="Times New Roman" w:eastAsia="宋体"/>
                      <w:spacing w:val="-5"/>
                      <w:sz w:val="21"/>
                    </w:rPr>
                    <w:t>COD</w:t>
                  </w:r>
                </w:p>
              </w:tc>
              <w:tc>
                <w:tcPr>
                  <w:tcW w:w="1992" w:type="dxa"/>
                  <w:tcBorders>
                    <w:tl2br w:val="nil"/>
                    <w:tr2bl w:val="nil"/>
                  </w:tcBorders>
                  <w:vAlign w:val="center"/>
                </w:tcPr>
                <w:p w14:paraId="24C47B68">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sz w:val="24"/>
                      <w:vertAlign w:val="baseline"/>
                    </w:rPr>
                  </w:pPr>
                  <w:r>
                    <w:rPr>
                      <w:rFonts w:ascii="Times New Roman" w:hAnsi="Times New Roman" w:eastAsia="宋体"/>
                      <w:spacing w:val="-2"/>
                      <w:sz w:val="21"/>
                    </w:rPr>
                    <w:t>50mg/L</w:t>
                  </w:r>
                </w:p>
              </w:tc>
              <w:tc>
                <w:tcPr>
                  <w:tcW w:w="1991" w:type="dxa"/>
                  <w:vMerge w:val="continue"/>
                  <w:tcBorders>
                    <w:tl2br w:val="nil"/>
                    <w:tr2bl w:val="nil"/>
                  </w:tcBorders>
                  <w:vAlign w:val="center"/>
                </w:tcPr>
                <w:p w14:paraId="506FF9AF">
                  <w:pPr>
                    <w:pStyle w:val="9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ascii="Times New Roman" w:hAnsi="Times New Roman" w:eastAsia="宋体"/>
                      <w:sz w:val="24"/>
                      <w:vertAlign w:val="baseline"/>
                    </w:rPr>
                  </w:pPr>
                </w:p>
              </w:tc>
            </w:tr>
            <w:tr w14:paraId="369A15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90" w:type="dxa"/>
                  <w:tcBorders>
                    <w:tl2br w:val="nil"/>
                    <w:tr2bl w:val="nil"/>
                  </w:tcBorders>
                  <w:vAlign w:val="center"/>
                </w:tcPr>
                <w:p w14:paraId="51593192">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ascii="Times New Roman" w:hAnsi="Times New Roman" w:eastAsia="宋体"/>
                      <w:sz w:val="24"/>
                      <w:vertAlign w:val="baseline"/>
                    </w:rPr>
                  </w:pPr>
                  <w:r>
                    <w:rPr>
                      <w:rFonts w:ascii="Times New Roman" w:hAnsi="Times New Roman" w:eastAsia="宋体"/>
                      <w:spacing w:val="-10"/>
                      <w:sz w:val="21"/>
                    </w:rPr>
                    <w:t>3</w:t>
                  </w:r>
                </w:p>
              </w:tc>
              <w:tc>
                <w:tcPr>
                  <w:tcW w:w="1991" w:type="dxa"/>
                  <w:tcBorders>
                    <w:tl2br w:val="nil"/>
                    <w:tr2bl w:val="nil"/>
                  </w:tcBorders>
                  <w:vAlign w:val="center"/>
                </w:tcPr>
                <w:p w14:paraId="50594BE8">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sz w:val="24"/>
                      <w:vertAlign w:val="baseline"/>
                    </w:rPr>
                  </w:pPr>
                  <w:r>
                    <w:rPr>
                      <w:rFonts w:ascii="Times New Roman" w:hAnsi="Times New Roman" w:eastAsia="宋体"/>
                      <w:spacing w:val="-4"/>
                      <w:position w:val="2"/>
                      <w:sz w:val="21"/>
                    </w:rPr>
                    <w:t>BOD</w:t>
                  </w:r>
                  <w:r>
                    <w:rPr>
                      <w:rFonts w:ascii="Times New Roman" w:hAnsi="Times New Roman" w:eastAsia="宋体"/>
                      <w:spacing w:val="-4"/>
                      <w:sz w:val="13"/>
                    </w:rPr>
                    <w:t>5</w:t>
                  </w:r>
                </w:p>
              </w:tc>
              <w:tc>
                <w:tcPr>
                  <w:tcW w:w="1992" w:type="dxa"/>
                  <w:tcBorders>
                    <w:tl2br w:val="nil"/>
                    <w:tr2bl w:val="nil"/>
                  </w:tcBorders>
                  <w:vAlign w:val="center"/>
                </w:tcPr>
                <w:p w14:paraId="721EAC22">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sz w:val="24"/>
                      <w:vertAlign w:val="baseline"/>
                    </w:rPr>
                  </w:pPr>
                  <w:r>
                    <w:rPr>
                      <w:rFonts w:ascii="Times New Roman" w:hAnsi="Times New Roman" w:eastAsia="宋体"/>
                      <w:spacing w:val="-2"/>
                      <w:sz w:val="21"/>
                    </w:rPr>
                    <w:t>10mg/L</w:t>
                  </w:r>
                </w:p>
              </w:tc>
              <w:tc>
                <w:tcPr>
                  <w:tcW w:w="1991" w:type="dxa"/>
                  <w:vMerge w:val="continue"/>
                  <w:tcBorders>
                    <w:tl2br w:val="nil"/>
                    <w:tr2bl w:val="nil"/>
                  </w:tcBorders>
                  <w:vAlign w:val="center"/>
                </w:tcPr>
                <w:p w14:paraId="77A8A733">
                  <w:pPr>
                    <w:pStyle w:val="9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ascii="Times New Roman" w:hAnsi="Times New Roman" w:eastAsia="宋体"/>
                      <w:sz w:val="24"/>
                      <w:vertAlign w:val="baseline"/>
                    </w:rPr>
                  </w:pPr>
                </w:p>
              </w:tc>
            </w:tr>
            <w:tr w14:paraId="23A72E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90" w:type="dxa"/>
                  <w:tcBorders>
                    <w:tl2br w:val="nil"/>
                    <w:tr2bl w:val="nil"/>
                  </w:tcBorders>
                  <w:vAlign w:val="center"/>
                </w:tcPr>
                <w:p w14:paraId="19D4AB91">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ascii="Times New Roman" w:hAnsi="Times New Roman" w:eastAsia="宋体"/>
                      <w:sz w:val="24"/>
                      <w:vertAlign w:val="baseline"/>
                    </w:rPr>
                  </w:pPr>
                  <w:r>
                    <w:rPr>
                      <w:rFonts w:ascii="Times New Roman" w:hAnsi="Times New Roman" w:eastAsia="宋体"/>
                      <w:spacing w:val="-10"/>
                      <w:sz w:val="21"/>
                    </w:rPr>
                    <w:t>4</w:t>
                  </w:r>
                </w:p>
              </w:tc>
              <w:tc>
                <w:tcPr>
                  <w:tcW w:w="1991" w:type="dxa"/>
                  <w:tcBorders>
                    <w:tl2br w:val="nil"/>
                    <w:tr2bl w:val="nil"/>
                  </w:tcBorders>
                  <w:vAlign w:val="center"/>
                </w:tcPr>
                <w:p w14:paraId="141FC117">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sz w:val="24"/>
                      <w:vertAlign w:val="baseline"/>
                    </w:rPr>
                  </w:pPr>
                  <w:r>
                    <w:rPr>
                      <w:rFonts w:ascii="Times New Roman" w:hAnsi="Times New Roman" w:eastAsia="宋体"/>
                      <w:spacing w:val="-5"/>
                      <w:sz w:val="21"/>
                    </w:rPr>
                    <w:t>SS</w:t>
                  </w:r>
                </w:p>
              </w:tc>
              <w:tc>
                <w:tcPr>
                  <w:tcW w:w="1992" w:type="dxa"/>
                  <w:tcBorders>
                    <w:tl2br w:val="nil"/>
                    <w:tr2bl w:val="nil"/>
                  </w:tcBorders>
                  <w:vAlign w:val="center"/>
                </w:tcPr>
                <w:p w14:paraId="4ECF1B5C">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sz w:val="24"/>
                      <w:vertAlign w:val="baseline"/>
                    </w:rPr>
                  </w:pPr>
                  <w:r>
                    <w:rPr>
                      <w:rFonts w:ascii="Times New Roman" w:hAnsi="Times New Roman" w:eastAsia="宋体"/>
                      <w:spacing w:val="-2"/>
                      <w:sz w:val="21"/>
                    </w:rPr>
                    <w:t>10mg/L</w:t>
                  </w:r>
                </w:p>
              </w:tc>
              <w:tc>
                <w:tcPr>
                  <w:tcW w:w="1991" w:type="dxa"/>
                  <w:vMerge w:val="continue"/>
                  <w:tcBorders>
                    <w:tl2br w:val="nil"/>
                    <w:tr2bl w:val="nil"/>
                  </w:tcBorders>
                  <w:vAlign w:val="center"/>
                </w:tcPr>
                <w:p w14:paraId="5A46114E">
                  <w:pPr>
                    <w:pStyle w:val="9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ascii="Times New Roman" w:hAnsi="Times New Roman" w:eastAsia="宋体"/>
                      <w:sz w:val="24"/>
                      <w:vertAlign w:val="baseline"/>
                    </w:rPr>
                  </w:pPr>
                </w:p>
              </w:tc>
            </w:tr>
            <w:tr w14:paraId="6AD8BF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90" w:type="dxa"/>
                  <w:tcBorders>
                    <w:tl2br w:val="nil"/>
                    <w:tr2bl w:val="nil"/>
                  </w:tcBorders>
                  <w:vAlign w:val="center"/>
                </w:tcPr>
                <w:p w14:paraId="69A01AFD">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ascii="Times New Roman" w:hAnsi="Times New Roman" w:eastAsia="宋体"/>
                      <w:sz w:val="24"/>
                      <w:vertAlign w:val="baseline"/>
                    </w:rPr>
                  </w:pPr>
                  <w:r>
                    <w:rPr>
                      <w:rFonts w:ascii="Times New Roman" w:hAnsi="Times New Roman" w:eastAsia="宋体"/>
                      <w:spacing w:val="-10"/>
                      <w:sz w:val="21"/>
                    </w:rPr>
                    <w:t>5</w:t>
                  </w:r>
                </w:p>
              </w:tc>
              <w:tc>
                <w:tcPr>
                  <w:tcW w:w="1991" w:type="dxa"/>
                  <w:tcBorders>
                    <w:tl2br w:val="nil"/>
                    <w:tr2bl w:val="nil"/>
                  </w:tcBorders>
                  <w:vAlign w:val="center"/>
                </w:tcPr>
                <w:p w14:paraId="3B0B44B8">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sz w:val="24"/>
                      <w:vertAlign w:val="baseline"/>
                    </w:rPr>
                  </w:pPr>
                  <w:r>
                    <w:rPr>
                      <w:rFonts w:ascii="Times New Roman" w:hAnsi="Times New Roman" w:eastAsia="宋体"/>
                      <w:spacing w:val="-2"/>
                      <w:position w:val="2"/>
                      <w:sz w:val="21"/>
                    </w:rPr>
                    <w:t>NH</w:t>
                  </w:r>
                  <w:r>
                    <w:rPr>
                      <w:rFonts w:ascii="Times New Roman" w:hAnsi="Times New Roman" w:eastAsia="宋体"/>
                      <w:spacing w:val="-2"/>
                      <w:sz w:val="13"/>
                    </w:rPr>
                    <w:t>3</w:t>
                  </w:r>
                  <w:r>
                    <w:rPr>
                      <w:rFonts w:ascii="Times New Roman" w:hAnsi="Times New Roman" w:eastAsia="宋体"/>
                      <w:spacing w:val="-2"/>
                      <w:position w:val="2"/>
                      <w:sz w:val="21"/>
                    </w:rPr>
                    <w:t>-</w:t>
                  </w:r>
                  <w:r>
                    <w:rPr>
                      <w:rFonts w:ascii="Times New Roman" w:hAnsi="Times New Roman" w:eastAsia="宋体"/>
                      <w:spacing w:val="-10"/>
                      <w:position w:val="2"/>
                      <w:sz w:val="21"/>
                    </w:rPr>
                    <w:t>N</w:t>
                  </w:r>
                </w:p>
              </w:tc>
              <w:tc>
                <w:tcPr>
                  <w:tcW w:w="1992" w:type="dxa"/>
                  <w:tcBorders>
                    <w:tl2br w:val="nil"/>
                    <w:tr2bl w:val="nil"/>
                  </w:tcBorders>
                  <w:vAlign w:val="center"/>
                </w:tcPr>
                <w:p w14:paraId="05166DAA">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sz w:val="24"/>
                      <w:vertAlign w:val="baseline"/>
                    </w:rPr>
                  </w:pPr>
                  <w:r>
                    <w:rPr>
                      <w:rFonts w:ascii="Times New Roman" w:hAnsi="Times New Roman" w:eastAsia="宋体"/>
                      <w:spacing w:val="-2"/>
                      <w:sz w:val="21"/>
                    </w:rPr>
                    <w:t>5mg/L</w:t>
                  </w:r>
                </w:p>
              </w:tc>
              <w:tc>
                <w:tcPr>
                  <w:tcW w:w="1991" w:type="dxa"/>
                  <w:vMerge w:val="continue"/>
                  <w:tcBorders>
                    <w:tl2br w:val="nil"/>
                    <w:tr2bl w:val="nil"/>
                  </w:tcBorders>
                  <w:vAlign w:val="center"/>
                </w:tcPr>
                <w:p w14:paraId="0BB9F05F">
                  <w:pPr>
                    <w:pStyle w:val="9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ascii="Times New Roman" w:hAnsi="Times New Roman" w:eastAsia="宋体"/>
                      <w:sz w:val="24"/>
                      <w:vertAlign w:val="baseline"/>
                    </w:rPr>
                  </w:pPr>
                </w:p>
              </w:tc>
            </w:tr>
            <w:tr w14:paraId="05CA1D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90" w:type="dxa"/>
                  <w:tcBorders>
                    <w:tl2br w:val="nil"/>
                    <w:tr2bl w:val="nil"/>
                  </w:tcBorders>
                  <w:vAlign w:val="center"/>
                </w:tcPr>
                <w:p w14:paraId="32DAA65B">
                  <w:pPr>
                    <w:pStyle w:val="9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hint="eastAsia" w:ascii="Times New Roman" w:hAnsi="Times New Roman" w:eastAsia="宋体"/>
                      <w:sz w:val="24"/>
                      <w:vertAlign w:val="baseline"/>
                      <w:lang w:val="en-US" w:eastAsia="zh-CN"/>
                    </w:rPr>
                  </w:pPr>
                  <w:r>
                    <w:rPr>
                      <w:rFonts w:hint="eastAsia" w:ascii="Times New Roman" w:hAnsi="Times New Roman" w:eastAsia="宋体"/>
                      <w:sz w:val="24"/>
                      <w:vertAlign w:val="baseline"/>
                      <w:lang w:val="en-US" w:eastAsia="zh-CN"/>
                    </w:rPr>
                    <w:t>6</w:t>
                  </w:r>
                </w:p>
              </w:tc>
              <w:tc>
                <w:tcPr>
                  <w:tcW w:w="1991" w:type="dxa"/>
                  <w:tcBorders>
                    <w:tl2br w:val="nil"/>
                    <w:tr2bl w:val="nil"/>
                  </w:tcBorders>
                  <w:vAlign w:val="center"/>
                </w:tcPr>
                <w:p w14:paraId="4900A435">
                  <w:pPr>
                    <w:pStyle w:val="9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hint="default" w:ascii="Times New Roman" w:hAnsi="Times New Roman" w:eastAsia="宋体"/>
                      <w:sz w:val="24"/>
                      <w:vertAlign w:val="baseline"/>
                      <w:lang w:val="en-US" w:eastAsia="zh-CN"/>
                    </w:rPr>
                  </w:pPr>
                  <w:r>
                    <w:rPr>
                      <w:rFonts w:hint="eastAsia" w:ascii="Times New Roman" w:hAnsi="Times New Roman" w:eastAsia="宋体"/>
                      <w:sz w:val="24"/>
                      <w:vertAlign w:val="baseline"/>
                      <w:lang w:val="en-US" w:eastAsia="zh-CN"/>
                    </w:rPr>
                    <w:t>动植物油</w:t>
                  </w:r>
                </w:p>
              </w:tc>
              <w:tc>
                <w:tcPr>
                  <w:tcW w:w="1992" w:type="dxa"/>
                  <w:tcBorders>
                    <w:tl2br w:val="nil"/>
                    <w:tr2bl w:val="nil"/>
                  </w:tcBorders>
                  <w:vAlign w:val="center"/>
                </w:tcPr>
                <w:p w14:paraId="3AA037AA">
                  <w:pPr>
                    <w:keepNext w:val="0"/>
                    <w:keepLines w:val="0"/>
                    <w:pageBreakBefore w:val="0"/>
                    <w:widowControl w:val="0"/>
                    <w:tabs>
                      <w:tab w:val="left" w:pos="3741"/>
                      <w:tab w:val="left" w:pos="5726"/>
                    </w:tabs>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sz w:val="24"/>
                      <w:vertAlign w:val="baseline"/>
                      <w:lang w:val="en-US" w:eastAsia="zh-CN"/>
                    </w:rPr>
                  </w:pPr>
                  <w:r>
                    <w:rPr>
                      <w:rFonts w:ascii="Times New Roman" w:hAnsi="Times New Roman" w:eastAsia="宋体"/>
                      <w:spacing w:val="-4"/>
                      <w:sz w:val="21"/>
                    </w:rPr>
                    <w:t>1mg/L</w:t>
                  </w:r>
                </w:p>
              </w:tc>
              <w:tc>
                <w:tcPr>
                  <w:tcW w:w="1991" w:type="dxa"/>
                  <w:vMerge w:val="continue"/>
                  <w:tcBorders>
                    <w:tl2br w:val="nil"/>
                    <w:tr2bl w:val="nil"/>
                  </w:tcBorders>
                  <w:vAlign w:val="center"/>
                </w:tcPr>
                <w:p w14:paraId="7518DA6A">
                  <w:pPr>
                    <w:pStyle w:val="9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ascii="Times New Roman" w:hAnsi="Times New Roman" w:eastAsia="宋体"/>
                      <w:sz w:val="24"/>
                      <w:vertAlign w:val="baseline"/>
                    </w:rPr>
                  </w:pPr>
                </w:p>
              </w:tc>
            </w:tr>
          </w:tbl>
          <w:p w14:paraId="4EC176D1">
            <w:pPr>
              <w:pStyle w:val="95"/>
              <w:rPr>
                <w:sz w:val="24"/>
              </w:rPr>
            </w:pPr>
          </w:p>
          <w:p w14:paraId="5CE7A3C0">
            <w:pPr>
              <w:pStyle w:val="4"/>
              <w:numPr>
                <w:ilvl w:val="2"/>
                <w:numId w:val="1"/>
              </w:numPr>
              <w:bidi w:val="0"/>
              <w:ind w:left="720" w:leftChars="0" w:hanging="720" w:firstLineChars="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噪声排放标准</w:t>
            </w:r>
          </w:p>
          <w:p w14:paraId="784A0B26">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运营期</w:t>
            </w:r>
            <w:r>
              <w:rPr>
                <w:rFonts w:hint="default" w:ascii="Times New Roman" w:hAnsi="Times New Roman" w:cs="Times New Roman"/>
                <w:color w:val="000000" w:themeColor="text1"/>
                <w:highlight w:val="none"/>
                <w14:textFill>
                  <w14:solidFill>
                    <w14:schemeClr w14:val="tx1"/>
                  </w14:solidFill>
                </w14:textFill>
              </w:rPr>
              <w:t>厂界噪声执行《工业企业厂界环境噪声排放标准》</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GB12348-2008</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中</w:t>
            </w:r>
            <w:r>
              <w:rPr>
                <w:rFonts w:hint="eastAsia"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类标准。</w:t>
            </w:r>
          </w:p>
          <w:p w14:paraId="76BE9C4A">
            <w:pPr>
              <w:pStyle w:val="42"/>
              <w:keepNext/>
              <w:keepLines/>
              <w:pageBreakBefore w:val="0"/>
              <w:widowControl w:val="0"/>
              <w:numPr>
                <w:ilvl w:val="7"/>
                <w:numId w:val="1"/>
              </w:numPr>
              <w:kinsoku/>
              <w:wordWrap/>
              <w:overflowPunct/>
              <w:topLinePunct w:val="0"/>
              <w:autoSpaceDE/>
              <w:autoSpaceDN/>
              <w:bidi w:val="0"/>
              <w:adjustRightInd/>
              <w:snapToGrid/>
              <w:spacing w:before="0" w:after="0"/>
              <w:ind w:left="630" w:leftChars="0" w:firstLine="0" w:firstLineChars="0"/>
              <w:textAlignment w:val="auto"/>
              <w:rPr>
                <w:rFonts w:hint="default" w:ascii="Times New Roman" w:hAnsi="Times New Roman" w:eastAsia="宋体" w:cs="宋体"/>
                <w:color w:val="000000" w:themeColor="text1"/>
                <w:highlight w:val="none"/>
                <w:lang w:val="en-US" w:eastAsia="zh-CN"/>
                <w14:textFill>
                  <w14:solidFill>
                    <w14:schemeClr w14:val="tx1"/>
                  </w14:solidFill>
                </w14:textFill>
              </w:rPr>
            </w:pPr>
            <w:r>
              <w:rPr>
                <w:rFonts w:hint="default" w:ascii="Times New Roman" w:hAnsi="Times New Roman" w:eastAsia="宋体" w:cs="宋体"/>
                <w:color w:val="000000" w:themeColor="text1"/>
                <w:highlight w:val="none"/>
                <w:lang w:val="en-US" w:eastAsia="zh-CN"/>
                <w14:textFill>
                  <w14:solidFill>
                    <w14:schemeClr w14:val="tx1"/>
                  </w14:solidFill>
                </w14:textFill>
              </w:rPr>
              <w:t>工业企业厂界环境噪声</w:t>
            </w:r>
            <w:r>
              <w:rPr>
                <w:rFonts w:hint="eastAsia" w:ascii="Times New Roman" w:hAnsi="Times New Roman" w:eastAsia="宋体" w:cs="宋体"/>
                <w:color w:val="000000" w:themeColor="text1"/>
                <w:highlight w:val="none"/>
                <w:lang w:val="en-US" w:eastAsia="zh-CN"/>
                <w14:textFill>
                  <w14:solidFill>
                    <w14:schemeClr w14:val="tx1"/>
                  </w14:solidFill>
                </w14:textFill>
              </w:rPr>
              <w:t>排放限值</w:t>
            </w:r>
          </w:p>
          <w:tbl>
            <w:tblPr>
              <w:tblStyle w:val="32"/>
              <w:tblW w:w="79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58"/>
              <w:gridCol w:w="2658"/>
              <w:gridCol w:w="2655"/>
            </w:tblGrid>
            <w:tr w14:paraId="485F21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658" w:type="dxa"/>
                  <w:tcBorders>
                    <w:tl2br w:val="nil"/>
                    <w:tr2bl w:val="nil"/>
                  </w:tcBorders>
                  <w:vAlign w:val="center"/>
                </w:tcPr>
                <w:p w14:paraId="02CB95C1">
                  <w:pPr>
                    <w:pStyle w:val="46"/>
                    <w:keepNext w:val="0"/>
                    <w:keepLines w:val="0"/>
                    <w:suppressLineNumbers w:val="0"/>
                    <w:tabs>
                      <w:tab w:val="left" w:pos="0"/>
                    </w:tabs>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类别</w:t>
                  </w:r>
                </w:p>
              </w:tc>
              <w:tc>
                <w:tcPr>
                  <w:tcW w:w="2658" w:type="dxa"/>
                  <w:tcBorders>
                    <w:tl2br w:val="nil"/>
                    <w:tr2bl w:val="nil"/>
                  </w:tcBorders>
                  <w:vAlign w:val="center"/>
                </w:tcPr>
                <w:p w14:paraId="42F9CF29">
                  <w:pPr>
                    <w:pStyle w:val="46"/>
                    <w:keepNext w:val="0"/>
                    <w:keepLines w:val="0"/>
                    <w:suppressLineNumbers w:val="0"/>
                    <w:tabs>
                      <w:tab w:val="left" w:pos="0"/>
                    </w:tabs>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昼间</w:t>
                  </w:r>
                </w:p>
              </w:tc>
              <w:tc>
                <w:tcPr>
                  <w:tcW w:w="2655" w:type="dxa"/>
                  <w:tcBorders>
                    <w:tl2br w:val="nil"/>
                    <w:tr2bl w:val="nil"/>
                  </w:tcBorders>
                  <w:vAlign w:val="center"/>
                </w:tcPr>
                <w:p w14:paraId="64BD5442">
                  <w:pPr>
                    <w:pStyle w:val="46"/>
                    <w:keepNext w:val="0"/>
                    <w:keepLines w:val="0"/>
                    <w:suppressLineNumbers w:val="0"/>
                    <w:tabs>
                      <w:tab w:val="left" w:pos="0"/>
                    </w:tabs>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夜间</w:t>
                  </w:r>
                </w:p>
              </w:tc>
            </w:tr>
            <w:tr w14:paraId="53A716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658" w:type="dxa"/>
                  <w:tcBorders>
                    <w:tl2br w:val="nil"/>
                    <w:tr2bl w:val="nil"/>
                  </w:tcBorders>
                  <w:vAlign w:val="center"/>
                </w:tcPr>
                <w:p w14:paraId="349B4C77">
                  <w:pPr>
                    <w:pStyle w:val="46"/>
                    <w:keepNext w:val="0"/>
                    <w:keepLines w:val="0"/>
                    <w:suppressLineNumbers w:val="0"/>
                    <w:tabs>
                      <w:tab w:val="left" w:pos="0"/>
                    </w:tabs>
                    <w:bidi w:val="0"/>
                    <w:spacing w:before="0" w:beforeAutospacing="0" w:after="0" w:afterAutospacing="0"/>
                    <w:ind w:left="0" w:leftChars="0" w:right="0" w:rightChars="0" w:firstLine="0" w:firstLineChars="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default"/>
                      <w:color w:val="000000" w:themeColor="text1"/>
                      <w14:textFill>
                        <w14:solidFill>
                          <w14:schemeClr w14:val="tx1"/>
                        </w14:solidFill>
                      </w14:textFill>
                    </w:rPr>
                    <w:t>类</w:t>
                  </w:r>
                </w:p>
              </w:tc>
              <w:tc>
                <w:tcPr>
                  <w:tcW w:w="2658" w:type="dxa"/>
                  <w:tcBorders>
                    <w:tl2br w:val="nil"/>
                    <w:tr2bl w:val="nil"/>
                  </w:tcBorders>
                  <w:vAlign w:val="center"/>
                </w:tcPr>
                <w:p w14:paraId="6CDCC721">
                  <w:pPr>
                    <w:pStyle w:val="46"/>
                    <w:keepNext w:val="0"/>
                    <w:keepLines w:val="0"/>
                    <w:suppressLineNumbers w:val="0"/>
                    <w:tabs>
                      <w:tab w:val="left" w:pos="0"/>
                    </w:tabs>
                    <w:bidi w:val="0"/>
                    <w:spacing w:before="0" w:beforeAutospacing="0" w:after="0" w:afterAutospacing="0"/>
                    <w:ind w:left="0" w:leftChars="0" w:right="0" w:rightChars="0" w:firstLine="0" w:firstLineChars="0"/>
                    <w:rPr>
                      <w:rFonts w:hint="default" w:eastAsia="宋体"/>
                      <w:color w:val="000000" w:themeColor="text1"/>
                      <w:lang w:val="en-US" w:eastAsia="zh-CN"/>
                      <w14:textFill>
                        <w14:solidFill>
                          <w14:schemeClr w14:val="tx1"/>
                        </w14:solidFill>
                      </w14:textFill>
                    </w:rPr>
                  </w:pPr>
                  <w:r>
                    <w:rPr>
                      <w:rFonts w:ascii="Times New Roman" w:hAnsi="Times New Roman"/>
                      <w:spacing w:val="-5"/>
                      <w:sz w:val="21"/>
                    </w:rPr>
                    <w:t>≤</w:t>
                  </w:r>
                  <w:r>
                    <w:rPr>
                      <w:rFonts w:hint="default"/>
                      <w:color w:val="000000" w:themeColor="text1"/>
                      <w14:textFill>
                        <w14:solidFill>
                          <w14:schemeClr w14:val="tx1"/>
                        </w14:solidFill>
                      </w14:textFill>
                    </w:rPr>
                    <w:t>6</w:t>
                  </w:r>
                  <w:r>
                    <w:rPr>
                      <w:rFonts w:hint="eastAsia"/>
                      <w:color w:val="000000" w:themeColor="text1"/>
                      <w:lang w:val="en-US" w:eastAsia="zh-CN"/>
                      <w14:textFill>
                        <w14:solidFill>
                          <w14:schemeClr w14:val="tx1"/>
                        </w14:solidFill>
                      </w14:textFill>
                    </w:rPr>
                    <w:t>0dB（A）</w:t>
                  </w:r>
                </w:p>
              </w:tc>
              <w:tc>
                <w:tcPr>
                  <w:tcW w:w="2655" w:type="dxa"/>
                  <w:tcBorders>
                    <w:tl2br w:val="nil"/>
                    <w:tr2bl w:val="nil"/>
                  </w:tcBorders>
                  <w:vAlign w:val="center"/>
                </w:tcPr>
                <w:p w14:paraId="4B2C189D">
                  <w:pPr>
                    <w:pStyle w:val="46"/>
                    <w:keepNext w:val="0"/>
                    <w:keepLines w:val="0"/>
                    <w:suppressLineNumbers w:val="0"/>
                    <w:tabs>
                      <w:tab w:val="left" w:pos="0"/>
                    </w:tabs>
                    <w:bidi w:val="0"/>
                    <w:spacing w:before="0" w:beforeAutospacing="0" w:after="0" w:afterAutospacing="0"/>
                    <w:ind w:left="0" w:leftChars="0" w:right="0" w:rightChars="0" w:firstLine="0" w:firstLineChars="0"/>
                    <w:rPr>
                      <w:rFonts w:hint="default"/>
                      <w:color w:val="000000" w:themeColor="text1"/>
                      <w14:textFill>
                        <w14:solidFill>
                          <w14:schemeClr w14:val="tx1"/>
                        </w14:solidFill>
                      </w14:textFill>
                    </w:rPr>
                  </w:pPr>
                  <w:r>
                    <w:rPr>
                      <w:rFonts w:ascii="Times New Roman" w:hAnsi="Times New Roman"/>
                      <w:spacing w:val="-5"/>
                      <w:sz w:val="21"/>
                    </w:rPr>
                    <w:t>≤</w:t>
                  </w:r>
                  <w:r>
                    <w:rPr>
                      <w:rFonts w:hint="default"/>
                      <w:color w:val="000000" w:themeColor="text1"/>
                      <w14:textFill>
                        <w14:solidFill>
                          <w14:schemeClr w14:val="tx1"/>
                        </w14:solidFill>
                      </w14:textFill>
                    </w:rPr>
                    <w:t>5</w:t>
                  </w:r>
                  <w:r>
                    <w:rPr>
                      <w:rFonts w:hint="eastAsia"/>
                      <w:color w:val="000000" w:themeColor="text1"/>
                      <w:lang w:val="en-US" w:eastAsia="zh-CN"/>
                      <w14:textFill>
                        <w14:solidFill>
                          <w14:schemeClr w14:val="tx1"/>
                        </w14:solidFill>
                      </w14:textFill>
                    </w:rPr>
                    <w:t>0dB（A）</w:t>
                  </w:r>
                </w:p>
              </w:tc>
            </w:tr>
          </w:tbl>
          <w:p w14:paraId="6FA78CD9">
            <w:pPr>
              <w:pStyle w:val="4"/>
              <w:numPr>
                <w:ilvl w:val="2"/>
                <w:numId w:val="1"/>
              </w:numPr>
              <w:bidi w:val="0"/>
              <w:ind w:left="720" w:leftChars="0" w:hanging="720" w:firstLineChars="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固体废物执行标准</w:t>
            </w:r>
          </w:p>
          <w:p w14:paraId="60857720">
            <w:pPr>
              <w:pStyle w:val="44"/>
              <w:ind w:firstLine="480"/>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本项目运营期项目生活垃圾处置执行《中华人民共和国固体废物污染环境防治法》(2020 年修订)的相关规定；产生的一般工业固废应按照《一般工业固体废物贮存和填埋污染控制标准》(GB18599-2020)进行处理处置。</w:t>
            </w:r>
          </w:p>
        </w:tc>
      </w:tr>
      <w:tr w14:paraId="1831B1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10" w:hRule="atLeast"/>
          <w:jc w:val="center"/>
        </w:trPr>
        <w:tc>
          <w:tcPr>
            <w:tcW w:w="800" w:type="dxa"/>
            <w:vAlign w:val="center"/>
          </w:tcPr>
          <w:p w14:paraId="6CED8EFB">
            <w:pPr>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总量</w:t>
            </w:r>
          </w:p>
          <w:p w14:paraId="5272FF54">
            <w:pPr>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控制</w:t>
            </w:r>
          </w:p>
          <w:p w14:paraId="426DA3A9">
            <w:pPr>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指标</w:t>
            </w:r>
          </w:p>
        </w:tc>
        <w:tc>
          <w:tcPr>
            <w:tcW w:w="8190" w:type="dxa"/>
            <w:vAlign w:val="center"/>
          </w:tcPr>
          <w:p w14:paraId="216CF323">
            <w:pPr>
              <w:pStyle w:val="3"/>
              <w:numPr>
                <w:ilvl w:val="1"/>
                <w:numId w:val="1"/>
              </w:numPr>
              <w:bidi w:val="0"/>
              <w:ind w:left="0" w:leftChars="0" w:firstLine="0" w:firstLineChars="0"/>
              <w:rPr>
                <w:rFonts w:hint="eastAsia" w:ascii="Times New Roman" w:hAnsi="Times New Roman" w:eastAsia="宋体" w:cs="Times New Roman"/>
                <w:color w:val="000000" w:themeColor="text1"/>
                <w:highlight w:val="none"/>
                <w14:textFill>
                  <w14:solidFill>
                    <w14:schemeClr w14:val="tx1"/>
                  </w14:solidFill>
                </w14:textFill>
              </w:rPr>
            </w:pPr>
            <w:bookmarkStart w:id="35" w:name="_Toc551"/>
            <w:bookmarkStart w:id="36" w:name="_Toc18142"/>
            <w:bookmarkStart w:id="37" w:name="_Toc24101"/>
            <w:bookmarkStart w:id="38" w:name="_Toc22536"/>
            <w:r>
              <w:rPr>
                <w:rFonts w:hint="eastAsia" w:ascii="Times New Roman" w:hAnsi="Times New Roman" w:eastAsia="宋体" w:cs="Times New Roman"/>
                <w:color w:val="000000" w:themeColor="text1"/>
                <w:highlight w:val="none"/>
                <w14:textFill>
                  <w14:solidFill>
                    <w14:schemeClr w14:val="tx1"/>
                  </w14:solidFill>
                </w14:textFill>
              </w:rPr>
              <w:t>总量控制分析</w:t>
            </w:r>
          </w:p>
          <w:p w14:paraId="3F48E4BA">
            <w:pPr>
              <w:pStyle w:val="4"/>
              <w:numPr>
                <w:ilvl w:val="2"/>
                <w:numId w:val="1"/>
              </w:numPr>
              <w:bidi w:val="0"/>
              <w:ind w:left="720" w:leftChars="0" w:hanging="720" w:firstLineChars="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总量控制因子</w:t>
            </w:r>
            <w:bookmarkEnd w:id="35"/>
            <w:bookmarkEnd w:id="36"/>
            <w:bookmarkEnd w:id="37"/>
            <w:bookmarkEnd w:id="38"/>
          </w:p>
          <w:p w14:paraId="5F0E1A43">
            <w:pPr>
              <w:pStyle w:val="44"/>
              <w:ind w:firstLine="480"/>
              <w:rPr>
                <w:color w:val="000000" w:themeColor="text1"/>
                <w:highlight w:val="none"/>
                <w14:textFill>
                  <w14:solidFill>
                    <w14:schemeClr w14:val="tx1"/>
                  </w14:solidFill>
                </w14:textFill>
              </w:rPr>
            </w:pPr>
            <w:r>
              <w:rPr>
                <w:rFonts w:hint="eastAsia" w:ascii="Times New Roman" w:hAnsi="Times New Roman"/>
                <w:color w:val="000000" w:themeColor="text1"/>
                <w14:textFill>
                  <w14:solidFill>
                    <w14:schemeClr w14:val="tx1"/>
                  </w14:solidFill>
                </w14:textFill>
              </w:rPr>
              <w:t>根据</w:t>
            </w:r>
            <w:r>
              <w:rPr>
                <w:rFonts w:ascii="Times New Roman" w:hAnsi="Times New Roman"/>
                <w:color w:val="000000" w:themeColor="text1"/>
                <w14:textFill>
                  <w14:solidFill>
                    <w14:schemeClr w14:val="tx1"/>
                  </w14:solidFill>
                </w14:textFill>
              </w:rPr>
              <w:t>国家</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十</w:t>
            </w:r>
            <w:r>
              <w:rPr>
                <w:rFonts w:hint="eastAsia" w:ascii="Times New Roman" w:hAnsi="Times New Roman"/>
                <w:color w:val="000000" w:themeColor="text1"/>
                <w14:textFill>
                  <w14:solidFill>
                    <w14:schemeClr w14:val="tx1"/>
                  </w14:solidFill>
                </w14:textFill>
              </w:rPr>
              <w:t>四</w:t>
            </w:r>
            <w:r>
              <w:rPr>
                <w:rFonts w:ascii="Times New Roman" w:hAnsi="Times New Roman"/>
                <w:color w:val="000000" w:themeColor="text1"/>
                <w14:textFill>
                  <w14:solidFill>
                    <w14:schemeClr w14:val="tx1"/>
                  </w14:solidFill>
                </w14:textFill>
              </w:rPr>
              <w:t>五</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期间污染物</w:t>
            </w:r>
            <w:r>
              <w:rPr>
                <w:rFonts w:hint="eastAsia" w:ascii="Times New Roman" w:hAnsi="Times New Roman"/>
                <w:color w:val="000000" w:themeColor="text1"/>
                <w14:textFill>
                  <w14:solidFill>
                    <w14:schemeClr w14:val="tx1"/>
                  </w14:solidFill>
                </w14:textFill>
              </w:rPr>
              <w:t>总量</w:t>
            </w:r>
            <w:r>
              <w:rPr>
                <w:rFonts w:ascii="Times New Roman" w:hAnsi="Times New Roman"/>
                <w:color w:val="000000" w:themeColor="text1"/>
                <w14:textFill>
                  <w14:solidFill>
                    <w14:schemeClr w14:val="tx1"/>
                  </w14:solidFill>
                </w14:textFill>
              </w:rPr>
              <w:t>控制</w:t>
            </w:r>
            <w:r>
              <w:rPr>
                <w:rFonts w:hint="eastAsia" w:ascii="Times New Roman" w:hAnsi="Times New Roman"/>
                <w:color w:val="000000" w:themeColor="text1"/>
                <w14:textFill>
                  <w14:solidFill>
                    <w14:schemeClr w14:val="tx1"/>
                  </w14:solidFill>
                </w14:textFill>
              </w:rPr>
              <w:t>要求及</w:t>
            </w:r>
            <w:r>
              <w:rPr>
                <w:rFonts w:ascii="Times New Roman" w:hAnsi="Times New Roman"/>
                <w:color w:val="000000" w:themeColor="text1"/>
                <w14:textFill>
                  <w14:solidFill>
                    <w14:schemeClr w14:val="tx1"/>
                  </w14:solidFill>
                </w14:textFill>
              </w:rPr>
              <w:t>《福建省“十四五”生态环境保护专项规划》（闽政办〔2021〕59号）</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《福建省人民政府关于推进排污权有偿使用和交易工作的意见(试行)》</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闽政</w:t>
            </w:r>
            <w:r>
              <w:rPr>
                <w:rFonts w:hint="eastAsia" w:ascii="Times New Roman" w:hAnsi="Times New Roman"/>
                <w:color w:val="000000" w:themeColor="text1"/>
                <w:lang w:eastAsia="zh-CN"/>
                <w14:textFill>
                  <w14:solidFill>
                    <w14:schemeClr w14:val="tx1"/>
                  </w14:solidFill>
                </w14:textFill>
              </w:rPr>
              <w:t>〔2014〕</w:t>
            </w:r>
            <w:r>
              <w:rPr>
                <w:rFonts w:ascii="Times New Roman" w:hAnsi="Times New Roman"/>
                <w:color w:val="000000" w:themeColor="text1"/>
                <w14:textFill>
                  <w14:solidFill>
                    <w14:schemeClr w14:val="tx1"/>
                  </w14:solidFill>
                </w14:textFill>
              </w:rPr>
              <w:t>24号</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、《福建省环保厅关于贯彻落实</w:t>
            </w:r>
            <w:r>
              <w:rPr>
                <w:rFonts w:hint="eastAsia"/>
                <w:color w:val="000000" w:themeColor="text1"/>
                <w:lang w:eastAsia="zh-CN"/>
                <w14:textFill>
                  <w14:solidFill>
                    <w14:schemeClr w14:val="tx1"/>
                  </w14:solidFill>
                </w14:textFill>
              </w:rPr>
              <w:t>〈</w:t>
            </w:r>
            <w:r>
              <w:rPr>
                <w:rFonts w:ascii="Times New Roman" w:hAnsi="Times New Roman"/>
                <w:color w:val="000000" w:themeColor="text1"/>
                <w14:textFill>
                  <w14:solidFill>
                    <w14:schemeClr w14:val="tx1"/>
                  </w14:solidFill>
                </w14:textFill>
              </w:rPr>
              <w:t>推进排污权有偿使用和交易工作的意见</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试行</w:t>
            </w:r>
            <w:r>
              <w:rPr>
                <w:rFonts w:hint="eastAsia" w:ascii="Times New Roman" w:hAnsi="Times New Roman"/>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w:t>
            </w:r>
            <w:r>
              <w:rPr>
                <w:rFonts w:ascii="Times New Roman" w:hAnsi="Times New Roman"/>
                <w:color w:val="000000" w:themeColor="text1"/>
                <w14:textFill>
                  <w14:solidFill>
                    <w14:schemeClr w14:val="tx1"/>
                  </w14:solidFill>
                </w14:textFill>
              </w:rPr>
              <w:t>的通知》</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闽环发</w:t>
            </w:r>
            <w:r>
              <w:rPr>
                <w:rFonts w:hint="eastAsia" w:ascii="Times New Roman" w:hAnsi="Times New Roman"/>
                <w:color w:val="000000" w:themeColor="text1"/>
                <w:lang w:eastAsia="zh-CN"/>
                <w14:textFill>
                  <w14:solidFill>
                    <w14:schemeClr w14:val="tx1"/>
                  </w14:solidFill>
                </w14:textFill>
              </w:rPr>
              <w:t>〔2014〕</w:t>
            </w:r>
            <w:r>
              <w:rPr>
                <w:rFonts w:ascii="Times New Roman" w:hAnsi="Times New Roman"/>
                <w:color w:val="000000" w:themeColor="text1"/>
                <w14:textFill>
                  <w14:solidFill>
                    <w14:schemeClr w14:val="tx1"/>
                  </w14:solidFill>
                </w14:textFill>
              </w:rPr>
              <w:t>9号</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、《福建省环保厅关于环评审批中落实排污权交易工作要求的通知》</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闽环保评</w:t>
            </w:r>
            <w:r>
              <w:rPr>
                <w:rFonts w:hint="eastAsia" w:ascii="Times New Roman" w:hAnsi="Times New Roman"/>
                <w:color w:val="000000" w:themeColor="text1"/>
                <w:lang w:eastAsia="zh-CN"/>
                <w14:textFill>
                  <w14:solidFill>
                    <w14:schemeClr w14:val="tx1"/>
                  </w14:solidFill>
                </w14:textFill>
              </w:rPr>
              <w:t>〔2014〕</w:t>
            </w:r>
            <w:r>
              <w:rPr>
                <w:rFonts w:ascii="Times New Roman" w:hAnsi="Times New Roman"/>
                <w:color w:val="000000" w:themeColor="text1"/>
                <w14:textFill>
                  <w14:solidFill>
                    <w14:schemeClr w14:val="tx1"/>
                  </w14:solidFill>
                </w14:textFill>
              </w:rPr>
              <w:t>43号</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等有关文件要求，</w:t>
            </w:r>
            <w:r>
              <w:rPr>
                <w:color w:val="000000" w:themeColor="text1"/>
                <w:highlight w:val="none"/>
                <w14:textFill>
                  <w14:solidFill>
                    <w14:schemeClr w14:val="tx1"/>
                  </w14:solidFill>
                </w14:textFill>
              </w:rPr>
              <w:t>结合本项目排污特征，确定本项目总量控制因子为SO</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、NO</w:t>
            </w:r>
            <w:r>
              <w:rPr>
                <w:color w:val="000000" w:themeColor="text1"/>
                <w:highlight w:val="none"/>
                <w:vertAlign w:val="subscript"/>
                <w14:textFill>
                  <w14:solidFill>
                    <w14:schemeClr w14:val="tx1"/>
                  </w14:solidFill>
                </w14:textFill>
              </w:rPr>
              <w:t>X</w:t>
            </w:r>
            <w:r>
              <w:rPr>
                <w:color w:val="000000" w:themeColor="text1"/>
                <w:highlight w:val="none"/>
                <w14:textFill>
                  <w14:solidFill>
                    <w14:schemeClr w14:val="tx1"/>
                  </w14:solidFill>
                </w14:textFill>
              </w:rPr>
              <w:t>。</w:t>
            </w:r>
          </w:p>
          <w:p w14:paraId="32B5F9F1">
            <w:pPr>
              <w:pStyle w:val="4"/>
              <w:numPr>
                <w:ilvl w:val="2"/>
                <w:numId w:val="1"/>
              </w:numPr>
              <w:bidi w:val="0"/>
              <w:ind w:left="720" w:leftChars="0" w:hanging="720" w:firstLineChars="0"/>
              <w:rPr>
                <w:rFonts w:hint="eastAsia" w:ascii="Times New Roman" w:hAnsi="Times New Roman" w:eastAsia="宋体" w:cs="Times New Roman"/>
                <w:color w:val="000000" w:themeColor="text1"/>
                <w:highlight w:val="none"/>
                <w:lang w:val="en-US" w:eastAsia="zh-CN"/>
                <w14:textFill>
                  <w14:solidFill>
                    <w14:schemeClr w14:val="tx1"/>
                  </w14:solidFill>
                </w14:textFill>
              </w:rPr>
            </w:pPr>
            <w:bookmarkStart w:id="39" w:name="_Toc9744"/>
            <w:bookmarkStart w:id="40" w:name="_Toc26157"/>
            <w:bookmarkStart w:id="41" w:name="_Toc32260"/>
            <w:bookmarkStart w:id="42" w:name="_Toc17857"/>
            <w:r>
              <w:rPr>
                <w:rFonts w:hint="eastAsia" w:ascii="Times New Roman" w:hAnsi="Times New Roman" w:eastAsia="宋体" w:cs="Times New Roman"/>
                <w:color w:val="000000" w:themeColor="text1"/>
                <w:highlight w:val="none"/>
                <w:lang w:val="en-US" w:eastAsia="zh-CN"/>
                <w14:textFill>
                  <w14:solidFill>
                    <w14:schemeClr w14:val="tx1"/>
                  </w14:solidFill>
                </w14:textFill>
              </w:rPr>
              <w:t>污染物总量控制指标</w:t>
            </w:r>
            <w:bookmarkEnd w:id="39"/>
            <w:bookmarkEnd w:id="40"/>
            <w:bookmarkEnd w:id="41"/>
            <w:bookmarkEnd w:id="42"/>
          </w:p>
          <w:p w14:paraId="5A13EC77">
            <w:pPr>
              <w:pStyle w:val="5"/>
              <w:numPr>
                <w:ilvl w:val="3"/>
                <w:numId w:val="15"/>
              </w:numPr>
              <w:tabs>
                <w:tab w:val="left" w:pos="0"/>
              </w:tabs>
              <w:bidi w:val="0"/>
              <w:ind w:left="864" w:leftChars="0" w:hanging="864" w:firstLineChars="0"/>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t>水污染物排放总量控制</w:t>
            </w:r>
          </w:p>
          <w:p w14:paraId="6685E39E">
            <w:pPr>
              <w:pStyle w:val="44"/>
              <w:ind w:firstLine="480"/>
              <w:rPr>
                <w:rFonts w:hint="default" w:eastAsia="宋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根据《福建省环保厅关于进一步加快推进排污权有偿使用和交易工作的意见》（闽环发</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2015</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6号）中相关规定</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对于水污染物，仅核定工业废水部分</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，因此，本项目生活污水中COD、氨氮无需购买总量。</w:t>
            </w:r>
            <w:r>
              <w:rPr>
                <w:rFonts w:hint="eastAsia"/>
                <w:color w:val="000000" w:themeColor="text1"/>
                <w:highlight w:val="none"/>
                <w:lang w:val="en-US" w:eastAsia="zh-CN"/>
                <w14:textFill>
                  <w14:solidFill>
                    <w14:schemeClr w14:val="tx1"/>
                  </w14:solidFill>
                </w14:textFill>
              </w:rPr>
              <w:t>本项目总废水量为300t/a，</w:t>
            </w:r>
            <w:r>
              <w:rPr>
                <w:color w:val="000000" w:themeColor="text1"/>
                <w:highlight w:val="none"/>
                <w14:textFill>
                  <w14:solidFill>
                    <w14:schemeClr w14:val="tx1"/>
                  </w14:solidFill>
                </w14:textFill>
              </w:rPr>
              <w:t>COD</w:t>
            </w:r>
            <w:r>
              <w:rPr>
                <w:rFonts w:hint="eastAsia"/>
                <w:color w:val="000000" w:themeColor="text1"/>
                <w:highlight w:val="none"/>
                <w:lang w:val="en-US" w:eastAsia="zh-CN"/>
                <w14:textFill>
                  <w14:solidFill>
                    <w14:schemeClr w14:val="tx1"/>
                  </w14:solidFill>
                </w14:textFill>
              </w:rPr>
              <w:t>为0.102t/a、</w:t>
            </w:r>
            <w:r>
              <w:rPr>
                <w:rFonts w:ascii="Times New Roman" w:hAnsi="Times New Roman"/>
                <w:color w:val="000000" w:themeColor="text1"/>
                <w:highlight w:val="none"/>
                <w14:textFill>
                  <w14:solidFill>
                    <w14:schemeClr w14:val="tx1"/>
                  </w14:solidFill>
                </w14:textFill>
              </w:rPr>
              <w:t>NH</w:t>
            </w:r>
            <w:r>
              <w:rPr>
                <w:rFonts w:ascii="Times New Roman" w:hAnsi="Times New Roman"/>
                <w:color w:val="000000" w:themeColor="text1"/>
                <w:highlight w:val="none"/>
                <w:vertAlign w:val="subscript"/>
                <w14:textFill>
                  <w14:solidFill>
                    <w14:schemeClr w14:val="tx1"/>
                  </w14:solidFill>
                </w14:textFill>
              </w:rPr>
              <w:t>3</w:t>
            </w:r>
            <w:r>
              <w:rPr>
                <w:rFonts w:ascii="Times New Roman" w:hAnsi="Times New Roman"/>
                <w:color w:val="000000" w:themeColor="text1"/>
                <w:highlight w:val="none"/>
                <w14:textFill>
                  <w14:solidFill>
                    <w14:schemeClr w14:val="tx1"/>
                  </w14:solidFill>
                </w14:textFill>
              </w:rPr>
              <w:t>-N</w:t>
            </w:r>
            <w:r>
              <w:rPr>
                <w:rFonts w:hint="eastAsia" w:ascii="Times New Roman" w:hAnsi="Times New Roman"/>
                <w:color w:val="000000" w:themeColor="text1"/>
                <w:highlight w:val="none"/>
                <w:lang w:val="en-US" w:eastAsia="zh-CN"/>
                <w14:textFill>
                  <w14:solidFill>
                    <w14:schemeClr w14:val="tx1"/>
                  </w14:solidFill>
                </w14:textFill>
              </w:rPr>
              <w:t>为0.01t/a。</w:t>
            </w:r>
          </w:p>
          <w:p w14:paraId="642C36ED">
            <w:pPr>
              <w:pStyle w:val="44"/>
              <w:ind w:firstLine="480"/>
              <w:rPr>
                <w:rFonts w:hint="default" w:eastAsia="宋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本项目生活污水经化粪池处理后排入</w:t>
            </w:r>
            <w:r>
              <w:rPr>
                <w:rFonts w:hint="eastAsia"/>
                <w:color w:val="000000" w:themeColor="text1"/>
                <w:highlight w:val="none"/>
                <w:lang w:eastAsia="zh-CN"/>
                <w14:textFill>
                  <w14:solidFill>
                    <w14:schemeClr w14:val="tx1"/>
                  </w14:solidFill>
                </w14:textFill>
              </w:rPr>
              <w:t>闽清县白金工业园区污水处理厂</w:t>
            </w:r>
            <w:r>
              <w:rPr>
                <w:color w:val="000000" w:themeColor="text1"/>
                <w:highlight w:val="none"/>
                <w14:textFill>
                  <w14:solidFill>
                    <w14:schemeClr w14:val="tx1"/>
                  </w14:solidFill>
                </w14:textFill>
              </w:rPr>
              <w:t>处理，不进行总量控制</w:t>
            </w:r>
            <w:r>
              <w:rPr>
                <w:rFonts w:hint="eastAsia"/>
                <w:color w:val="000000" w:themeColor="text1"/>
                <w:highlight w:val="none"/>
                <w:lang w:val="en-US" w:eastAsia="zh-CN"/>
                <w14:textFill>
                  <w14:solidFill>
                    <w14:schemeClr w14:val="tx1"/>
                  </w14:solidFill>
                </w14:textFill>
              </w:rPr>
              <w:t>。</w:t>
            </w:r>
          </w:p>
          <w:p w14:paraId="6ED851BA">
            <w:pPr>
              <w:pStyle w:val="5"/>
              <w:numPr>
                <w:ilvl w:val="3"/>
                <w:numId w:val="15"/>
              </w:numPr>
              <w:tabs>
                <w:tab w:val="left" w:pos="0"/>
              </w:tabs>
              <w:bidi w:val="0"/>
              <w:ind w:left="864" w:leftChars="0" w:hanging="864" w:firstLineChars="0"/>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t>大气污染物总量控制</w:t>
            </w:r>
          </w:p>
          <w:p w14:paraId="0861774A">
            <w:pPr>
              <w:pStyle w:val="142"/>
              <w:adjustRightInd/>
              <w:snapToGrid/>
              <w:ind w:firstLine="31680"/>
              <w:rPr>
                <w:rFonts w:ascii="Times New Roman" w:hAnsi="Times New Roman" w:eastAsia="宋体"/>
                <w:color w:val="000000" w:themeColor="text1"/>
                <w:szCs w:val="24"/>
                <w:highlight w:val="none"/>
                <w14:textFill>
                  <w14:solidFill>
                    <w14:schemeClr w14:val="tx1"/>
                  </w14:solidFill>
                </w14:textFill>
              </w:rPr>
            </w:pPr>
            <w:r>
              <w:rPr>
                <w:rFonts w:hint="eastAsia" w:ascii="Times New Roman" w:hAnsi="Times New Roman" w:eastAsia="宋体"/>
                <w:color w:val="000000" w:themeColor="text1"/>
                <w:szCs w:val="24"/>
                <w:highlight w:val="none"/>
                <w14:textFill>
                  <w14:solidFill>
                    <w14:schemeClr w14:val="tx1"/>
                  </w14:solidFill>
                </w14:textFill>
              </w:rPr>
              <w:t>本项目</w:t>
            </w:r>
            <w:r>
              <w:rPr>
                <w:rFonts w:hint="eastAsia" w:ascii="Times New Roman" w:hAnsi="Times New Roman" w:eastAsia="宋体"/>
                <w:color w:val="000000" w:themeColor="text1"/>
                <w:highlight w:val="none"/>
                <w:lang w:val="en-US" w:eastAsia="zh-CN"/>
                <w14:textFill>
                  <w14:solidFill>
                    <w14:schemeClr w14:val="tx1"/>
                  </w14:solidFill>
                </w14:textFill>
              </w:rPr>
              <w:t>大气</w:t>
            </w:r>
            <w:r>
              <w:rPr>
                <w:rFonts w:hint="eastAsia" w:ascii="Times New Roman" w:hAnsi="Times New Roman" w:eastAsia="宋体"/>
                <w:color w:val="000000" w:themeColor="text1"/>
                <w:szCs w:val="24"/>
                <w:highlight w:val="none"/>
                <w14:textFill>
                  <w14:solidFill>
                    <w14:schemeClr w14:val="tx1"/>
                  </w14:solidFill>
                </w14:textFill>
              </w:rPr>
              <w:t>污染物主要为</w:t>
            </w:r>
            <w:r>
              <w:rPr>
                <w:rFonts w:hint="eastAsia" w:ascii="Times New Roman" w:hAnsi="Times New Roman"/>
                <w:color w:val="000000" w:themeColor="text1"/>
                <w:szCs w:val="24"/>
                <w:highlight w:val="none"/>
                <w:lang w:val="en-US" w:eastAsia="zh-CN"/>
                <w14:textFill>
                  <w14:solidFill>
                    <w14:schemeClr w14:val="tx1"/>
                  </w14:solidFill>
                </w14:textFill>
              </w:rPr>
              <w:t>燃生物质锅炉废气</w:t>
            </w:r>
            <w:r>
              <w:rPr>
                <w:rFonts w:hint="eastAsia" w:ascii="Times New Roman" w:hAnsi="Times New Roman" w:eastAsia="宋体"/>
                <w:color w:val="000000" w:themeColor="text1"/>
                <w:szCs w:val="24"/>
                <w:highlight w:val="none"/>
                <w:lang w:val="en-US" w:eastAsia="zh-CN"/>
                <w14:textFill>
                  <w14:solidFill>
                    <w14:schemeClr w14:val="tx1"/>
                  </w14:solidFill>
                </w14:textFill>
              </w:rPr>
              <w:t>中产生</w:t>
            </w:r>
            <w:r>
              <w:rPr>
                <w:rFonts w:ascii="Times New Roman" w:hAnsi="Times New Roman"/>
                <w:color w:val="000000" w:themeColor="text1"/>
                <w:highlight w:val="none"/>
                <w14:textFill>
                  <w14:solidFill>
                    <w14:schemeClr w14:val="tx1"/>
                  </w14:solidFill>
                </w14:textFill>
              </w:rPr>
              <w:t>SO</w:t>
            </w:r>
            <w:r>
              <w:rPr>
                <w:rFonts w:ascii="Times New Roman" w:hAnsi="Times New Roman"/>
                <w:color w:val="000000" w:themeColor="text1"/>
                <w:highlight w:val="none"/>
                <w:vertAlign w:val="subscript"/>
                <w14:textFill>
                  <w14:solidFill>
                    <w14:schemeClr w14:val="tx1"/>
                  </w14:solidFill>
                </w14:textFill>
              </w:rPr>
              <w:t>2</w:t>
            </w:r>
            <w:r>
              <w:rPr>
                <w:rFonts w:ascii="Times New Roman" w:hAnsi="Times New Roman"/>
                <w:color w:val="000000" w:themeColor="text1"/>
                <w:highlight w:val="none"/>
                <w14:textFill>
                  <w14:solidFill>
                    <w14:schemeClr w14:val="tx1"/>
                  </w14:solidFill>
                </w14:textFill>
              </w:rPr>
              <w:t>、NO</w:t>
            </w:r>
            <w:r>
              <w:rPr>
                <w:rFonts w:ascii="Times New Roman" w:hAnsi="Times New Roman"/>
                <w:color w:val="000000" w:themeColor="text1"/>
                <w:highlight w:val="none"/>
                <w:vertAlign w:val="subscript"/>
                <w14:textFill>
                  <w14:solidFill>
                    <w14:schemeClr w14:val="tx1"/>
                  </w14:solidFill>
                </w14:textFill>
              </w:rPr>
              <w:t>X</w:t>
            </w:r>
            <w:r>
              <w:rPr>
                <w:rFonts w:hint="eastAsia" w:ascii="Times New Roman" w:hAnsi="Times New Roman" w:eastAsia="宋体"/>
                <w:color w:val="000000" w:themeColor="text1"/>
                <w:szCs w:val="24"/>
                <w:highlight w:val="none"/>
                <w14:textFill>
                  <w14:solidFill>
                    <w14:schemeClr w14:val="tx1"/>
                  </w14:solidFill>
                </w14:textFill>
              </w:rPr>
              <w:t>。项目总量控制指标见表</w:t>
            </w:r>
            <w:r>
              <w:rPr>
                <w:rFonts w:hint="eastAsia" w:ascii="Times New Roman" w:hAnsi="Times New Roman" w:eastAsia="宋体"/>
                <w:color w:val="000000" w:themeColor="text1"/>
                <w:szCs w:val="24"/>
                <w:highlight w:val="none"/>
                <w:lang w:val="en-US" w:eastAsia="zh-CN"/>
                <w14:textFill>
                  <w14:solidFill>
                    <w14:schemeClr w14:val="tx1"/>
                  </w14:solidFill>
                </w14:textFill>
              </w:rPr>
              <w:t>3.4-1</w:t>
            </w:r>
            <w:r>
              <w:rPr>
                <w:rFonts w:hint="eastAsia" w:ascii="Times New Roman" w:hAnsi="Times New Roman" w:eastAsia="宋体"/>
                <w:color w:val="000000" w:themeColor="text1"/>
                <w:szCs w:val="24"/>
                <w:highlight w:val="none"/>
                <w14:textFill>
                  <w14:solidFill>
                    <w14:schemeClr w14:val="tx1"/>
                  </w14:solidFill>
                </w14:textFill>
              </w:rPr>
              <w:t>。</w:t>
            </w:r>
          </w:p>
          <w:p w14:paraId="275F1232">
            <w:pPr>
              <w:spacing w:beforeLines="50"/>
              <w:jc w:val="center"/>
              <w:rPr>
                <w:rFonts w:hint="eastAsia"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表</w:t>
            </w:r>
            <w:r>
              <w:rPr>
                <w:rFonts w:hint="eastAsia" w:ascii="Times New Roman" w:hAnsi="Times New Roman" w:eastAsia="宋体"/>
                <w:b/>
                <w:bCs/>
                <w:color w:val="000000" w:themeColor="text1"/>
                <w:sz w:val="24"/>
                <w:highlight w:val="none"/>
                <w:lang w:val="en-US" w:eastAsia="zh-CN"/>
                <w14:textFill>
                  <w14:solidFill>
                    <w14:schemeClr w14:val="tx1"/>
                  </w14:solidFill>
                </w14:textFill>
              </w:rPr>
              <w:t>3.4-1</w:t>
            </w:r>
            <w:r>
              <w:rPr>
                <w:rFonts w:hint="eastAsia" w:ascii="Times New Roman" w:hAnsi="Times New Roman" w:eastAsia="宋体"/>
                <w:b/>
                <w:bCs/>
                <w:color w:val="000000" w:themeColor="text1"/>
                <w:sz w:val="24"/>
                <w:highlight w:val="none"/>
                <w14:textFill>
                  <w14:solidFill>
                    <w14:schemeClr w14:val="tx1"/>
                  </w14:solidFill>
                </w14:textFill>
              </w:rPr>
              <w:t>项目废气总量控制指标</w:t>
            </w:r>
          </w:p>
          <w:tbl>
            <w:tblPr>
              <w:tblStyle w:val="32"/>
              <w:tblW w:w="797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516"/>
              <w:gridCol w:w="2655"/>
              <w:gridCol w:w="2803"/>
            </w:tblGrid>
            <w:tr w14:paraId="6ABA96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9" w:hRule="atLeast"/>
              </w:trPr>
              <w:tc>
                <w:tcPr>
                  <w:tcW w:w="2516" w:type="dxa"/>
                  <w:noWrap w:val="0"/>
                  <w:vAlign w:val="center"/>
                </w:tcPr>
                <w:p w14:paraId="6110B045">
                  <w:pPr>
                    <w:pStyle w:val="49"/>
                    <w:spacing w:beforeLines="0" w:afterLines="0" w:line="240" w:lineRule="auto"/>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控制指标</w:t>
                  </w:r>
                </w:p>
              </w:tc>
              <w:tc>
                <w:tcPr>
                  <w:tcW w:w="2655" w:type="dxa"/>
                  <w:noWrap w:val="0"/>
                  <w:vAlign w:val="center"/>
                </w:tcPr>
                <w:p w14:paraId="5C2BFC5A">
                  <w:pPr>
                    <w:pStyle w:val="49"/>
                    <w:spacing w:beforeLines="0" w:afterLines="0" w:line="240" w:lineRule="auto"/>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核定排放量(t/a)</w:t>
                  </w:r>
                </w:p>
              </w:tc>
              <w:tc>
                <w:tcPr>
                  <w:tcW w:w="2803" w:type="dxa"/>
                  <w:noWrap w:val="0"/>
                  <w:vAlign w:val="center"/>
                </w:tcPr>
                <w:p w14:paraId="77CF8995">
                  <w:pPr>
                    <w:pStyle w:val="49"/>
                    <w:spacing w:beforeLines="0" w:afterLines="0" w:line="240" w:lineRule="auto"/>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建议控制指标(t/a)</w:t>
                  </w:r>
                </w:p>
              </w:tc>
            </w:tr>
            <w:tr w14:paraId="673124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516" w:type="dxa"/>
                  <w:noWrap w:val="0"/>
                  <w:vAlign w:val="center"/>
                </w:tcPr>
                <w:p w14:paraId="7AD934AA">
                  <w:pPr>
                    <w:pStyle w:val="49"/>
                    <w:spacing w:beforeLines="0" w:afterLines="0" w:line="240" w:lineRule="auto"/>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default" w:ascii="Times New Roman" w:hAnsi="Times New Roman" w:eastAsia="宋体"/>
                      <w:color w:val="000000" w:themeColor="text1"/>
                      <w:szCs w:val="21"/>
                      <w:highlight w:val="none"/>
                      <w:lang w:val="en-US" w:eastAsia="zh-CN"/>
                      <w14:textFill>
                        <w14:solidFill>
                          <w14:schemeClr w14:val="tx1"/>
                        </w14:solidFill>
                      </w14:textFill>
                    </w:rPr>
                    <w:t>SO</w:t>
                  </w:r>
                  <w:r>
                    <w:rPr>
                      <w:rFonts w:hint="default" w:ascii="Times New Roman" w:hAnsi="Times New Roman" w:eastAsia="宋体"/>
                      <w:color w:val="000000" w:themeColor="text1"/>
                      <w:szCs w:val="21"/>
                      <w:highlight w:val="none"/>
                      <w:vertAlign w:val="subscript"/>
                      <w:lang w:val="en-US" w:eastAsia="zh-CN"/>
                      <w14:textFill>
                        <w14:solidFill>
                          <w14:schemeClr w14:val="tx1"/>
                        </w14:solidFill>
                      </w14:textFill>
                    </w:rPr>
                    <w:t>2</w:t>
                  </w:r>
                </w:p>
              </w:tc>
              <w:tc>
                <w:tcPr>
                  <w:tcW w:w="2655" w:type="dxa"/>
                  <w:noWrap w:val="0"/>
                  <w:vAlign w:val="center"/>
                </w:tcPr>
                <w:p w14:paraId="4976D12C">
                  <w:pPr>
                    <w:widowControl/>
                    <w:jc w:val="center"/>
                    <w:textAlignment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0.47</w:t>
                  </w:r>
                </w:p>
              </w:tc>
              <w:tc>
                <w:tcPr>
                  <w:tcW w:w="2803" w:type="dxa"/>
                  <w:shd w:val="clear" w:color="auto" w:fill="auto"/>
                  <w:noWrap w:val="0"/>
                  <w:vAlign w:val="center"/>
                </w:tcPr>
                <w:p w14:paraId="03F05A6C">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Cs w:val="21"/>
                      <w:highlight w:val="none"/>
                      <w:lang w:val="en-US" w:eastAsia="zh-CN"/>
                    </w:rPr>
                    <w:t>0.47</w:t>
                  </w:r>
                </w:p>
              </w:tc>
            </w:tr>
            <w:tr w14:paraId="44F763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516" w:type="dxa"/>
                  <w:noWrap w:val="0"/>
                  <w:vAlign w:val="center"/>
                </w:tcPr>
                <w:p w14:paraId="30A275E0">
                  <w:pPr>
                    <w:pStyle w:val="49"/>
                    <w:spacing w:beforeLines="0" w:afterLines="0" w:line="240" w:lineRule="auto"/>
                    <w:rPr>
                      <w:rFonts w:hint="eastAsia" w:ascii="Times New Roman" w:hAnsi="Times New Roman" w:eastAsia="宋体"/>
                      <w:color w:val="000000" w:themeColor="text1"/>
                      <w:szCs w:val="21"/>
                      <w:highlight w:val="none"/>
                      <w:lang w:val="en-US" w:eastAsia="zh-CN"/>
                      <w14:textFill>
                        <w14:solidFill>
                          <w14:schemeClr w14:val="tx1"/>
                        </w14:solidFill>
                      </w14:textFill>
                    </w:rPr>
                  </w:pPr>
                  <w:r>
                    <w:rPr>
                      <w:rFonts w:hint="default" w:ascii="Times New Roman" w:hAnsi="Times New Roman" w:eastAsia="宋体"/>
                      <w:color w:val="000000" w:themeColor="text1"/>
                      <w:szCs w:val="21"/>
                      <w:highlight w:val="none"/>
                      <w:lang w:val="en-US" w:eastAsia="zh-CN"/>
                      <w14:textFill>
                        <w14:solidFill>
                          <w14:schemeClr w14:val="tx1"/>
                        </w14:solidFill>
                      </w14:textFill>
                    </w:rPr>
                    <w:t>NO</w:t>
                  </w:r>
                  <w:r>
                    <w:rPr>
                      <w:rFonts w:hint="default" w:ascii="Times New Roman" w:hAnsi="Times New Roman" w:eastAsia="宋体"/>
                      <w:color w:val="000000" w:themeColor="text1"/>
                      <w:szCs w:val="21"/>
                      <w:highlight w:val="none"/>
                      <w:vertAlign w:val="subscript"/>
                      <w:lang w:val="en-US" w:eastAsia="zh-CN"/>
                      <w14:textFill>
                        <w14:solidFill>
                          <w14:schemeClr w14:val="tx1"/>
                        </w14:solidFill>
                      </w14:textFill>
                    </w:rPr>
                    <w:t>X</w:t>
                  </w:r>
                </w:p>
              </w:tc>
              <w:tc>
                <w:tcPr>
                  <w:tcW w:w="2655" w:type="dxa"/>
                  <w:noWrap w:val="0"/>
                  <w:vAlign w:val="center"/>
                </w:tcPr>
                <w:p w14:paraId="64D7BB87">
                  <w:pPr>
                    <w:widowControl/>
                    <w:jc w:val="center"/>
                    <w:textAlignment w:val="center"/>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0.658</w:t>
                  </w:r>
                </w:p>
              </w:tc>
              <w:tc>
                <w:tcPr>
                  <w:tcW w:w="2803" w:type="dxa"/>
                  <w:shd w:val="clear" w:color="auto" w:fill="auto"/>
                  <w:noWrap w:val="0"/>
                  <w:vAlign w:val="center"/>
                </w:tcPr>
                <w:p w14:paraId="629C1726">
                  <w:pPr>
                    <w:widowControl/>
                    <w:jc w:val="center"/>
                    <w:textAlignment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0.658</w:t>
                  </w:r>
                </w:p>
              </w:tc>
            </w:tr>
          </w:tbl>
          <w:p w14:paraId="79C20BF8">
            <w:pPr>
              <w:pStyle w:val="44"/>
              <w:ind w:firstLine="480"/>
              <w:rPr>
                <w:rFonts w:hint="default"/>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建设单位申请的污染物排放总量指标如下：二氧化硫（</w:t>
            </w:r>
            <w:r>
              <w:rPr>
                <w:rFonts w:hint="eastAsia" w:ascii="Times New Roman" w:hAnsi="Times New Roman"/>
                <w:color w:val="000000" w:themeColor="text1"/>
                <w:highlight w:val="none"/>
                <w:lang w:val="en-US" w:eastAsia="zh-CN"/>
                <w14:textFill>
                  <w14:solidFill>
                    <w14:schemeClr w14:val="tx1"/>
                  </w14:solidFill>
                </w14:textFill>
              </w:rPr>
              <w:t>SO</w:t>
            </w:r>
            <w:r>
              <w:rPr>
                <w:rFonts w:hint="eastAsia" w:ascii="Times New Roman" w:hAnsi="Times New Roman"/>
                <w:color w:val="000000" w:themeColor="text1"/>
                <w:highlight w:val="none"/>
                <w:vertAlign w:val="baseline"/>
                <w:lang w:val="en-US" w:eastAsia="zh-CN"/>
                <w14:textFill>
                  <w14:solidFill>
                    <w14:schemeClr w14:val="tx1"/>
                  </w14:solidFill>
                </w14:textFill>
              </w:rPr>
              <w:t>₂）为0.47</w:t>
            </w:r>
            <w:r>
              <w:rPr>
                <w:rFonts w:hint="eastAsia" w:ascii="Times New Roman" w:hAnsi="Times New Roman"/>
                <w:color w:val="000000" w:themeColor="text1"/>
                <w:highlight w:val="none"/>
                <w:lang w:val="en-US" w:eastAsia="zh-CN"/>
                <w14:textFill>
                  <w14:solidFill>
                    <w14:schemeClr w14:val="tx1"/>
                  </w14:solidFill>
                </w14:textFill>
              </w:rPr>
              <w:t>t/a，</w:t>
            </w:r>
            <w:r>
              <w:rPr>
                <w:rFonts w:hint="eastAsia" w:ascii="Times New Roman" w:hAnsi="Times New Roman"/>
                <w:color w:val="000000" w:themeColor="text1"/>
                <w:highlight w:val="none"/>
                <w:vertAlign w:val="baseline"/>
                <w:lang w:val="en-US" w:eastAsia="zh-CN"/>
                <w14:textFill>
                  <w14:solidFill>
                    <w14:schemeClr w14:val="tx1"/>
                  </w14:solidFill>
                </w14:textFill>
              </w:rPr>
              <w:t>氮氧化物（NOₓ）为0.</w:t>
            </w:r>
            <w:r>
              <w:rPr>
                <w:rFonts w:hint="eastAsia" w:ascii="Times New Roman" w:hAnsi="Times New Roman"/>
                <w:color w:val="000000" w:themeColor="text1"/>
                <w:highlight w:val="none"/>
                <w:lang w:val="en-US" w:eastAsia="zh-CN"/>
                <w14:textFill>
                  <w14:solidFill>
                    <w14:schemeClr w14:val="tx1"/>
                  </w14:solidFill>
                </w14:textFill>
              </w:rPr>
              <w:t>658t/a</w:t>
            </w:r>
            <w:r>
              <w:rPr>
                <w:rFonts w:hint="eastAsia" w:ascii="Times New Roman" w:hAnsi="Times New Roman" w:eastAsia="宋体"/>
                <w:color w:val="000000" w:themeColor="text1"/>
                <w:highlight w:val="none"/>
                <w:lang w:val="en-US" w:eastAsia="zh-CN"/>
                <w14:textFill>
                  <w14:solidFill>
                    <w14:schemeClr w14:val="tx1"/>
                  </w14:solidFill>
                </w14:textFill>
              </w:rPr>
              <w:t>。拟依据排放总量需求，按照环境主管部门确定的总量额度，向海峡股权交易中心（福建）有限公司申购所需的排放总量指标。</w:t>
            </w:r>
          </w:p>
        </w:tc>
      </w:tr>
    </w:tbl>
    <w:p w14:paraId="02B7A30D">
      <w:pPr>
        <w:pStyle w:val="2"/>
        <w:keepNext/>
        <w:keepLines w:val="0"/>
        <w:pageBreakBefore w:val="0"/>
        <w:widowControl w:val="0"/>
        <w:numPr>
          <w:ilvl w:val="0"/>
          <w:numId w:val="0"/>
        </w:numPr>
        <w:tabs>
          <w:tab w:val="left" w:pos="0"/>
        </w:tabs>
        <w:kinsoku/>
        <w:wordWrap/>
        <w:overflowPunct w:val="0"/>
        <w:topLinePunct w:val="0"/>
        <w:autoSpaceDE/>
        <w:autoSpaceDN/>
        <w:bidi w:val="0"/>
        <w:adjustRightInd/>
        <w:snapToGrid w:val="0"/>
        <w:spacing w:before="157" w:beforeLines="50"/>
        <w:ind w:left="431" w:leftChars="0" w:hanging="431" w:firstLineChars="0"/>
        <w:textAlignment w:val="auto"/>
        <w:outlineLvl w:val="9"/>
        <w:rPr>
          <w:rFonts w:ascii="黑体" w:hAnsi="黑体"/>
          <w:snapToGrid w:val="0"/>
          <w:color w:val="000000" w:themeColor="text1"/>
          <w:sz w:val="36"/>
          <w:szCs w:val="36"/>
          <w:highlight w:val="none"/>
          <w14:textFill>
            <w14:solidFill>
              <w14:schemeClr w14:val="tx1"/>
            </w14:solidFill>
          </w14:textFill>
        </w:rPr>
        <w:sectPr>
          <w:pgSz w:w="11905" w:h="16838"/>
          <w:pgMar w:top="1417" w:right="1417" w:bottom="1417" w:left="1417" w:header="851" w:footer="1077" w:gutter="0"/>
          <w:pgBorders>
            <w:top w:val="none" w:sz="0" w:space="0"/>
            <w:left w:val="none" w:sz="0" w:space="0"/>
            <w:bottom w:val="none" w:sz="0" w:space="0"/>
            <w:right w:val="none" w:sz="0" w:space="0"/>
          </w:pgBorders>
          <w:pgNumType w:fmt="decimal"/>
          <w:cols w:space="0" w:num="1"/>
          <w:docGrid w:linePitch="312" w:charSpace="0"/>
        </w:sectPr>
      </w:pPr>
    </w:p>
    <w:p w14:paraId="0EB20A58">
      <w:pPr>
        <w:pStyle w:val="2"/>
        <w:numPr>
          <w:ilvl w:val="0"/>
          <w:numId w:val="1"/>
        </w:numPr>
        <w:bidi w:val="0"/>
        <w:ind w:left="432" w:leftChars="0" w:hanging="432" w:firstLineChars="0"/>
        <w:rPr>
          <w:rFonts w:hint="eastAsia"/>
          <w:color w:val="000000" w:themeColor="text1"/>
          <w:highlight w:val="none"/>
          <w14:textFill>
            <w14:solidFill>
              <w14:schemeClr w14:val="tx1"/>
            </w14:solidFill>
          </w14:textFill>
        </w:rPr>
      </w:pPr>
      <w:bookmarkStart w:id="43" w:name="_Toc4295"/>
      <w:bookmarkStart w:id="44" w:name="_Toc8710"/>
      <w:bookmarkStart w:id="45" w:name="_Toc9984"/>
      <w:bookmarkStart w:id="46" w:name="_Toc31594"/>
      <w:bookmarkStart w:id="47" w:name="_Toc13712"/>
      <w:r>
        <w:rPr>
          <w:rFonts w:hint="eastAsia"/>
          <w:color w:val="000000" w:themeColor="text1"/>
          <w:highlight w:val="none"/>
          <w14:textFill>
            <w14:solidFill>
              <w14:schemeClr w14:val="tx1"/>
            </w14:solidFill>
          </w14:textFill>
        </w:rPr>
        <w:t>主要环境影响和保护措施</w:t>
      </w:r>
      <w:bookmarkEnd w:id="43"/>
      <w:bookmarkEnd w:id="44"/>
      <w:bookmarkEnd w:id="45"/>
      <w:bookmarkEnd w:id="46"/>
      <w:bookmarkEnd w:id="47"/>
    </w:p>
    <w:p w14:paraId="6F7CC622">
      <w:pPr>
        <w:rPr>
          <w:color w:val="000000" w:themeColor="text1"/>
          <w14:textFill>
            <w14:solidFill>
              <w14:schemeClr w14:val="tx1"/>
            </w14:solidFill>
          </w14:textFill>
        </w:rPr>
      </w:pPr>
    </w:p>
    <w:tbl>
      <w:tblPr>
        <w:tblStyle w:val="32"/>
        <w:tblW w:w="920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66"/>
        <w:gridCol w:w="8941"/>
      </w:tblGrid>
      <w:tr w14:paraId="366D11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6" w:hRule="atLeast"/>
          <w:jc w:val="center"/>
        </w:trPr>
        <w:tc>
          <w:tcPr>
            <w:tcW w:w="240" w:type="dxa"/>
            <w:tcMar>
              <w:left w:w="28" w:type="dxa"/>
              <w:right w:w="28" w:type="dxa"/>
            </w:tcMar>
            <w:vAlign w:val="center"/>
          </w:tcPr>
          <w:p w14:paraId="47E25383">
            <w:pPr>
              <w:pStyle w:val="30"/>
              <w:adjustRightInd w:val="0"/>
              <w:snapToGrid w:val="0"/>
              <w:spacing w:before="0" w:beforeAutospacing="0" w:after="0" w:afterAutospacing="0"/>
              <w:jc w:val="center"/>
              <w:rPr>
                <w:rFonts w:cs="宋体"/>
                <w:color w:val="000000" w:themeColor="text1"/>
                <w:kern w:val="2"/>
                <w:sz w:val="21"/>
                <w:szCs w:val="21"/>
                <w:highlight w:val="none"/>
                <w14:textFill>
                  <w14:solidFill>
                    <w14:schemeClr w14:val="tx1"/>
                  </w14:solidFill>
                </w14:textFill>
              </w:rPr>
            </w:pPr>
            <w:r>
              <w:rPr>
                <w:rFonts w:hint="eastAsia" w:cs="宋体"/>
                <w:color w:val="000000" w:themeColor="text1"/>
                <w:kern w:val="2"/>
                <w:sz w:val="21"/>
                <w:szCs w:val="21"/>
                <w:highlight w:val="none"/>
                <w14:textFill>
                  <w14:solidFill>
                    <w14:schemeClr w14:val="tx1"/>
                  </w14:solidFill>
                </w14:textFill>
              </w:rPr>
              <w:t>施工</w:t>
            </w:r>
          </w:p>
          <w:p w14:paraId="47720D68">
            <w:pPr>
              <w:pStyle w:val="30"/>
              <w:adjustRightInd w:val="0"/>
              <w:snapToGrid w:val="0"/>
              <w:spacing w:before="0" w:beforeAutospacing="0" w:after="0" w:afterAutospacing="0"/>
              <w:jc w:val="center"/>
              <w:rPr>
                <w:rFonts w:cs="宋体"/>
                <w:color w:val="000000" w:themeColor="text1"/>
                <w:kern w:val="2"/>
                <w:sz w:val="21"/>
                <w:szCs w:val="21"/>
                <w:highlight w:val="none"/>
                <w14:textFill>
                  <w14:solidFill>
                    <w14:schemeClr w14:val="tx1"/>
                  </w14:solidFill>
                </w14:textFill>
              </w:rPr>
            </w:pPr>
            <w:r>
              <w:rPr>
                <w:rFonts w:hint="eastAsia" w:cs="宋体"/>
                <w:color w:val="000000" w:themeColor="text1"/>
                <w:kern w:val="2"/>
                <w:sz w:val="21"/>
                <w:szCs w:val="21"/>
                <w:highlight w:val="none"/>
                <w14:textFill>
                  <w14:solidFill>
                    <w14:schemeClr w14:val="tx1"/>
                  </w14:solidFill>
                </w14:textFill>
              </w:rPr>
              <w:t>期环</w:t>
            </w:r>
          </w:p>
          <w:p w14:paraId="58A8B71B">
            <w:pPr>
              <w:pStyle w:val="30"/>
              <w:adjustRightInd w:val="0"/>
              <w:snapToGrid w:val="0"/>
              <w:spacing w:before="0" w:beforeAutospacing="0" w:after="0" w:afterAutospacing="0"/>
              <w:jc w:val="center"/>
              <w:rPr>
                <w:rFonts w:cs="宋体"/>
                <w:color w:val="000000" w:themeColor="text1"/>
                <w:kern w:val="2"/>
                <w:sz w:val="21"/>
                <w:szCs w:val="21"/>
                <w:highlight w:val="none"/>
                <w14:textFill>
                  <w14:solidFill>
                    <w14:schemeClr w14:val="tx1"/>
                  </w14:solidFill>
                </w14:textFill>
              </w:rPr>
            </w:pPr>
            <w:r>
              <w:rPr>
                <w:rFonts w:hint="eastAsia" w:cs="宋体"/>
                <w:color w:val="000000" w:themeColor="text1"/>
                <w:kern w:val="2"/>
                <w:sz w:val="21"/>
                <w:szCs w:val="21"/>
                <w:highlight w:val="none"/>
                <w14:textFill>
                  <w14:solidFill>
                    <w14:schemeClr w14:val="tx1"/>
                  </w14:solidFill>
                </w14:textFill>
              </w:rPr>
              <w:t>境保</w:t>
            </w:r>
          </w:p>
          <w:p w14:paraId="0B6C620E">
            <w:pPr>
              <w:pStyle w:val="30"/>
              <w:adjustRightInd w:val="0"/>
              <w:snapToGrid w:val="0"/>
              <w:spacing w:before="0" w:beforeAutospacing="0" w:after="0" w:afterAutospacing="0"/>
              <w:jc w:val="center"/>
              <w:rPr>
                <w:rFonts w:hint="eastAsia" w:ascii="宋体" w:hAnsi="宋体" w:eastAsia="宋体" w:cs="宋体"/>
                <w:bCs/>
                <w:color w:val="000000" w:themeColor="text1"/>
                <w:szCs w:val="21"/>
                <w:highlight w:val="none"/>
                <w:lang w:val="en-US" w:eastAsia="zh-CN"/>
                <w14:textFill>
                  <w14:solidFill>
                    <w14:schemeClr w14:val="tx1"/>
                  </w14:solidFill>
                </w14:textFill>
              </w:rPr>
            </w:pPr>
            <w:r>
              <w:rPr>
                <w:rFonts w:hint="eastAsia" w:cs="宋体"/>
                <w:color w:val="000000" w:themeColor="text1"/>
                <w:kern w:val="2"/>
                <w:sz w:val="21"/>
                <w:szCs w:val="21"/>
                <w:highlight w:val="none"/>
                <w14:textFill>
                  <w14:solidFill>
                    <w14:schemeClr w14:val="tx1"/>
                  </w14:solidFill>
                </w14:textFill>
              </w:rPr>
              <w:t>护</w:t>
            </w:r>
            <w:r>
              <w:rPr>
                <w:rFonts w:hint="eastAsia" w:cs="宋体"/>
                <w:color w:val="000000" w:themeColor="text1"/>
                <w:kern w:val="2"/>
                <w:sz w:val="21"/>
                <w:szCs w:val="21"/>
                <w:highlight w:val="none"/>
                <w:lang w:val="en-US" w:eastAsia="zh-CN"/>
                <w14:textFill>
                  <w14:solidFill>
                    <w14:schemeClr w14:val="tx1"/>
                  </w14:solidFill>
                </w14:textFill>
              </w:rPr>
              <w:t>措施</w:t>
            </w:r>
          </w:p>
        </w:tc>
        <w:tc>
          <w:tcPr>
            <w:tcW w:w="8967" w:type="dxa"/>
            <w:vAlign w:val="center"/>
          </w:tcPr>
          <w:p w14:paraId="786728FC">
            <w:pPr>
              <w:pStyle w:val="3"/>
              <w:numPr>
                <w:ilvl w:val="1"/>
                <w:numId w:val="1"/>
              </w:numPr>
              <w:bidi w:val="0"/>
              <w:ind w:left="0" w:leftChars="0" w:firstLine="0" w:firstLineChars="0"/>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施工期环境保护措施</w:t>
            </w:r>
          </w:p>
          <w:p w14:paraId="27709CF9">
            <w:pPr>
              <w:pStyle w:val="9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eastAsia" w:ascii="Times New Roman" w:hAnsi="Times New Roman"/>
                <w:spacing w:val="-2"/>
                <w:sz w:val="24"/>
                <w:lang w:val="en-US" w:eastAsia="zh-CN"/>
              </w:rPr>
            </w:pPr>
            <w:r>
              <w:rPr>
                <w:rFonts w:hint="eastAsia" w:ascii="Times New Roman" w:hAnsi="Times New Roman"/>
                <w:spacing w:val="-2"/>
                <w:sz w:val="24"/>
              </w:rPr>
              <w:t>本项目</w:t>
            </w:r>
            <w:r>
              <w:rPr>
                <w:rFonts w:hint="eastAsia" w:ascii="Times New Roman" w:hAnsi="Times New Roman"/>
                <w:spacing w:val="-2"/>
                <w:sz w:val="24"/>
                <w:lang w:val="en-US" w:eastAsia="zh-CN"/>
              </w:rPr>
              <w:t>对</w:t>
            </w:r>
            <w:r>
              <w:rPr>
                <w:rFonts w:hint="eastAsia" w:ascii="Times New Roman" w:hAnsi="Times New Roman"/>
                <w:spacing w:val="-2"/>
                <w:sz w:val="24"/>
              </w:rPr>
              <w:t>租赁</w:t>
            </w:r>
            <w:r>
              <w:rPr>
                <w:rFonts w:hint="eastAsia" w:ascii="Times New Roman" w:hAnsi="Times New Roman"/>
                <w:spacing w:val="-2"/>
                <w:sz w:val="24"/>
                <w:lang w:val="en-US" w:eastAsia="zh-CN"/>
              </w:rPr>
              <w:t>工业用地及厂房进行改造</w:t>
            </w:r>
            <w:r>
              <w:rPr>
                <w:rFonts w:hint="eastAsia" w:ascii="Times New Roman" w:hAnsi="Times New Roman"/>
                <w:spacing w:val="-2"/>
                <w:sz w:val="24"/>
              </w:rPr>
              <w:t>，</w:t>
            </w:r>
            <w:r>
              <w:rPr>
                <w:rFonts w:hint="eastAsia" w:ascii="Times New Roman" w:hAnsi="Times New Roman"/>
                <w:spacing w:val="-2"/>
                <w:sz w:val="24"/>
                <w:lang w:val="en-US" w:eastAsia="zh-CN"/>
              </w:rPr>
              <w:t>施工期影响如下：</w:t>
            </w:r>
          </w:p>
          <w:p w14:paraId="5DB5B2FF">
            <w:pPr>
              <w:pStyle w:val="9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spacing w:val="-2"/>
                <w:sz w:val="24"/>
                <w:lang w:val="en-US" w:eastAsia="zh-CN"/>
              </w:rPr>
            </w:pPr>
            <w:r>
              <w:rPr>
                <w:rFonts w:hint="default" w:ascii="Times New Roman" w:hAnsi="Times New Roman"/>
                <w:spacing w:val="-2"/>
                <w:sz w:val="24"/>
                <w:lang w:val="en-US" w:eastAsia="zh-CN"/>
              </w:rPr>
              <w:t>1、施工废水：</w:t>
            </w:r>
          </w:p>
          <w:p w14:paraId="73476873">
            <w:pPr>
              <w:pStyle w:val="9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spacing w:val="-2"/>
                <w:sz w:val="24"/>
              </w:rPr>
            </w:pPr>
            <w:r>
              <w:rPr>
                <w:rFonts w:hint="default" w:ascii="Times New Roman" w:hAnsi="Times New Roman"/>
                <w:spacing w:val="-2"/>
                <w:sz w:val="24"/>
              </w:rPr>
              <w:t>施工期废水有施工废水和生活污水两种，施工废水主要有施工机械设备和车辆的冲洗废水等，主要污染物为SS，生活污水来自施工人员排放的生活污水。针对上述不同的废水，采取如下防治措施：</w:t>
            </w:r>
          </w:p>
          <w:p w14:paraId="05DDAFE8">
            <w:pPr>
              <w:pStyle w:val="9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spacing w:val="-2"/>
                <w:sz w:val="24"/>
              </w:rPr>
            </w:pPr>
            <w:r>
              <w:rPr>
                <w:rFonts w:hint="default" w:ascii="Times New Roman" w:hAnsi="Times New Roman"/>
                <w:spacing w:val="-2"/>
                <w:sz w:val="24"/>
              </w:rPr>
              <w:t>（1）机械和车辆冲洗废水：主要为含油废水，要求设立专门清洗点对施工机械和车辆进行清洗和保养，含油废水或废弃物，不得随意弃置和倾流，可建小型隔油池进行处理，工地废水经隔油沉淀后循环使用或作为场地抑尘洒水用水。</w:t>
            </w:r>
          </w:p>
          <w:p w14:paraId="22211D4A">
            <w:pPr>
              <w:pStyle w:val="9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spacing w:val="-2"/>
                <w:sz w:val="24"/>
              </w:rPr>
            </w:pPr>
            <w:r>
              <w:rPr>
                <w:rFonts w:hint="default" w:ascii="Times New Roman" w:hAnsi="Times New Roman"/>
                <w:spacing w:val="-2"/>
                <w:sz w:val="24"/>
              </w:rPr>
              <w:t>（2）施工人员生活污水：主要是施工人员日常排放的污水。施工人员均租住在附近的村庄中，其产生的生活污水量较小，依托附近村庄原有排水系统排放。</w:t>
            </w:r>
          </w:p>
          <w:p w14:paraId="57C7666F">
            <w:pPr>
              <w:pStyle w:val="9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spacing w:val="-2"/>
                <w:sz w:val="24"/>
                <w:lang w:val="en-US" w:eastAsia="zh-CN"/>
              </w:rPr>
            </w:pPr>
            <w:r>
              <w:rPr>
                <w:rFonts w:hint="default" w:ascii="Times New Roman" w:hAnsi="Times New Roman"/>
                <w:spacing w:val="-2"/>
                <w:sz w:val="24"/>
              </w:rPr>
              <w:t>施工期废水经以上措施处理后，对周边水环境影响不大</w:t>
            </w:r>
            <w:r>
              <w:rPr>
                <w:rFonts w:hint="default" w:ascii="Times New Roman" w:hAnsi="Times New Roman"/>
                <w:spacing w:val="-2"/>
                <w:sz w:val="24"/>
                <w:lang w:eastAsia="zh-CN"/>
              </w:rPr>
              <w:t>。</w:t>
            </w:r>
          </w:p>
          <w:p w14:paraId="12B969ED">
            <w:pPr>
              <w:pStyle w:val="9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spacing w:val="-2"/>
                <w:sz w:val="24"/>
                <w:lang w:val="en-US" w:eastAsia="zh-CN"/>
              </w:rPr>
            </w:pPr>
            <w:r>
              <w:rPr>
                <w:rFonts w:hint="default" w:ascii="Times New Roman" w:hAnsi="Times New Roman"/>
                <w:spacing w:val="-2"/>
                <w:sz w:val="24"/>
                <w:lang w:val="en-US" w:eastAsia="zh-CN"/>
              </w:rPr>
              <w:t>2、施工粉尘</w:t>
            </w:r>
          </w:p>
          <w:p w14:paraId="414E31F7">
            <w:pPr>
              <w:pStyle w:val="9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spacing w:val="-2"/>
                <w:sz w:val="24"/>
              </w:rPr>
            </w:pPr>
            <w:r>
              <w:rPr>
                <w:rFonts w:hint="default" w:ascii="Times New Roman" w:hAnsi="Times New Roman"/>
                <w:spacing w:val="-2"/>
                <w:sz w:val="24"/>
              </w:rPr>
              <w:t>① 施工期场地内扬尘</w:t>
            </w:r>
          </w:p>
          <w:p w14:paraId="6CE733FE">
            <w:pPr>
              <w:pStyle w:val="9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spacing w:val="-2"/>
                <w:sz w:val="24"/>
              </w:rPr>
            </w:pPr>
            <w:r>
              <w:rPr>
                <w:rFonts w:hint="default" w:ascii="Times New Roman" w:hAnsi="Times New Roman"/>
                <w:spacing w:val="-2"/>
                <w:sz w:val="24"/>
              </w:rPr>
              <w:t>施工期场地内扬尘主要由以下因素产生：</w:t>
            </w:r>
          </w:p>
          <w:p w14:paraId="75C51F7A">
            <w:pPr>
              <w:pStyle w:val="9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spacing w:val="-2"/>
                <w:sz w:val="24"/>
              </w:rPr>
            </w:pPr>
            <w:r>
              <w:rPr>
                <w:rFonts w:hint="default" w:ascii="Times New Roman" w:hAnsi="Times New Roman"/>
                <w:spacing w:val="-2"/>
                <w:sz w:val="24"/>
              </w:rPr>
              <w:t>A、场地内地表的挖掘与重整、土方和建材的运输等。</w:t>
            </w:r>
          </w:p>
          <w:p w14:paraId="6146CAA1">
            <w:pPr>
              <w:pStyle w:val="9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spacing w:val="-2"/>
                <w:sz w:val="24"/>
              </w:rPr>
            </w:pPr>
            <w:r>
              <w:rPr>
                <w:rFonts w:hint="default" w:ascii="Times New Roman" w:hAnsi="Times New Roman"/>
                <w:spacing w:val="-2"/>
                <w:sz w:val="24"/>
              </w:rPr>
              <w:t>B、干燥有风天气，运输车辆在施工场地内的道路和裸露施工面</w:t>
            </w:r>
            <w:r>
              <w:rPr>
                <w:rFonts w:hint="eastAsia" w:ascii="Times New Roman" w:hAnsi="Times New Roman"/>
                <w:spacing w:val="-2"/>
                <w:sz w:val="24"/>
                <w:lang w:eastAsia="zh-CN"/>
              </w:rPr>
              <w:t>行驶</w:t>
            </w:r>
            <w:r>
              <w:rPr>
                <w:rFonts w:hint="default" w:ascii="Times New Roman" w:hAnsi="Times New Roman"/>
                <w:spacing w:val="-2"/>
                <w:sz w:val="24"/>
              </w:rPr>
              <w:t>。</w:t>
            </w:r>
          </w:p>
          <w:p w14:paraId="136FA0EB">
            <w:pPr>
              <w:pStyle w:val="9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spacing w:val="-2"/>
                <w:sz w:val="24"/>
              </w:rPr>
            </w:pPr>
            <w:r>
              <w:rPr>
                <w:rFonts w:hint="default" w:ascii="Times New Roman" w:hAnsi="Times New Roman"/>
                <w:spacing w:val="-2"/>
                <w:sz w:val="24"/>
              </w:rPr>
              <w:t>据类比调查，在大工地周边降尘量可能增加到10t/km</w:t>
            </w:r>
            <w:r>
              <w:rPr>
                <w:rFonts w:hint="default" w:ascii="Times New Roman" w:hAnsi="Times New Roman"/>
                <w:spacing w:val="-2"/>
                <w:sz w:val="24"/>
                <w:vertAlign w:val="superscript"/>
              </w:rPr>
              <w:t>2</w:t>
            </w:r>
            <w:r>
              <w:rPr>
                <w:rFonts w:hint="default" w:ascii="Times New Roman" w:hAnsi="Times New Roman"/>
                <w:spacing w:val="-2"/>
                <w:sz w:val="24"/>
              </w:rPr>
              <w:t>月以上。在尘源30m以内颗粒物浓度为上风向对照点2倍以上，在尘源下风向0-60m为较重污染带，60-80m为中污染带，80-150m为轻污染带，在一般气象条件下，平均风速2.5m/s时，施工扬尘影响范围为其下风向150m以内，对150m以外大气环境影响甚微。</w:t>
            </w:r>
          </w:p>
          <w:p w14:paraId="64204159">
            <w:pPr>
              <w:pStyle w:val="9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spacing w:val="-2"/>
                <w:sz w:val="24"/>
              </w:rPr>
            </w:pPr>
            <w:r>
              <w:rPr>
                <w:rFonts w:hint="eastAsia" w:ascii="Times New Roman" w:hAnsi="Times New Roman"/>
                <w:spacing w:val="-2"/>
                <w:sz w:val="24"/>
              </w:rPr>
              <w:t>本项目</w:t>
            </w:r>
            <w:r>
              <w:rPr>
                <w:rFonts w:hint="eastAsia" w:ascii="Times New Roman" w:hAnsi="Times New Roman"/>
                <w:spacing w:val="-2"/>
                <w:sz w:val="24"/>
                <w:lang w:val="en-US" w:eastAsia="zh-CN"/>
              </w:rPr>
              <w:t>东侧相邻丽山村</w:t>
            </w:r>
            <w:r>
              <w:rPr>
                <w:rFonts w:hint="eastAsia" w:ascii="Times New Roman" w:hAnsi="Times New Roman"/>
                <w:spacing w:val="-2"/>
                <w:sz w:val="24"/>
              </w:rPr>
              <w:t>，对敏感目标影响较大，建设单位要重视落实施工工地粉尘的防治措施，最大程度</w:t>
            </w:r>
            <w:r>
              <w:rPr>
                <w:rFonts w:hint="eastAsia" w:ascii="Times New Roman" w:hAnsi="Times New Roman"/>
                <w:spacing w:val="-2"/>
                <w:sz w:val="24"/>
                <w:lang w:eastAsia="zh-CN"/>
              </w:rPr>
              <w:t>地</w:t>
            </w:r>
            <w:r>
              <w:rPr>
                <w:rFonts w:hint="eastAsia" w:ascii="Times New Roman" w:hAnsi="Times New Roman"/>
                <w:spacing w:val="-2"/>
                <w:sz w:val="24"/>
              </w:rPr>
              <w:t>降低粉尘对环境的影响。比如在</w:t>
            </w:r>
            <w:r>
              <w:rPr>
                <w:rFonts w:hint="eastAsia" w:ascii="Times New Roman" w:hAnsi="Times New Roman"/>
                <w:spacing w:val="-2"/>
                <w:sz w:val="24"/>
                <w:lang w:val="zh-CN"/>
              </w:rPr>
              <w:t>项目</w:t>
            </w:r>
            <w:r>
              <w:rPr>
                <w:rFonts w:ascii="Times New Roman" w:hAnsi="Times New Roman"/>
                <w:spacing w:val="-2"/>
                <w:sz w:val="24"/>
              </w:rPr>
              <w:t>施工边界</w:t>
            </w:r>
            <w:r>
              <w:rPr>
                <w:rFonts w:hint="eastAsia" w:ascii="Times New Roman" w:hAnsi="Times New Roman"/>
                <w:spacing w:val="-2"/>
                <w:sz w:val="24"/>
              </w:rPr>
              <w:t>四周必须</w:t>
            </w:r>
            <w:r>
              <w:rPr>
                <w:rFonts w:ascii="Times New Roman" w:hAnsi="Times New Roman"/>
                <w:spacing w:val="-2"/>
                <w:sz w:val="24"/>
              </w:rPr>
              <w:t>设置高度2.5</w:t>
            </w:r>
            <w:r>
              <w:rPr>
                <w:rFonts w:hint="eastAsia" w:ascii="Times New Roman" w:hAnsi="Times New Roman"/>
                <w:spacing w:val="-2"/>
                <w:sz w:val="24"/>
              </w:rPr>
              <w:t>m</w:t>
            </w:r>
            <w:r>
              <w:rPr>
                <w:rFonts w:ascii="Times New Roman" w:hAnsi="Times New Roman"/>
                <w:spacing w:val="-2"/>
                <w:sz w:val="24"/>
              </w:rPr>
              <w:t>以上的</w:t>
            </w:r>
            <w:r>
              <w:rPr>
                <w:rFonts w:hint="eastAsia" w:ascii="Times New Roman" w:hAnsi="Times New Roman"/>
                <w:spacing w:val="-2"/>
                <w:sz w:val="24"/>
                <w:lang w:eastAsia="zh-CN"/>
              </w:rPr>
              <w:t>围挡</w:t>
            </w:r>
            <w:r>
              <w:rPr>
                <w:rFonts w:ascii="Times New Roman" w:hAnsi="Times New Roman"/>
                <w:spacing w:val="-2"/>
                <w:sz w:val="24"/>
              </w:rPr>
              <w:t>，</w:t>
            </w:r>
            <w:r>
              <w:rPr>
                <w:rFonts w:ascii="Times New Roman" w:hAnsi="Times New Roman"/>
                <w:spacing w:val="-2"/>
                <w:sz w:val="24"/>
                <w:lang w:val="zh-CN"/>
              </w:rPr>
              <w:t>实行封闭式施工</w:t>
            </w:r>
            <w:r>
              <w:rPr>
                <w:rFonts w:hint="eastAsia" w:ascii="Times New Roman" w:hAnsi="Times New Roman"/>
                <w:spacing w:val="-2"/>
                <w:sz w:val="24"/>
                <w:lang w:val="zh-CN"/>
              </w:rPr>
              <w:t>，并在围挡上方安装喷淋洒水措施</w:t>
            </w:r>
            <w:r>
              <w:rPr>
                <w:rFonts w:hint="eastAsia" w:ascii="Times New Roman" w:hAnsi="Times New Roman"/>
                <w:spacing w:val="-2"/>
                <w:sz w:val="24"/>
              </w:rPr>
              <w:t>；项目必须采用商品混凝土</w:t>
            </w:r>
            <w:r>
              <w:rPr>
                <w:rFonts w:ascii="Times New Roman" w:hAnsi="Times New Roman"/>
                <w:spacing w:val="-2"/>
                <w:sz w:val="24"/>
              </w:rPr>
              <w:t>，</w:t>
            </w:r>
            <w:r>
              <w:rPr>
                <w:rFonts w:hint="eastAsia" w:ascii="Times New Roman" w:hAnsi="Times New Roman"/>
                <w:spacing w:val="-2"/>
                <w:sz w:val="24"/>
              </w:rPr>
              <w:t>避免</w:t>
            </w:r>
            <w:r>
              <w:rPr>
                <w:rFonts w:ascii="Times New Roman" w:hAnsi="Times New Roman"/>
                <w:spacing w:val="-2"/>
                <w:sz w:val="24"/>
              </w:rPr>
              <w:t>现场搅拌混凝土</w:t>
            </w:r>
            <w:r>
              <w:rPr>
                <w:rFonts w:hint="eastAsia" w:ascii="Times New Roman" w:hAnsi="Times New Roman"/>
                <w:spacing w:val="-2"/>
                <w:sz w:val="24"/>
              </w:rPr>
              <w:t>产生的废气与粉尘；</w:t>
            </w:r>
            <w:r>
              <w:rPr>
                <w:rFonts w:ascii="Times New Roman" w:hAnsi="Times New Roman"/>
                <w:spacing w:val="-2"/>
                <w:sz w:val="24"/>
              </w:rPr>
              <w:t>施工工地内的车行道路应硬化地面</w:t>
            </w:r>
            <w:r>
              <w:rPr>
                <w:rFonts w:hint="eastAsia" w:ascii="Times New Roman" w:hAnsi="Times New Roman"/>
                <w:spacing w:val="-2"/>
                <w:sz w:val="24"/>
              </w:rPr>
              <w:t>，</w:t>
            </w:r>
            <w:r>
              <w:rPr>
                <w:rFonts w:ascii="Times New Roman" w:hAnsi="Times New Roman"/>
                <w:spacing w:val="-2"/>
                <w:sz w:val="24"/>
              </w:rPr>
              <w:t>铺设钢板、铺设水泥地面等措施</w:t>
            </w:r>
            <w:r>
              <w:rPr>
                <w:rFonts w:hint="eastAsia" w:ascii="Times New Roman" w:hAnsi="Times New Roman"/>
                <w:spacing w:val="-2"/>
                <w:sz w:val="24"/>
              </w:rPr>
              <w:t>；建筑土方、工程渣土、建筑垃圾应当及时清运；在场地内堆存的，应当采用密闭式防尘网遮盖；采用“湿式施工作业”，</w:t>
            </w:r>
            <w:r>
              <w:rPr>
                <w:rFonts w:ascii="Times New Roman" w:hAnsi="Times New Roman"/>
                <w:spacing w:val="-2"/>
                <w:sz w:val="24"/>
                <w:lang w:val="zh-CN"/>
              </w:rPr>
              <w:t>对施工现场易产生扬尘的作业面（点）等进行洒水降尘，在大风日加大洒水量及洒水次数</w:t>
            </w:r>
            <w:r>
              <w:rPr>
                <w:rFonts w:hint="default" w:ascii="Times New Roman" w:hAnsi="Times New Roman"/>
                <w:spacing w:val="-2"/>
                <w:sz w:val="24"/>
                <w:lang w:val="zh-CN"/>
              </w:rPr>
              <w:t>。</w:t>
            </w:r>
          </w:p>
          <w:p w14:paraId="205AAA9B">
            <w:pPr>
              <w:pStyle w:val="9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spacing w:val="-2"/>
                <w:sz w:val="24"/>
              </w:rPr>
            </w:pPr>
            <w:r>
              <w:rPr>
                <w:rFonts w:hint="default" w:ascii="Times New Roman" w:hAnsi="Times New Roman"/>
                <w:spacing w:val="-2"/>
                <w:sz w:val="24"/>
              </w:rPr>
              <w:t>② 施工期场地外扬尘</w:t>
            </w:r>
          </w:p>
          <w:p w14:paraId="0270F3D0">
            <w:pPr>
              <w:pStyle w:val="9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spacing w:val="-2"/>
                <w:sz w:val="24"/>
              </w:rPr>
            </w:pPr>
            <w:r>
              <w:rPr>
                <w:rFonts w:hint="default" w:ascii="Times New Roman" w:hAnsi="Times New Roman"/>
                <w:spacing w:val="-2"/>
                <w:sz w:val="24"/>
              </w:rPr>
              <w:t>对于被带到附近道路上的泥土所产生的扬尘量，与管理情况关系密切，一般难以准确项目土石方运输沿途主要利用项目</w:t>
            </w:r>
            <w:r>
              <w:rPr>
                <w:rFonts w:hint="default" w:ascii="Times New Roman" w:hAnsi="Times New Roman"/>
                <w:spacing w:val="-2"/>
                <w:sz w:val="24"/>
                <w:lang w:val="en-US" w:eastAsia="zh-CN"/>
              </w:rPr>
              <w:t>北侧村道</w:t>
            </w:r>
            <w:r>
              <w:rPr>
                <w:rFonts w:hint="default" w:ascii="Times New Roman" w:hAnsi="Times New Roman"/>
                <w:spacing w:val="-2"/>
                <w:sz w:val="24"/>
              </w:rPr>
              <w:t>，</w:t>
            </w:r>
            <w:r>
              <w:rPr>
                <w:rFonts w:hint="default" w:ascii="Times New Roman" w:hAnsi="Times New Roman"/>
                <w:spacing w:val="-2"/>
                <w:sz w:val="24"/>
                <w:lang w:val="en-US" w:eastAsia="zh-CN"/>
              </w:rPr>
              <w:t>居民点</w:t>
            </w:r>
            <w:r>
              <w:rPr>
                <w:rFonts w:hint="default" w:ascii="Times New Roman" w:hAnsi="Times New Roman"/>
                <w:spacing w:val="-2"/>
                <w:sz w:val="24"/>
              </w:rPr>
              <w:t>均位于道路的临路一侧，将会受到施工扬尘的影响，增加空气的浑浊度。</w:t>
            </w:r>
          </w:p>
          <w:p w14:paraId="40DB9C76">
            <w:pPr>
              <w:pStyle w:val="9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spacing w:val="-2"/>
                <w:sz w:val="24"/>
                <w:lang w:val="en-US" w:eastAsia="zh-CN"/>
              </w:rPr>
            </w:pPr>
            <w:r>
              <w:rPr>
                <w:rFonts w:hint="default" w:ascii="Times New Roman" w:hAnsi="Times New Roman"/>
                <w:spacing w:val="-2"/>
                <w:sz w:val="24"/>
              </w:rPr>
              <w:t>因此项目必须采取施工道路扬尘防治措施来减缓扬尘对路边敏感点的影响：出工地的物料、渣土、垃圾运输车辆，应按照批准的路线和时间进行物料、渣土、垃圾的运输，采用密闭车斗，并保证物料不遗撒外漏；施工场地出口设洗车平台，进出场车辆在此清洗轮胎及车身，防止将工地泥土带入道路；施工工地内的车行道路应硬化地面，铺设钢板、铺设水泥地面等措施。随着施工期的结束，施工扬尘影响就不再存在</w:t>
            </w:r>
            <w:r>
              <w:rPr>
                <w:rFonts w:hint="default" w:ascii="Times New Roman" w:hAnsi="Times New Roman"/>
                <w:spacing w:val="-2"/>
                <w:sz w:val="24"/>
                <w:lang w:eastAsia="zh-CN"/>
              </w:rPr>
              <w:t>。</w:t>
            </w:r>
          </w:p>
          <w:p w14:paraId="7ACD350F">
            <w:pPr>
              <w:pStyle w:val="9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spacing w:val="-2"/>
                <w:sz w:val="24"/>
                <w:lang w:val="en-US" w:eastAsia="zh-CN"/>
              </w:rPr>
            </w:pPr>
            <w:r>
              <w:rPr>
                <w:rFonts w:hint="default" w:ascii="Times New Roman" w:hAnsi="Times New Roman"/>
                <w:spacing w:val="-2"/>
                <w:sz w:val="24"/>
                <w:lang w:val="en-US" w:eastAsia="zh-CN"/>
              </w:rPr>
              <w:t>3、施工噪声</w:t>
            </w:r>
          </w:p>
          <w:p w14:paraId="0F0558A8">
            <w:pPr>
              <w:pStyle w:val="9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spacing w:val="-2"/>
                <w:sz w:val="24"/>
              </w:rPr>
            </w:pPr>
            <w:r>
              <w:rPr>
                <w:rFonts w:hint="default" w:ascii="Times New Roman" w:hAnsi="Times New Roman"/>
                <w:spacing w:val="-2"/>
                <w:sz w:val="24"/>
              </w:rPr>
              <w:t>为防止建设期间施工噪声对区域声环境的不利影响，建设单位应采取如下的防治措施：</w:t>
            </w:r>
          </w:p>
          <w:p w14:paraId="129430F1">
            <w:pPr>
              <w:pStyle w:val="9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spacing w:val="-2"/>
                <w:sz w:val="24"/>
              </w:rPr>
            </w:pPr>
            <w:r>
              <w:rPr>
                <w:rFonts w:hint="default" w:ascii="Times New Roman" w:hAnsi="Times New Roman"/>
                <w:spacing w:val="-2"/>
                <w:sz w:val="24"/>
              </w:rPr>
              <w:t>①本项目</w:t>
            </w:r>
            <w:r>
              <w:rPr>
                <w:rFonts w:hint="eastAsia" w:ascii="Times New Roman" w:hAnsi="Times New Roman"/>
                <w:spacing w:val="-2"/>
                <w:sz w:val="24"/>
                <w:lang w:eastAsia="zh-CN"/>
              </w:rPr>
              <w:t>厂</w:t>
            </w:r>
            <w:r>
              <w:rPr>
                <w:rFonts w:hint="default" w:ascii="Times New Roman" w:hAnsi="Times New Roman"/>
                <w:spacing w:val="-2"/>
                <w:sz w:val="24"/>
              </w:rPr>
              <w:t>界要求采取隔声减噪措施。如安装临时隔声屏障（设置不低于2</w:t>
            </w:r>
            <w:r>
              <w:rPr>
                <w:rFonts w:hint="default" w:ascii="Times New Roman" w:hAnsi="Times New Roman"/>
                <w:spacing w:val="-2"/>
                <w:sz w:val="24"/>
                <w:lang w:val="en-US" w:eastAsia="zh-CN"/>
              </w:rPr>
              <w:t>.5</w:t>
            </w:r>
            <w:r>
              <w:rPr>
                <w:rFonts w:hint="default" w:ascii="Times New Roman" w:hAnsi="Times New Roman"/>
                <w:spacing w:val="-2"/>
                <w:sz w:val="24"/>
              </w:rPr>
              <w:t>m的围挡）、将高噪声施工设备布置在场地中部或者北部，最大程度减轻由于施工给周围居民生活环境带来的影响。</w:t>
            </w:r>
          </w:p>
          <w:p w14:paraId="63BD3567">
            <w:pPr>
              <w:pStyle w:val="9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spacing w:val="-2"/>
                <w:sz w:val="24"/>
              </w:rPr>
            </w:pPr>
            <w:r>
              <w:rPr>
                <w:rFonts w:hint="default" w:ascii="Times New Roman" w:hAnsi="Times New Roman"/>
                <w:spacing w:val="-2"/>
                <w:sz w:val="24"/>
              </w:rPr>
              <w:t>②选择低噪声的施工机械设备和工艺，如选用商品混凝土。</w:t>
            </w:r>
          </w:p>
          <w:p w14:paraId="410D7ED6">
            <w:pPr>
              <w:pStyle w:val="9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spacing w:val="-2"/>
                <w:sz w:val="24"/>
              </w:rPr>
            </w:pPr>
            <w:r>
              <w:rPr>
                <w:rFonts w:hint="default" w:ascii="Times New Roman" w:hAnsi="Times New Roman"/>
                <w:spacing w:val="-2"/>
                <w:sz w:val="24"/>
              </w:rPr>
              <w:t>③施工单位必须在工程开工前十五日内，向环保部门申报工程项目名称，建筑施工场所及施工期限，可能产生的环境噪声分贝值和将所采取的防治措施等，并填报《建筑施工场地噪声申报登记表》申请报告经环保部门审批后，发给排污许可并报建设局和城建监察支队备案。</w:t>
            </w:r>
          </w:p>
          <w:p w14:paraId="3B9D7E5D">
            <w:pPr>
              <w:pStyle w:val="9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spacing w:val="-2"/>
                <w:sz w:val="24"/>
              </w:rPr>
            </w:pPr>
            <w:r>
              <w:rPr>
                <w:rFonts w:hint="default" w:ascii="Times New Roman" w:hAnsi="Times New Roman"/>
                <w:spacing w:val="-2"/>
                <w:sz w:val="24"/>
              </w:rPr>
              <w:t>④合理安排施工时间，禁止在午间（12时至14时）和夜间（22时至次日6时）进行打桩、搅拌或浇注混凝土等高噪声作业；夜间禁止使用高噪声设备，如需要连续作业或者特殊需要，确要在22:00～次日6:00时进行施工的，建设单位和施工单位应必须报经当地环境保护主管部门批准，并予以公告。</w:t>
            </w:r>
          </w:p>
          <w:p w14:paraId="3D48948D">
            <w:pPr>
              <w:pStyle w:val="9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spacing w:val="-2"/>
                <w:sz w:val="24"/>
                <w:lang w:val="en-US"/>
              </w:rPr>
            </w:pPr>
            <w:r>
              <w:rPr>
                <w:rFonts w:hint="default" w:ascii="Times New Roman" w:hAnsi="Times New Roman"/>
                <w:spacing w:val="-2"/>
                <w:sz w:val="24"/>
              </w:rPr>
              <w:t>⑤合理布局施工设施，空压机、推土机等高噪声作业设备应尽量远离敏感点，并严格控制作业时间，避免噪音扰民，对施工设备要进行设置底座减振措施</w:t>
            </w:r>
          </w:p>
          <w:p w14:paraId="45738F46">
            <w:pPr>
              <w:pStyle w:val="9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spacing w:val="-2"/>
                <w:sz w:val="24"/>
                <w:lang w:val="en-US"/>
              </w:rPr>
            </w:pPr>
            <w:r>
              <w:rPr>
                <w:rFonts w:hint="default" w:ascii="Times New Roman" w:hAnsi="Times New Roman"/>
                <w:spacing w:val="-2"/>
                <w:sz w:val="24"/>
              </w:rPr>
              <w:t>随着施工期的结束，施工</w:t>
            </w:r>
            <w:r>
              <w:rPr>
                <w:rFonts w:hint="default" w:ascii="Times New Roman" w:hAnsi="Times New Roman"/>
                <w:spacing w:val="-2"/>
                <w:sz w:val="24"/>
                <w:lang w:val="en-US" w:eastAsia="zh-CN"/>
              </w:rPr>
              <w:t>噪声</w:t>
            </w:r>
            <w:r>
              <w:rPr>
                <w:rFonts w:hint="default" w:ascii="Times New Roman" w:hAnsi="Times New Roman"/>
                <w:spacing w:val="-2"/>
                <w:sz w:val="24"/>
              </w:rPr>
              <w:t>影响就不再存在</w:t>
            </w:r>
            <w:r>
              <w:rPr>
                <w:rFonts w:hint="default" w:ascii="Times New Roman" w:hAnsi="Times New Roman"/>
                <w:spacing w:val="-2"/>
                <w:sz w:val="24"/>
                <w:lang w:eastAsia="zh-CN"/>
              </w:rPr>
              <w:t>。</w:t>
            </w:r>
          </w:p>
          <w:p w14:paraId="6E099047">
            <w:pPr>
              <w:pStyle w:val="9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spacing w:val="-2"/>
                <w:sz w:val="24"/>
                <w:lang w:val="en-US" w:eastAsia="zh-CN"/>
              </w:rPr>
            </w:pPr>
            <w:r>
              <w:rPr>
                <w:rFonts w:hint="default" w:ascii="Times New Roman" w:hAnsi="Times New Roman"/>
                <w:spacing w:val="-2"/>
                <w:sz w:val="24"/>
                <w:lang w:val="en-US" w:eastAsia="zh-CN"/>
              </w:rPr>
              <w:t>4、施工固废</w:t>
            </w:r>
          </w:p>
          <w:p w14:paraId="48CD8926">
            <w:pPr>
              <w:pStyle w:val="9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spacing w:val="-2"/>
                <w:sz w:val="24"/>
              </w:rPr>
            </w:pPr>
            <w:r>
              <w:rPr>
                <w:rFonts w:hint="default" w:ascii="Times New Roman" w:hAnsi="Times New Roman"/>
                <w:spacing w:val="-2"/>
                <w:sz w:val="24"/>
                <w:lang w:eastAsia="zh-CN"/>
              </w:rPr>
              <w:t>（</w:t>
            </w:r>
            <w:r>
              <w:rPr>
                <w:rFonts w:hint="default" w:ascii="Times New Roman" w:hAnsi="Times New Roman"/>
                <w:spacing w:val="-2"/>
                <w:sz w:val="24"/>
                <w:lang w:val="en-US" w:eastAsia="zh-CN"/>
              </w:rPr>
              <w:t>1</w:t>
            </w:r>
            <w:r>
              <w:rPr>
                <w:rFonts w:hint="default" w:ascii="Times New Roman" w:hAnsi="Times New Roman"/>
                <w:spacing w:val="-2"/>
                <w:sz w:val="24"/>
                <w:lang w:eastAsia="zh-CN"/>
              </w:rPr>
              <w:t>）</w:t>
            </w:r>
            <w:r>
              <w:rPr>
                <w:rFonts w:hint="default" w:ascii="Times New Roman" w:hAnsi="Times New Roman"/>
                <w:spacing w:val="-2"/>
                <w:sz w:val="24"/>
              </w:rPr>
              <w:t>施工期建筑垃圾集中堆放，及时清运，在工程结束前清扫干净。对可回用的建筑垃圾外运作为建筑材料二次利用；废金属经分拣、集中后由废旧金属回收单位回收再利用。不能利用的碎砖、混凝土块等废料经集中收集后，由建设单位委托建筑公司运往指定地点统一处置。</w:t>
            </w:r>
          </w:p>
          <w:p w14:paraId="022F4F91">
            <w:pPr>
              <w:pStyle w:val="9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spacing w:val="-2"/>
                <w:sz w:val="24"/>
                <w:lang w:eastAsia="zh-CN"/>
              </w:rPr>
              <w:t>（</w:t>
            </w:r>
            <w:r>
              <w:rPr>
                <w:rFonts w:hint="default" w:ascii="Times New Roman" w:hAnsi="Times New Roman"/>
                <w:spacing w:val="-2"/>
                <w:sz w:val="24"/>
                <w:lang w:val="en-US" w:eastAsia="zh-CN"/>
              </w:rPr>
              <w:t>2</w:t>
            </w:r>
            <w:r>
              <w:rPr>
                <w:rFonts w:hint="default" w:ascii="Times New Roman" w:hAnsi="Times New Roman"/>
                <w:spacing w:val="-2"/>
                <w:sz w:val="24"/>
                <w:lang w:eastAsia="zh-CN"/>
              </w:rPr>
              <w:t>）</w:t>
            </w:r>
            <w:r>
              <w:rPr>
                <w:rFonts w:hint="default" w:ascii="Times New Roman" w:hAnsi="Times New Roman"/>
                <w:spacing w:val="-2"/>
                <w:sz w:val="24"/>
              </w:rPr>
              <w:t>项目不设置施工营地，生活垃圾依托当地环卫部门清理。</w:t>
            </w:r>
          </w:p>
        </w:tc>
      </w:tr>
      <w:tr w14:paraId="693CCE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36" w:hRule="atLeast"/>
          <w:jc w:val="center"/>
        </w:trPr>
        <w:tc>
          <w:tcPr>
            <w:tcW w:w="240" w:type="dxa"/>
            <w:tcMar>
              <w:left w:w="28" w:type="dxa"/>
              <w:right w:w="28" w:type="dxa"/>
            </w:tcMar>
            <w:vAlign w:val="center"/>
          </w:tcPr>
          <w:p w14:paraId="47BFB20F">
            <w:pPr>
              <w:adjustRightInd w:val="0"/>
              <w:snapToGrid w:val="0"/>
              <w:jc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运营</w:t>
            </w:r>
          </w:p>
          <w:p w14:paraId="371B7271">
            <w:pPr>
              <w:adjustRightInd w:val="0"/>
              <w:snapToGrid w:val="0"/>
              <w:jc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期环</w:t>
            </w:r>
          </w:p>
          <w:p w14:paraId="1532AACB">
            <w:pPr>
              <w:adjustRightInd w:val="0"/>
              <w:snapToGrid w:val="0"/>
              <w:jc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境影</w:t>
            </w:r>
          </w:p>
          <w:p w14:paraId="0302C6DE">
            <w:pPr>
              <w:adjustRightInd w:val="0"/>
              <w:snapToGrid w:val="0"/>
              <w:jc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响和</w:t>
            </w:r>
          </w:p>
          <w:p w14:paraId="57C45AEB">
            <w:pPr>
              <w:adjustRightInd w:val="0"/>
              <w:snapToGrid w:val="0"/>
              <w:jc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保护</w:t>
            </w:r>
          </w:p>
          <w:p w14:paraId="2C3E9B32">
            <w:pPr>
              <w:adjustRightInd w:val="0"/>
              <w:snapToGrid w:val="0"/>
              <w:jc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措施</w:t>
            </w:r>
          </w:p>
        </w:tc>
        <w:tc>
          <w:tcPr>
            <w:tcW w:w="8967" w:type="dxa"/>
            <w:vAlign w:val="center"/>
          </w:tcPr>
          <w:p w14:paraId="137B6345">
            <w:pPr>
              <w:pStyle w:val="3"/>
              <w:numPr>
                <w:ilvl w:val="1"/>
                <w:numId w:val="1"/>
              </w:numPr>
              <w:bidi w:val="0"/>
              <w:ind w:left="0" w:leftChars="0" w:firstLine="0" w:firstLineChars="0"/>
              <w:rPr>
                <w:rFonts w:hint="eastAsia"/>
                <w:color w:val="000000" w:themeColor="text1"/>
                <w:highlight w:val="none"/>
                <w14:textFill>
                  <w14:solidFill>
                    <w14:schemeClr w14:val="tx1"/>
                  </w14:solidFill>
                </w14:textFill>
              </w:rPr>
            </w:pPr>
            <w:bookmarkStart w:id="48" w:name="_Toc17051"/>
            <w:r>
              <w:rPr>
                <w:rFonts w:hint="eastAsia"/>
                <w:color w:val="000000" w:themeColor="text1"/>
                <w:highlight w:val="none"/>
                <w:lang w:val="en-US" w:eastAsia="zh-CN"/>
                <w14:textFill>
                  <w14:solidFill>
                    <w14:schemeClr w14:val="tx1"/>
                  </w14:solidFill>
                </w14:textFill>
              </w:rPr>
              <w:t>运营期</w:t>
            </w:r>
            <w:r>
              <w:rPr>
                <w:rFonts w:hint="eastAsia"/>
                <w:color w:val="000000" w:themeColor="text1"/>
                <w:highlight w:val="none"/>
                <w14:textFill>
                  <w14:solidFill>
                    <w14:schemeClr w14:val="tx1"/>
                  </w14:solidFill>
                </w14:textFill>
              </w:rPr>
              <w:t>大气环境</w:t>
            </w:r>
            <w:r>
              <w:rPr>
                <w:rFonts w:hint="eastAsia"/>
                <w:color w:val="000000" w:themeColor="text1"/>
                <w:highlight w:val="none"/>
                <w:lang w:val="en-US" w:eastAsia="zh-CN"/>
                <w14:textFill>
                  <w14:solidFill>
                    <w14:schemeClr w14:val="tx1"/>
                  </w14:solidFill>
                </w14:textFill>
              </w:rPr>
              <w:t>影响</w:t>
            </w:r>
            <w:bookmarkEnd w:id="48"/>
          </w:p>
          <w:p w14:paraId="7948F207">
            <w:pPr>
              <w:pStyle w:val="4"/>
              <w:numPr>
                <w:ilvl w:val="2"/>
                <w:numId w:val="16"/>
              </w:numPr>
              <w:tabs>
                <w:tab w:val="left" w:pos="0"/>
              </w:tabs>
              <w:bidi w:val="0"/>
              <w:ind w:left="720" w:leftChars="0" w:hanging="720" w:firstLineChars="0"/>
              <w:rPr>
                <w:rFonts w:hint="default" w:ascii="Times New Roman" w:hAnsi="Times New Roman" w:eastAsia="宋体" w:cs="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废气源强分析</w:t>
            </w:r>
          </w:p>
          <w:p w14:paraId="42503AA8">
            <w:pPr>
              <w:pStyle w:val="51"/>
              <w:spacing w:line="360" w:lineRule="auto"/>
              <w:ind w:firstLine="480" w:firstLineChars="200"/>
              <w:jc w:val="both"/>
              <w:rPr>
                <w:rFonts w:hint="eastAsia" w:ascii="Times New Roman" w:hAnsi="Times New Roman"/>
                <w:color w:val="000000" w:themeColor="text1"/>
                <w:highlight w:val="none"/>
                <w:lang w:val="en-US" w:eastAsia="zh-CN"/>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t>本项目废气主要来源于燃生物质锅炉废气、焊接烟尘以及水泥、石灰、铝粉料仓呼吸孔颗粒物。</w:t>
            </w:r>
          </w:p>
          <w:p w14:paraId="3597766D">
            <w:pPr>
              <w:pStyle w:val="51"/>
              <w:numPr>
                <w:ilvl w:val="0"/>
                <w:numId w:val="17"/>
              </w:numPr>
              <w:spacing w:line="360" w:lineRule="auto"/>
              <w:ind w:left="-60" w:leftChars="0" w:firstLine="480" w:firstLineChars="0"/>
              <w:jc w:val="both"/>
              <w:rPr>
                <w:rFonts w:hint="eastAsia" w:ascii="Times New Roman" w:hAnsi="Times New Roman"/>
                <w:color w:val="000000" w:themeColor="text1"/>
                <w:highlight w:val="none"/>
                <w:lang w:val="en-US" w:eastAsia="zh-CN"/>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t>燃生物质锅炉废气</w:t>
            </w:r>
          </w:p>
          <w:p w14:paraId="73F06517">
            <w:pPr>
              <w:pStyle w:val="53"/>
              <w:rPr>
                <w:rFonts w:hint="eastAsia" w:ascii="Times New Roman" w:hAnsi="Times New Roman" w:eastAsia="宋体" w:cs="宋体"/>
                <w:spacing w:val="-2"/>
                <w:kern w:val="2"/>
                <w:sz w:val="24"/>
                <w:szCs w:val="24"/>
                <w:lang w:val="en-US" w:eastAsia="zh-CN" w:bidi="zh-CN"/>
              </w:rPr>
            </w:pPr>
            <w:r>
              <w:rPr>
                <w:rFonts w:hint="eastAsia" w:ascii="Times New Roman" w:hAnsi="Times New Roman" w:eastAsia="宋体" w:cs="宋体"/>
                <w:spacing w:val="-2"/>
                <w:kern w:val="2"/>
                <w:sz w:val="24"/>
                <w:szCs w:val="24"/>
                <w:lang w:val="en-US" w:eastAsia="zh-CN" w:bidi="zh-CN"/>
              </w:rPr>
              <w:t>项目年需要生物质</w:t>
            </w:r>
            <w:r>
              <w:rPr>
                <w:rFonts w:hint="eastAsia" w:ascii="Times New Roman" w:cs="宋体"/>
                <w:spacing w:val="-2"/>
                <w:kern w:val="2"/>
                <w:sz w:val="24"/>
                <w:szCs w:val="24"/>
                <w:lang w:val="en-US" w:eastAsia="zh-CN" w:bidi="zh-CN"/>
              </w:rPr>
              <w:t>918</w:t>
            </w:r>
            <w:r>
              <w:rPr>
                <w:rFonts w:hint="eastAsia" w:ascii="Times New Roman" w:hAnsi="Times New Roman" w:eastAsia="宋体" w:cs="宋体"/>
                <w:spacing w:val="-2"/>
                <w:kern w:val="2"/>
                <w:sz w:val="24"/>
                <w:szCs w:val="24"/>
                <w:lang w:val="en-US" w:eastAsia="zh-CN" w:bidi="zh-CN"/>
              </w:rPr>
              <w:t>t，项目设置</w:t>
            </w:r>
            <w:r>
              <w:rPr>
                <w:rFonts w:hint="eastAsia" w:ascii="Times New Roman" w:cs="宋体"/>
                <w:spacing w:val="-2"/>
                <w:kern w:val="2"/>
                <w:sz w:val="24"/>
                <w:szCs w:val="24"/>
                <w:lang w:val="en-US" w:eastAsia="zh-CN" w:bidi="zh-CN"/>
              </w:rPr>
              <w:t>1</w:t>
            </w:r>
            <w:r>
              <w:rPr>
                <w:rFonts w:hint="eastAsia" w:ascii="Times New Roman" w:hAnsi="Times New Roman" w:eastAsia="宋体" w:cs="宋体"/>
                <w:spacing w:val="-2"/>
                <w:kern w:val="2"/>
                <w:sz w:val="24"/>
                <w:szCs w:val="24"/>
                <w:lang w:val="en-US" w:eastAsia="zh-CN" w:bidi="zh-CN"/>
              </w:rPr>
              <w:t>台1</w:t>
            </w:r>
            <w:r>
              <w:rPr>
                <w:rFonts w:hint="eastAsia" w:ascii="Times New Roman" w:cs="宋体"/>
                <w:spacing w:val="-2"/>
                <w:kern w:val="2"/>
                <w:sz w:val="24"/>
                <w:szCs w:val="24"/>
                <w:lang w:val="en-US" w:eastAsia="zh-CN" w:bidi="zh-CN"/>
              </w:rPr>
              <w:t>2</w:t>
            </w:r>
            <w:r>
              <w:rPr>
                <w:rFonts w:hint="eastAsia" w:ascii="Times New Roman" w:hAnsi="Times New Roman" w:eastAsia="宋体" w:cs="宋体"/>
                <w:spacing w:val="-2"/>
                <w:kern w:val="2"/>
                <w:sz w:val="24"/>
                <w:szCs w:val="24"/>
                <w:lang w:val="en-US" w:eastAsia="zh-CN" w:bidi="zh-CN"/>
              </w:rPr>
              <w:t>t/h锅炉，</w:t>
            </w:r>
            <w:r>
              <w:rPr>
                <w:rFonts w:hint="eastAsia" w:ascii="Times New Roman" w:cs="宋体"/>
                <w:spacing w:val="-2"/>
                <w:kern w:val="2"/>
                <w:sz w:val="24"/>
                <w:szCs w:val="24"/>
                <w:lang w:val="en-US" w:eastAsia="zh-CN" w:bidi="zh-CN"/>
              </w:rPr>
              <w:t>锅炉年运行270d，每天平均工作时长为4h，即</w:t>
            </w:r>
            <w:r>
              <w:rPr>
                <w:rFonts w:hint="eastAsia" w:ascii="Times New Roman" w:hAnsi="Times New Roman" w:eastAsia="宋体" w:cs="宋体"/>
                <w:spacing w:val="-2"/>
                <w:kern w:val="2"/>
                <w:sz w:val="24"/>
                <w:szCs w:val="24"/>
                <w:lang w:val="en-US" w:eastAsia="zh-CN" w:bidi="zh-CN"/>
              </w:rPr>
              <w:t>锅炉年运行</w:t>
            </w:r>
            <w:r>
              <w:rPr>
                <w:rFonts w:hint="eastAsia" w:ascii="Times New Roman" w:cs="宋体"/>
                <w:spacing w:val="-2"/>
                <w:kern w:val="2"/>
                <w:sz w:val="24"/>
                <w:szCs w:val="24"/>
                <w:lang w:val="en-US" w:eastAsia="zh-CN" w:bidi="zh-CN"/>
              </w:rPr>
              <w:t>时长为1080</w:t>
            </w:r>
            <w:r>
              <w:rPr>
                <w:rFonts w:hint="eastAsia" w:ascii="Times New Roman" w:hAnsi="Times New Roman" w:eastAsia="宋体" w:cs="宋体"/>
                <w:spacing w:val="-2"/>
                <w:kern w:val="2"/>
                <w:sz w:val="24"/>
                <w:szCs w:val="24"/>
                <w:lang w:val="en-US" w:eastAsia="zh-CN" w:bidi="zh-CN"/>
              </w:rPr>
              <w:t>h。生物质锅炉采用低氮燃烧技术燃烧后产生的燃烧废气经多管除尘、布袋除尘处理后，通过1根40m高的烟囱排放。</w:t>
            </w:r>
          </w:p>
          <w:p w14:paraId="4FED3E0A">
            <w:pPr>
              <w:pStyle w:val="113"/>
              <w:spacing w:line="359" w:lineRule="auto"/>
              <w:ind w:left="104" w:right="100" w:firstLine="480"/>
              <w:jc w:val="both"/>
              <w:rPr>
                <w:rFonts w:hint="default" w:ascii="Times New Roman" w:hAnsi="Times New Roman" w:eastAsia="宋体" w:cs="宋体"/>
                <w:spacing w:val="-2"/>
                <w:kern w:val="2"/>
                <w:sz w:val="24"/>
                <w:szCs w:val="24"/>
                <w:lang w:val="en-US" w:eastAsia="zh-CN" w:bidi="zh-CN"/>
              </w:rPr>
            </w:pPr>
            <w:r>
              <w:rPr>
                <w:rFonts w:hint="default" w:ascii="Times New Roman" w:hAnsi="Times New Roman" w:eastAsia="宋体" w:cs="宋体"/>
                <w:spacing w:val="-2"/>
                <w:kern w:val="2"/>
                <w:sz w:val="24"/>
                <w:szCs w:val="24"/>
                <w:lang w:val="zh-CN" w:eastAsia="zh-CN" w:bidi="zh-CN"/>
              </w:rPr>
              <w:t>根据《排放源统计调查产排污核算方法和系数手册》中“4430工业锅炉（热力供应）行业系数手册”蒸汽/热水/其他-生物质燃料-层燃炉-所有规模，工业废气量产污系数为6240标立方米/吨-原料、二氧化硫产污系数为17S千克/吨-原料、氮氧化物产污系数为1.02千克/吨-原料、颗粒物产污系数为0.5千克/吨-原料。根据建设单位提供资料，生物质燃料使用量约为</w:t>
            </w:r>
            <w:r>
              <w:rPr>
                <w:rFonts w:hint="eastAsia" w:ascii="Times New Roman" w:hAnsi="Times New Roman" w:eastAsia="宋体" w:cs="宋体"/>
                <w:spacing w:val="-2"/>
                <w:kern w:val="2"/>
                <w:sz w:val="24"/>
                <w:szCs w:val="24"/>
                <w:lang w:val="en-US" w:eastAsia="zh-CN" w:bidi="zh-CN"/>
              </w:rPr>
              <w:t>918</w:t>
            </w:r>
            <w:r>
              <w:rPr>
                <w:rFonts w:hint="default" w:ascii="Times New Roman" w:hAnsi="Times New Roman" w:eastAsia="宋体" w:cs="宋体"/>
                <w:spacing w:val="-2"/>
                <w:kern w:val="2"/>
                <w:sz w:val="24"/>
                <w:szCs w:val="24"/>
                <w:lang w:val="zh-CN" w:eastAsia="zh-CN" w:bidi="zh-CN"/>
              </w:rPr>
              <w:t>t/a，含硫量为0.0</w:t>
            </w:r>
            <w:r>
              <w:rPr>
                <w:rFonts w:hint="eastAsia" w:ascii="Times New Roman" w:hAnsi="Times New Roman" w:eastAsia="宋体" w:cs="宋体"/>
                <w:spacing w:val="-2"/>
                <w:kern w:val="2"/>
                <w:sz w:val="24"/>
                <w:szCs w:val="24"/>
                <w:lang w:val="en-US" w:eastAsia="zh-CN" w:bidi="zh-CN"/>
              </w:rPr>
              <w:t>3</w:t>
            </w:r>
            <w:r>
              <w:rPr>
                <w:rFonts w:hint="default" w:ascii="Times New Roman" w:hAnsi="Times New Roman" w:eastAsia="宋体" w:cs="宋体"/>
                <w:spacing w:val="-2"/>
                <w:kern w:val="2"/>
                <w:sz w:val="24"/>
                <w:szCs w:val="24"/>
                <w:lang w:val="zh-CN" w:eastAsia="zh-CN" w:bidi="zh-CN"/>
              </w:rPr>
              <w:t>%，则生物质锅炉工业废气量为572.83万Nm</w:t>
            </w:r>
            <w:r>
              <w:rPr>
                <w:rFonts w:hint="default" w:ascii="Times New Roman" w:hAnsi="Times New Roman" w:eastAsia="宋体" w:cs="宋体"/>
                <w:spacing w:val="-2"/>
                <w:kern w:val="2"/>
                <w:sz w:val="24"/>
                <w:szCs w:val="24"/>
                <w:vertAlign w:val="superscript"/>
                <w:lang w:val="zh-CN" w:eastAsia="zh-CN" w:bidi="zh-CN"/>
              </w:rPr>
              <w:t>3</w:t>
            </w:r>
            <w:r>
              <w:rPr>
                <w:rFonts w:hint="default" w:ascii="Times New Roman" w:hAnsi="Times New Roman" w:eastAsia="宋体" w:cs="宋体"/>
                <w:spacing w:val="-2"/>
                <w:kern w:val="2"/>
                <w:sz w:val="24"/>
                <w:szCs w:val="24"/>
                <w:lang w:val="zh-CN" w:eastAsia="zh-CN" w:bidi="zh-CN"/>
              </w:rPr>
              <w:t>/a（5308Nm</w:t>
            </w:r>
            <w:r>
              <w:rPr>
                <w:rFonts w:hint="default" w:ascii="Times New Roman" w:hAnsi="Times New Roman" w:eastAsia="宋体" w:cs="宋体"/>
                <w:spacing w:val="-2"/>
                <w:kern w:val="2"/>
                <w:sz w:val="24"/>
                <w:szCs w:val="24"/>
                <w:vertAlign w:val="superscript"/>
                <w:lang w:val="zh-CN" w:eastAsia="zh-CN" w:bidi="zh-CN"/>
              </w:rPr>
              <w:t>3</w:t>
            </w:r>
            <w:r>
              <w:rPr>
                <w:rFonts w:hint="default" w:ascii="Times New Roman" w:hAnsi="Times New Roman" w:eastAsia="宋体" w:cs="宋体"/>
                <w:spacing w:val="-2"/>
                <w:kern w:val="2"/>
                <w:sz w:val="24"/>
                <w:szCs w:val="24"/>
                <w:lang w:val="zh-CN" w:eastAsia="zh-CN" w:bidi="zh-CN"/>
              </w:rPr>
              <w:t>/h），产生的SO</w:t>
            </w:r>
            <w:r>
              <w:rPr>
                <w:rFonts w:hint="default" w:ascii="Times New Roman" w:hAnsi="Times New Roman" w:eastAsia="宋体" w:cs="宋体"/>
                <w:spacing w:val="-2"/>
                <w:kern w:val="2"/>
                <w:sz w:val="24"/>
                <w:szCs w:val="24"/>
                <w:vertAlign w:val="subscript"/>
                <w:lang w:val="zh-CN" w:eastAsia="zh-CN" w:bidi="zh-CN"/>
              </w:rPr>
              <w:t>2</w:t>
            </w:r>
            <w:r>
              <w:rPr>
                <w:rFonts w:hint="default" w:ascii="Times New Roman" w:hAnsi="Times New Roman" w:eastAsia="宋体" w:cs="宋体"/>
                <w:spacing w:val="-2"/>
                <w:kern w:val="2"/>
                <w:sz w:val="24"/>
                <w:szCs w:val="24"/>
                <w:lang w:val="zh-CN" w:eastAsia="zh-CN" w:bidi="zh-CN"/>
              </w:rPr>
              <w:t>量为</w:t>
            </w:r>
            <w:r>
              <w:rPr>
                <w:rFonts w:hint="eastAsia" w:ascii="Times New Roman" w:hAnsi="Times New Roman" w:eastAsia="宋体" w:cs="宋体"/>
                <w:spacing w:val="-2"/>
                <w:kern w:val="2"/>
                <w:sz w:val="24"/>
                <w:szCs w:val="24"/>
                <w:lang w:val="en-US" w:eastAsia="zh-CN" w:bidi="zh-CN"/>
              </w:rPr>
              <w:t>0.47</w:t>
            </w:r>
            <w:r>
              <w:rPr>
                <w:rFonts w:hint="default" w:ascii="Times New Roman" w:hAnsi="Times New Roman" w:eastAsia="宋体" w:cs="宋体"/>
                <w:spacing w:val="-2"/>
                <w:kern w:val="2"/>
                <w:sz w:val="24"/>
                <w:szCs w:val="24"/>
                <w:lang w:val="zh-CN" w:eastAsia="zh-CN" w:bidi="zh-CN"/>
              </w:rPr>
              <w:t>t/a、NOx量为</w:t>
            </w:r>
            <w:r>
              <w:rPr>
                <w:rFonts w:hint="eastAsia" w:ascii="Times New Roman" w:hAnsi="Times New Roman" w:eastAsia="宋体" w:cs="宋体"/>
                <w:spacing w:val="-2"/>
                <w:kern w:val="2"/>
                <w:sz w:val="24"/>
                <w:szCs w:val="24"/>
                <w:lang w:val="en-US" w:eastAsia="zh-CN" w:bidi="zh-CN"/>
              </w:rPr>
              <w:t>0.94</w:t>
            </w:r>
            <w:r>
              <w:rPr>
                <w:rFonts w:hint="default" w:ascii="Times New Roman" w:hAnsi="Times New Roman" w:eastAsia="宋体" w:cs="宋体"/>
                <w:spacing w:val="-2"/>
                <w:kern w:val="2"/>
                <w:sz w:val="24"/>
                <w:szCs w:val="24"/>
                <w:lang w:val="zh-CN" w:eastAsia="zh-CN" w:bidi="zh-CN"/>
              </w:rPr>
              <w:t>t/a、颗粒物量为</w:t>
            </w:r>
            <w:r>
              <w:rPr>
                <w:rFonts w:hint="eastAsia" w:ascii="Times New Roman" w:hAnsi="Times New Roman" w:eastAsia="宋体" w:cs="宋体"/>
                <w:spacing w:val="-2"/>
                <w:kern w:val="2"/>
                <w:sz w:val="24"/>
                <w:szCs w:val="24"/>
                <w:lang w:val="en-US" w:eastAsia="zh-CN" w:bidi="zh-CN"/>
              </w:rPr>
              <w:t>0.46</w:t>
            </w:r>
            <w:r>
              <w:rPr>
                <w:rFonts w:hint="default" w:ascii="Times New Roman" w:hAnsi="Times New Roman" w:eastAsia="宋体" w:cs="宋体"/>
                <w:spacing w:val="-2"/>
                <w:kern w:val="2"/>
                <w:sz w:val="24"/>
                <w:szCs w:val="24"/>
                <w:lang w:val="zh-CN" w:eastAsia="zh-CN" w:bidi="zh-CN"/>
              </w:rPr>
              <w:t>t/a。</w:t>
            </w:r>
          </w:p>
          <w:p w14:paraId="299BCB90">
            <w:pPr>
              <w:pStyle w:val="51"/>
              <w:numPr>
                <w:ilvl w:val="0"/>
                <w:numId w:val="17"/>
              </w:numPr>
              <w:spacing w:line="360" w:lineRule="auto"/>
              <w:ind w:left="-60" w:leftChars="0" w:firstLine="480" w:firstLineChars="0"/>
              <w:jc w:val="both"/>
              <w:rPr>
                <w:rFonts w:hint="eastAsia" w:ascii="Times New Roman" w:hAnsi="Times New Roman"/>
                <w:color w:val="000000" w:themeColor="text1"/>
                <w:highlight w:val="none"/>
                <w:lang w:val="en-US" w:eastAsia="zh-CN"/>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t>水泥、石灰、铝粉料仓呼吸孔颗粒物</w:t>
            </w:r>
          </w:p>
          <w:p w14:paraId="7D35914B">
            <w:pPr>
              <w:pStyle w:val="150"/>
              <w:bidi w:val="0"/>
              <w:rPr>
                <w:rFonts w:hint="default" w:ascii="Times New Roman" w:hAnsi="Times New Roman" w:eastAsia="宋体" w:cs="宋体"/>
                <w:spacing w:val="-2"/>
                <w:kern w:val="2"/>
                <w:sz w:val="24"/>
                <w:szCs w:val="24"/>
                <w:lang w:val="zh-CN" w:eastAsia="zh-CN" w:bidi="zh-CN"/>
              </w:rPr>
            </w:pPr>
            <w:r>
              <w:rPr>
                <w:rFonts w:hint="eastAsia" w:ascii="Times New Roman" w:hAnsi="Times New Roman" w:eastAsia="宋体" w:cs="宋体"/>
                <w:spacing w:val="-2"/>
                <w:kern w:val="2"/>
                <w:sz w:val="24"/>
                <w:szCs w:val="24"/>
                <w:lang w:val="zh-CN" w:eastAsia="zh-CN" w:bidi="zh-CN"/>
              </w:rPr>
              <w:t>①</w:t>
            </w:r>
            <w:r>
              <w:rPr>
                <w:rFonts w:hint="default" w:ascii="Times New Roman" w:hAnsi="Times New Roman" w:eastAsia="宋体" w:cs="宋体"/>
                <w:spacing w:val="-2"/>
                <w:kern w:val="2"/>
                <w:sz w:val="24"/>
                <w:szCs w:val="24"/>
                <w:lang w:val="zh-CN" w:eastAsia="zh-CN" w:bidi="zh-CN"/>
              </w:rPr>
              <w:t>水泥、</w:t>
            </w:r>
            <w:r>
              <w:rPr>
                <w:rFonts w:hint="eastAsia" w:ascii="Times New Roman" w:hAnsi="Times New Roman" w:eastAsia="宋体" w:cs="宋体"/>
                <w:spacing w:val="-2"/>
                <w:kern w:val="2"/>
                <w:sz w:val="24"/>
                <w:szCs w:val="24"/>
                <w:lang w:val="en-US" w:eastAsia="zh-CN" w:bidi="zh-CN"/>
              </w:rPr>
              <w:t>石灰</w:t>
            </w:r>
            <w:r>
              <w:rPr>
                <w:rFonts w:hint="eastAsia" w:ascii="Times New Roman" w:hAnsi="Times New Roman" w:eastAsia="宋体" w:cs="宋体"/>
                <w:spacing w:val="-2"/>
                <w:kern w:val="2"/>
                <w:sz w:val="24"/>
                <w:szCs w:val="24"/>
                <w:lang w:val="zh-CN" w:eastAsia="zh-CN" w:bidi="zh-CN"/>
              </w:rPr>
              <w:t>、</w:t>
            </w:r>
            <w:r>
              <w:rPr>
                <w:rFonts w:hint="eastAsia" w:ascii="Times New Roman" w:hAnsi="Times New Roman" w:eastAsia="宋体" w:cs="宋体"/>
                <w:spacing w:val="-2"/>
                <w:kern w:val="2"/>
                <w:sz w:val="24"/>
                <w:szCs w:val="24"/>
                <w:lang w:val="en-US" w:eastAsia="zh-CN" w:bidi="zh-CN"/>
              </w:rPr>
              <w:t>铝粉料仓</w:t>
            </w:r>
            <w:r>
              <w:rPr>
                <w:rFonts w:hint="eastAsia" w:ascii="Times New Roman" w:hAnsi="Times New Roman" w:eastAsia="宋体" w:cs="宋体"/>
                <w:spacing w:val="-2"/>
                <w:kern w:val="2"/>
                <w:sz w:val="24"/>
                <w:szCs w:val="24"/>
                <w:lang w:val="zh-CN" w:eastAsia="zh-CN" w:bidi="zh-CN"/>
              </w:rPr>
              <w:t>呼吸孔颗粒物</w:t>
            </w:r>
          </w:p>
          <w:p w14:paraId="7EBB85AF">
            <w:pPr>
              <w:pStyle w:val="150"/>
              <w:bidi w:val="0"/>
              <w:rPr>
                <w:rFonts w:hint="eastAsia" w:ascii="Times New Roman" w:hAnsi="Times New Roman" w:eastAsia="宋体" w:cs="宋体"/>
                <w:spacing w:val="-2"/>
                <w:kern w:val="2"/>
                <w:sz w:val="24"/>
                <w:szCs w:val="24"/>
                <w:lang w:val="en-US" w:eastAsia="zh-CN" w:bidi="zh-CN"/>
              </w:rPr>
            </w:pPr>
            <w:r>
              <w:rPr>
                <w:rFonts w:hint="default" w:ascii="Times New Roman" w:hAnsi="Times New Roman" w:eastAsia="宋体" w:cs="宋体"/>
                <w:spacing w:val="-2"/>
                <w:kern w:val="2"/>
                <w:sz w:val="24"/>
                <w:szCs w:val="24"/>
                <w:lang w:val="zh-CN" w:eastAsia="zh-CN" w:bidi="zh-CN"/>
              </w:rPr>
              <w:t>水泥、</w:t>
            </w:r>
            <w:r>
              <w:rPr>
                <w:rFonts w:hint="eastAsia" w:ascii="Times New Roman" w:hAnsi="Times New Roman" w:eastAsia="宋体" w:cs="宋体"/>
                <w:spacing w:val="-2"/>
                <w:kern w:val="2"/>
                <w:sz w:val="24"/>
                <w:szCs w:val="24"/>
                <w:lang w:val="en-US" w:eastAsia="zh-CN" w:bidi="zh-CN"/>
              </w:rPr>
              <w:t>石灰</w:t>
            </w:r>
            <w:r>
              <w:rPr>
                <w:rFonts w:hint="eastAsia" w:ascii="Times New Roman" w:hAnsi="Times New Roman" w:eastAsia="宋体" w:cs="宋体"/>
                <w:spacing w:val="-2"/>
                <w:kern w:val="2"/>
                <w:sz w:val="24"/>
                <w:szCs w:val="24"/>
                <w:lang w:val="zh-CN" w:eastAsia="zh-CN" w:bidi="zh-CN"/>
              </w:rPr>
              <w:t>、</w:t>
            </w:r>
            <w:r>
              <w:rPr>
                <w:rFonts w:hint="eastAsia" w:ascii="Times New Roman" w:hAnsi="Times New Roman" w:eastAsia="宋体" w:cs="宋体"/>
                <w:spacing w:val="-2"/>
                <w:kern w:val="2"/>
                <w:sz w:val="24"/>
                <w:szCs w:val="24"/>
                <w:lang w:val="en-US" w:eastAsia="zh-CN" w:bidi="zh-CN"/>
              </w:rPr>
              <w:t>铝粉</w:t>
            </w:r>
            <w:r>
              <w:rPr>
                <w:rFonts w:hint="default" w:ascii="Times New Roman" w:hAnsi="Times New Roman" w:eastAsia="宋体" w:cs="宋体"/>
                <w:spacing w:val="-2"/>
                <w:kern w:val="2"/>
                <w:sz w:val="24"/>
                <w:szCs w:val="24"/>
                <w:lang w:val="zh-CN" w:eastAsia="zh-CN" w:bidi="zh-CN"/>
              </w:rPr>
              <w:t>直接由专用运输车运至厂区，通过气泵和管道进入立式粉罐贮存，水泥、</w:t>
            </w:r>
            <w:r>
              <w:rPr>
                <w:rFonts w:hint="eastAsia" w:ascii="Times New Roman" w:hAnsi="Times New Roman" w:eastAsia="宋体" w:cs="宋体"/>
                <w:spacing w:val="-2"/>
                <w:kern w:val="2"/>
                <w:sz w:val="24"/>
                <w:szCs w:val="24"/>
                <w:lang w:val="en-US" w:eastAsia="zh-CN" w:bidi="zh-CN"/>
              </w:rPr>
              <w:t>石灰</w:t>
            </w:r>
            <w:r>
              <w:rPr>
                <w:rFonts w:hint="eastAsia" w:ascii="Times New Roman" w:hAnsi="Times New Roman" w:eastAsia="宋体" w:cs="宋体"/>
                <w:spacing w:val="-2"/>
                <w:kern w:val="2"/>
                <w:sz w:val="24"/>
                <w:szCs w:val="24"/>
                <w:lang w:val="zh-CN" w:eastAsia="zh-CN" w:bidi="zh-CN"/>
              </w:rPr>
              <w:t>、</w:t>
            </w:r>
            <w:r>
              <w:rPr>
                <w:rFonts w:hint="eastAsia" w:ascii="Times New Roman" w:hAnsi="Times New Roman" w:eastAsia="宋体" w:cs="宋体"/>
                <w:spacing w:val="-2"/>
                <w:kern w:val="2"/>
                <w:sz w:val="24"/>
                <w:szCs w:val="24"/>
                <w:lang w:val="en-US" w:eastAsia="zh-CN" w:bidi="zh-CN"/>
              </w:rPr>
              <w:t>铝粉</w:t>
            </w:r>
            <w:r>
              <w:rPr>
                <w:rFonts w:hint="default" w:ascii="Times New Roman" w:hAnsi="Times New Roman" w:eastAsia="宋体" w:cs="宋体"/>
                <w:spacing w:val="-2"/>
                <w:kern w:val="2"/>
                <w:sz w:val="24"/>
                <w:szCs w:val="24"/>
                <w:lang w:val="zh-CN" w:eastAsia="zh-CN" w:bidi="zh-CN"/>
              </w:rPr>
              <w:t>的输送采用全封闭进行，因此</w:t>
            </w:r>
            <w:r>
              <w:rPr>
                <w:rFonts w:hint="eastAsia" w:ascii="Times New Roman" w:hAnsi="Times New Roman" w:eastAsia="宋体" w:cs="宋体"/>
                <w:spacing w:val="-2"/>
                <w:kern w:val="2"/>
                <w:sz w:val="24"/>
                <w:szCs w:val="24"/>
                <w:lang w:val="en-US" w:eastAsia="zh-CN" w:bidi="zh-CN"/>
              </w:rPr>
              <w:t>输送</w:t>
            </w:r>
            <w:r>
              <w:rPr>
                <w:rFonts w:hint="default" w:ascii="Times New Roman" w:hAnsi="Times New Roman" w:eastAsia="宋体" w:cs="宋体"/>
                <w:spacing w:val="-2"/>
                <w:kern w:val="2"/>
                <w:sz w:val="24"/>
                <w:szCs w:val="24"/>
                <w:lang w:val="zh-CN" w:eastAsia="zh-CN" w:bidi="zh-CN"/>
              </w:rPr>
              <w:t>过程无</w:t>
            </w:r>
            <w:r>
              <w:rPr>
                <w:rFonts w:hint="eastAsia" w:ascii="Times New Roman" w:hAnsi="Times New Roman" w:eastAsia="宋体" w:cs="宋体"/>
                <w:spacing w:val="-2"/>
                <w:kern w:val="2"/>
                <w:sz w:val="24"/>
                <w:szCs w:val="24"/>
                <w:lang w:val="zh-CN" w:eastAsia="zh-CN" w:bidi="zh-CN"/>
              </w:rPr>
              <w:t>颗粒物</w:t>
            </w:r>
            <w:r>
              <w:rPr>
                <w:rFonts w:hint="default" w:ascii="Times New Roman" w:hAnsi="Times New Roman" w:eastAsia="宋体" w:cs="宋体"/>
                <w:spacing w:val="-2"/>
                <w:kern w:val="2"/>
                <w:sz w:val="24"/>
                <w:szCs w:val="24"/>
                <w:lang w:val="zh-CN" w:eastAsia="zh-CN" w:bidi="zh-CN"/>
              </w:rPr>
              <w:t>产生</w:t>
            </w:r>
            <w:r>
              <w:rPr>
                <w:rFonts w:hint="eastAsia" w:ascii="Times New Roman" w:hAnsi="Times New Roman" w:eastAsia="宋体" w:cs="宋体"/>
                <w:spacing w:val="-2"/>
                <w:kern w:val="2"/>
                <w:sz w:val="24"/>
                <w:szCs w:val="24"/>
                <w:lang w:val="zh-CN" w:eastAsia="zh-CN" w:bidi="zh-CN"/>
              </w:rPr>
              <w:t>，</w:t>
            </w:r>
            <w:r>
              <w:rPr>
                <w:rFonts w:hint="eastAsia" w:ascii="Times New Roman" w:hAnsi="Times New Roman" w:eastAsia="宋体" w:cs="宋体"/>
                <w:spacing w:val="-2"/>
                <w:kern w:val="2"/>
                <w:sz w:val="24"/>
                <w:szCs w:val="24"/>
                <w:lang w:val="en-US" w:eastAsia="zh-CN" w:bidi="zh-CN"/>
              </w:rPr>
              <w:t>仅在物料输送进入料仓时产生呼吸孔颗粒物废气，</w:t>
            </w:r>
            <w:r>
              <w:rPr>
                <w:rFonts w:hint="default" w:ascii="Times New Roman" w:hAnsi="Times New Roman" w:eastAsia="宋体" w:cs="宋体"/>
                <w:spacing w:val="-2"/>
                <w:kern w:val="2"/>
                <w:sz w:val="24"/>
                <w:szCs w:val="24"/>
                <w:lang w:val="en-US" w:eastAsia="zh-CN" w:bidi="zh-CN"/>
              </w:rPr>
              <w:t>参考中华人民共和国生态环境部发布的《排放源统计调查产排污核算方法和系数手册》（公告2021年第24号）中3021水泥制品制造（含3022砼结构构件、3029其他水泥类似制品制造）行业系数表的</w:t>
            </w:r>
            <w:r>
              <w:rPr>
                <w:rFonts w:hint="eastAsia" w:ascii="Times New Roman" w:hAnsi="Times New Roman" w:eastAsia="宋体" w:cs="宋体"/>
                <w:spacing w:val="-2"/>
                <w:kern w:val="2"/>
                <w:sz w:val="24"/>
                <w:szCs w:val="24"/>
                <w:lang w:val="en-US" w:eastAsia="zh-CN" w:bidi="zh-CN"/>
              </w:rPr>
              <w:t>物料输送污染物</w:t>
            </w:r>
            <w:r>
              <w:rPr>
                <w:rFonts w:hint="default" w:ascii="Times New Roman" w:hAnsi="Times New Roman" w:eastAsia="宋体" w:cs="宋体"/>
                <w:spacing w:val="-2"/>
                <w:kern w:val="2"/>
                <w:sz w:val="24"/>
                <w:szCs w:val="24"/>
                <w:lang w:val="en-US" w:eastAsia="zh-CN" w:bidi="zh-CN"/>
              </w:rPr>
              <w:t>产生系数</w:t>
            </w:r>
            <w:r>
              <w:rPr>
                <w:rFonts w:hint="eastAsia" w:ascii="Times New Roman" w:hAnsi="Times New Roman" w:eastAsia="宋体" w:cs="宋体"/>
                <w:spacing w:val="-2"/>
                <w:kern w:val="2"/>
                <w:sz w:val="24"/>
                <w:szCs w:val="24"/>
                <w:lang w:val="zh-CN" w:eastAsia="zh-CN" w:bidi="zh-CN"/>
              </w:rPr>
              <w:t>（见表</w:t>
            </w:r>
            <w:r>
              <w:rPr>
                <w:rFonts w:hint="eastAsia" w:ascii="Times New Roman" w:hAnsi="Times New Roman" w:eastAsia="宋体" w:cs="宋体"/>
                <w:spacing w:val="-2"/>
                <w:kern w:val="2"/>
                <w:sz w:val="24"/>
                <w:szCs w:val="24"/>
                <w:lang w:val="en-US" w:eastAsia="zh-CN" w:bidi="zh-CN"/>
              </w:rPr>
              <w:t>4.2</w:t>
            </w:r>
            <w:r>
              <w:rPr>
                <w:rFonts w:hint="eastAsia" w:ascii="Times New Roman" w:hAnsi="Times New Roman" w:eastAsia="宋体" w:cs="宋体"/>
                <w:spacing w:val="-2"/>
                <w:kern w:val="2"/>
                <w:sz w:val="24"/>
                <w:szCs w:val="24"/>
                <w:lang w:val="zh-CN" w:eastAsia="zh-CN" w:bidi="zh-CN"/>
              </w:rPr>
              <w:t>-</w:t>
            </w:r>
            <w:r>
              <w:rPr>
                <w:rFonts w:hint="eastAsia" w:ascii="Times New Roman" w:hAnsi="Times New Roman" w:eastAsia="宋体" w:cs="宋体"/>
                <w:spacing w:val="-2"/>
                <w:kern w:val="2"/>
                <w:sz w:val="24"/>
                <w:szCs w:val="24"/>
                <w:lang w:val="en-US" w:eastAsia="zh-CN" w:bidi="zh-CN"/>
              </w:rPr>
              <w:t>1</w:t>
            </w:r>
            <w:r>
              <w:rPr>
                <w:rFonts w:hint="eastAsia" w:ascii="Times New Roman" w:hAnsi="Times New Roman" w:eastAsia="宋体" w:cs="宋体"/>
                <w:spacing w:val="-2"/>
                <w:kern w:val="2"/>
                <w:sz w:val="24"/>
                <w:szCs w:val="24"/>
                <w:lang w:val="zh-CN" w:eastAsia="zh-CN" w:bidi="zh-CN"/>
              </w:rPr>
              <w:t>）</w:t>
            </w:r>
            <w:r>
              <w:rPr>
                <w:rFonts w:hint="eastAsia" w:ascii="Times New Roman" w:hAnsi="Times New Roman" w:eastAsia="宋体" w:cs="宋体"/>
                <w:spacing w:val="-2"/>
                <w:kern w:val="2"/>
                <w:sz w:val="24"/>
                <w:szCs w:val="24"/>
                <w:lang w:val="en-US" w:eastAsia="zh-CN" w:bidi="zh-CN"/>
              </w:rPr>
              <w:t>。</w:t>
            </w:r>
          </w:p>
          <w:p w14:paraId="0A4A6C93">
            <w:pPr>
              <w:pStyle w:val="42"/>
              <w:keepNext/>
              <w:keepLines/>
              <w:pageBreakBefore w:val="0"/>
              <w:widowControl w:val="0"/>
              <w:numPr>
                <w:ilvl w:val="7"/>
                <w:numId w:val="16"/>
              </w:numPr>
              <w:tabs>
                <w:tab w:val="left" w:pos="0"/>
              </w:tabs>
              <w:kinsoku/>
              <w:wordWrap/>
              <w:overflowPunct/>
              <w:topLinePunct w:val="0"/>
              <w:autoSpaceDE/>
              <w:autoSpaceDN/>
              <w:bidi w:val="0"/>
              <w:adjustRightInd/>
              <w:snapToGrid/>
              <w:spacing w:before="120"/>
              <w:ind w:left="630" w:leftChars="0" w:firstLine="0" w:firstLineChars="0"/>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其他水泥类似制品制造</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产排污系数表</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28" w:type="dxa"/>
                <w:left w:w="108" w:type="dxa"/>
                <w:bottom w:w="28" w:type="dxa"/>
                <w:right w:w="108" w:type="dxa"/>
              </w:tblCellMar>
            </w:tblPr>
            <w:tblGrid>
              <w:gridCol w:w="1122"/>
              <w:gridCol w:w="1199"/>
              <w:gridCol w:w="1199"/>
              <w:gridCol w:w="1197"/>
              <w:gridCol w:w="1199"/>
              <w:gridCol w:w="1732"/>
              <w:gridCol w:w="1074"/>
            </w:tblGrid>
            <w:tr w14:paraId="64FC96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38" w:hRule="atLeast"/>
                <w:jc w:val="center"/>
              </w:trPr>
              <w:tc>
                <w:tcPr>
                  <w:tcW w:w="643" w:type="pct"/>
                  <w:tcBorders>
                    <w:bottom w:val="single" w:color="auto" w:sz="12" w:space="0"/>
                  </w:tcBorders>
                  <w:noWrap w:val="0"/>
                  <w:vAlign w:val="center"/>
                </w:tcPr>
                <w:p w14:paraId="661C8732">
                  <w:pPr>
                    <w:autoSpaceDE w:val="0"/>
                    <w:autoSpaceDN w:val="0"/>
                    <w:adjustRightInd w:val="0"/>
                    <w:snapToGrid w:val="0"/>
                    <w:spacing w:line="240" w:lineRule="auto"/>
                    <w:ind w:firstLine="0" w:firstLineChars="0"/>
                    <w:jc w:val="center"/>
                    <w:textAlignment w:val="baseline"/>
                    <w:rPr>
                      <w:color w:val="000000"/>
                      <w:kern w:val="0"/>
                      <w:sz w:val="18"/>
                      <w:szCs w:val="18"/>
                    </w:rPr>
                  </w:pPr>
                  <w:r>
                    <w:rPr>
                      <w:rFonts w:hint="eastAsia"/>
                      <w:color w:val="000000"/>
                      <w:kern w:val="0"/>
                      <w:sz w:val="18"/>
                      <w:szCs w:val="18"/>
                    </w:rPr>
                    <w:t>产品名称</w:t>
                  </w:r>
                </w:p>
              </w:tc>
              <w:tc>
                <w:tcPr>
                  <w:tcW w:w="687" w:type="pct"/>
                  <w:tcBorders>
                    <w:bottom w:val="single" w:color="auto" w:sz="12" w:space="0"/>
                  </w:tcBorders>
                  <w:noWrap w:val="0"/>
                  <w:vAlign w:val="center"/>
                </w:tcPr>
                <w:p w14:paraId="22957B1A">
                  <w:pPr>
                    <w:autoSpaceDE w:val="0"/>
                    <w:autoSpaceDN w:val="0"/>
                    <w:adjustRightInd w:val="0"/>
                    <w:snapToGrid w:val="0"/>
                    <w:spacing w:line="240" w:lineRule="auto"/>
                    <w:ind w:firstLine="0" w:firstLineChars="0"/>
                    <w:jc w:val="center"/>
                    <w:textAlignment w:val="baseline"/>
                    <w:rPr>
                      <w:color w:val="000000"/>
                      <w:kern w:val="0"/>
                      <w:sz w:val="18"/>
                      <w:szCs w:val="18"/>
                    </w:rPr>
                  </w:pPr>
                  <w:r>
                    <w:rPr>
                      <w:rFonts w:hint="eastAsia"/>
                      <w:color w:val="000000"/>
                      <w:kern w:val="0"/>
                      <w:sz w:val="18"/>
                      <w:szCs w:val="18"/>
                    </w:rPr>
                    <w:t>原料名称</w:t>
                  </w:r>
                </w:p>
              </w:tc>
              <w:tc>
                <w:tcPr>
                  <w:tcW w:w="687" w:type="pct"/>
                  <w:tcBorders>
                    <w:bottom w:val="single" w:color="auto" w:sz="12" w:space="0"/>
                  </w:tcBorders>
                  <w:noWrap w:val="0"/>
                  <w:vAlign w:val="center"/>
                </w:tcPr>
                <w:p w14:paraId="5BB5DA77">
                  <w:pPr>
                    <w:autoSpaceDE w:val="0"/>
                    <w:autoSpaceDN w:val="0"/>
                    <w:adjustRightInd w:val="0"/>
                    <w:snapToGrid w:val="0"/>
                    <w:spacing w:line="240" w:lineRule="auto"/>
                    <w:ind w:firstLine="0" w:firstLineChars="0"/>
                    <w:jc w:val="center"/>
                    <w:textAlignment w:val="baseline"/>
                    <w:rPr>
                      <w:color w:val="000000"/>
                      <w:kern w:val="0"/>
                      <w:sz w:val="18"/>
                      <w:szCs w:val="18"/>
                    </w:rPr>
                  </w:pPr>
                  <w:r>
                    <w:rPr>
                      <w:rFonts w:hint="eastAsia"/>
                      <w:color w:val="000000"/>
                      <w:kern w:val="0"/>
                      <w:sz w:val="18"/>
                      <w:szCs w:val="18"/>
                    </w:rPr>
                    <w:t>工序名称</w:t>
                  </w:r>
                </w:p>
              </w:tc>
              <w:tc>
                <w:tcPr>
                  <w:tcW w:w="686" w:type="pct"/>
                  <w:tcBorders>
                    <w:bottom w:val="single" w:color="auto" w:sz="12" w:space="0"/>
                  </w:tcBorders>
                  <w:noWrap w:val="0"/>
                  <w:vAlign w:val="center"/>
                </w:tcPr>
                <w:p w14:paraId="455FF74A">
                  <w:pPr>
                    <w:autoSpaceDE w:val="0"/>
                    <w:autoSpaceDN w:val="0"/>
                    <w:adjustRightInd w:val="0"/>
                    <w:snapToGrid w:val="0"/>
                    <w:spacing w:line="240" w:lineRule="auto"/>
                    <w:ind w:firstLine="0" w:firstLineChars="0"/>
                    <w:jc w:val="center"/>
                    <w:textAlignment w:val="baseline"/>
                    <w:rPr>
                      <w:color w:val="000000"/>
                      <w:kern w:val="0"/>
                      <w:sz w:val="18"/>
                      <w:szCs w:val="18"/>
                    </w:rPr>
                  </w:pPr>
                  <w:r>
                    <w:rPr>
                      <w:rFonts w:hint="eastAsia"/>
                      <w:color w:val="000000"/>
                      <w:kern w:val="0"/>
                      <w:sz w:val="18"/>
                      <w:szCs w:val="18"/>
                    </w:rPr>
                    <w:t>规模等级</w:t>
                  </w:r>
                </w:p>
              </w:tc>
              <w:tc>
                <w:tcPr>
                  <w:tcW w:w="687" w:type="pct"/>
                  <w:tcBorders>
                    <w:bottom w:val="single" w:color="auto" w:sz="12" w:space="0"/>
                  </w:tcBorders>
                  <w:noWrap w:val="0"/>
                  <w:vAlign w:val="center"/>
                </w:tcPr>
                <w:p w14:paraId="18FFFE1B">
                  <w:pPr>
                    <w:autoSpaceDE w:val="0"/>
                    <w:autoSpaceDN w:val="0"/>
                    <w:adjustRightInd w:val="0"/>
                    <w:snapToGrid w:val="0"/>
                    <w:spacing w:line="240" w:lineRule="auto"/>
                    <w:ind w:firstLine="0" w:firstLineChars="0"/>
                    <w:jc w:val="center"/>
                    <w:textAlignment w:val="baseline"/>
                    <w:rPr>
                      <w:color w:val="000000"/>
                      <w:kern w:val="0"/>
                      <w:sz w:val="18"/>
                      <w:szCs w:val="18"/>
                    </w:rPr>
                  </w:pPr>
                  <w:r>
                    <w:rPr>
                      <w:rFonts w:hint="eastAsia"/>
                      <w:color w:val="000000"/>
                      <w:kern w:val="0"/>
                      <w:sz w:val="18"/>
                      <w:szCs w:val="18"/>
                    </w:rPr>
                    <w:t>污染物指标</w:t>
                  </w:r>
                </w:p>
              </w:tc>
              <w:tc>
                <w:tcPr>
                  <w:tcW w:w="992" w:type="pct"/>
                  <w:tcBorders>
                    <w:bottom w:val="single" w:color="auto" w:sz="12" w:space="0"/>
                  </w:tcBorders>
                  <w:noWrap w:val="0"/>
                  <w:vAlign w:val="center"/>
                </w:tcPr>
                <w:p w14:paraId="6AA6AA74">
                  <w:pPr>
                    <w:autoSpaceDE w:val="0"/>
                    <w:autoSpaceDN w:val="0"/>
                    <w:adjustRightInd w:val="0"/>
                    <w:snapToGrid w:val="0"/>
                    <w:spacing w:line="240" w:lineRule="auto"/>
                    <w:ind w:firstLine="0" w:firstLineChars="0"/>
                    <w:jc w:val="center"/>
                    <w:textAlignment w:val="baseline"/>
                    <w:rPr>
                      <w:color w:val="000000"/>
                      <w:kern w:val="0"/>
                      <w:sz w:val="18"/>
                      <w:szCs w:val="18"/>
                    </w:rPr>
                  </w:pPr>
                  <w:r>
                    <w:rPr>
                      <w:rFonts w:hint="eastAsia"/>
                      <w:color w:val="000000"/>
                      <w:kern w:val="0"/>
                      <w:sz w:val="18"/>
                      <w:szCs w:val="18"/>
                    </w:rPr>
                    <w:t>单位</w:t>
                  </w:r>
                </w:p>
              </w:tc>
              <w:tc>
                <w:tcPr>
                  <w:tcW w:w="615" w:type="pct"/>
                  <w:tcBorders>
                    <w:bottom w:val="single" w:color="auto" w:sz="12" w:space="0"/>
                  </w:tcBorders>
                  <w:noWrap w:val="0"/>
                  <w:vAlign w:val="center"/>
                </w:tcPr>
                <w:p w14:paraId="6CA855B7">
                  <w:pPr>
                    <w:autoSpaceDE w:val="0"/>
                    <w:autoSpaceDN w:val="0"/>
                    <w:adjustRightInd w:val="0"/>
                    <w:snapToGrid w:val="0"/>
                    <w:spacing w:line="240" w:lineRule="auto"/>
                    <w:ind w:firstLine="0" w:firstLineChars="0"/>
                    <w:jc w:val="center"/>
                    <w:textAlignment w:val="baseline"/>
                    <w:rPr>
                      <w:color w:val="000000"/>
                      <w:kern w:val="0"/>
                      <w:sz w:val="18"/>
                      <w:szCs w:val="18"/>
                    </w:rPr>
                  </w:pPr>
                  <w:r>
                    <w:rPr>
                      <w:rFonts w:hint="eastAsia"/>
                      <w:color w:val="000000"/>
                      <w:kern w:val="0"/>
                      <w:sz w:val="18"/>
                      <w:szCs w:val="18"/>
                    </w:rPr>
                    <w:t>产污系数</w:t>
                  </w:r>
                </w:p>
              </w:tc>
            </w:tr>
            <w:tr w14:paraId="370BC2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38" w:hRule="atLeast"/>
                <w:jc w:val="center"/>
              </w:trPr>
              <w:tc>
                <w:tcPr>
                  <w:tcW w:w="643" w:type="pct"/>
                  <w:tcBorders>
                    <w:top w:val="single" w:color="auto" w:sz="12" w:space="0"/>
                    <w:tl2br w:val="nil"/>
                    <w:tr2bl w:val="nil"/>
                  </w:tcBorders>
                  <w:noWrap w:val="0"/>
                  <w:vAlign w:val="center"/>
                </w:tcPr>
                <w:p w14:paraId="52907F3E">
                  <w:pPr>
                    <w:autoSpaceDE w:val="0"/>
                    <w:autoSpaceDN w:val="0"/>
                    <w:adjustRightInd w:val="0"/>
                    <w:snapToGrid w:val="0"/>
                    <w:spacing w:line="240" w:lineRule="auto"/>
                    <w:ind w:firstLine="0" w:firstLineChars="0"/>
                    <w:jc w:val="center"/>
                    <w:textAlignment w:val="baseline"/>
                    <w:rPr>
                      <w:color w:val="000000"/>
                      <w:kern w:val="0"/>
                      <w:sz w:val="18"/>
                      <w:szCs w:val="18"/>
                    </w:rPr>
                  </w:pPr>
                  <w:r>
                    <w:rPr>
                      <w:rFonts w:hint="eastAsia"/>
                      <w:color w:val="000000"/>
                      <w:kern w:val="0"/>
                      <w:sz w:val="18"/>
                      <w:szCs w:val="18"/>
                    </w:rPr>
                    <w:t>各种水泥制品</w:t>
                  </w:r>
                </w:p>
              </w:tc>
              <w:tc>
                <w:tcPr>
                  <w:tcW w:w="687" w:type="pct"/>
                  <w:tcBorders>
                    <w:top w:val="single" w:color="auto" w:sz="12" w:space="0"/>
                    <w:tl2br w:val="nil"/>
                    <w:tr2bl w:val="nil"/>
                  </w:tcBorders>
                  <w:noWrap w:val="0"/>
                  <w:vAlign w:val="center"/>
                </w:tcPr>
                <w:p w14:paraId="6555F4D5">
                  <w:pPr>
                    <w:autoSpaceDE w:val="0"/>
                    <w:autoSpaceDN w:val="0"/>
                    <w:adjustRightInd w:val="0"/>
                    <w:snapToGrid w:val="0"/>
                    <w:spacing w:line="240" w:lineRule="auto"/>
                    <w:ind w:firstLine="0" w:firstLineChars="0"/>
                    <w:jc w:val="center"/>
                    <w:textAlignment w:val="baseline"/>
                    <w:rPr>
                      <w:color w:val="000000"/>
                      <w:kern w:val="0"/>
                      <w:sz w:val="18"/>
                      <w:szCs w:val="18"/>
                    </w:rPr>
                  </w:pPr>
                  <w:r>
                    <w:rPr>
                      <w:rFonts w:hint="eastAsia"/>
                      <w:color w:val="000000"/>
                      <w:kern w:val="0"/>
                      <w:sz w:val="18"/>
                      <w:szCs w:val="18"/>
                    </w:rPr>
                    <w:t>水泥、砂子、石子</w:t>
                  </w:r>
                  <w:r>
                    <w:rPr>
                      <w:rFonts w:hint="eastAsia"/>
                      <w:color w:val="000000"/>
                      <w:kern w:val="0"/>
                      <w:sz w:val="18"/>
                      <w:szCs w:val="18"/>
                      <w:lang w:eastAsia="zh-CN"/>
                    </w:rPr>
                    <w:t>、</w:t>
                  </w:r>
                  <w:r>
                    <w:rPr>
                      <w:rFonts w:hint="eastAsia"/>
                      <w:color w:val="000000"/>
                      <w:kern w:val="0"/>
                      <w:sz w:val="18"/>
                      <w:szCs w:val="18"/>
                      <w:lang w:val="en-US" w:eastAsia="zh-CN"/>
                    </w:rPr>
                    <w:t>钢筋</w:t>
                  </w:r>
                  <w:r>
                    <w:rPr>
                      <w:rFonts w:hint="eastAsia"/>
                      <w:color w:val="000000"/>
                      <w:kern w:val="0"/>
                      <w:sz w:val="18"/>
                      <w:szCs w:val="18"/>
                    </w:rPr>
                    <w:t>等</w:t>
                  </w:r>
                </w:p>
              </w:tc>
              <w:tc>
                <w:tcPr>
                  <w:tcW w:w="687" w:type="pct"/>
                  <w:tcBorders>
                    <w:top w:val="single" w:color="auto" w:sz="12" w:space="0"/>
                    <w:tl2br w:val="nil"/>
                    <w:tr2bl w:val="nil"/>
                  </w:tcBorders>
                  <w:noWrap w:val="0"/>
                  <w:vAlign w:val="center"/>
                </w:tcPr>
                <w:p w14:paraId="02D9034A">
                  <w:pPr>
                    <w:autoSpaceDE w:val="0"/>
                    <w:autoSpaceDN w:val="0"/>
                    <w:adjustRightInd w:val="0"/>
                    <w:snapToGrid w:val="0"/>
                    <w:spacing w:line="240" w:lineRule="auto"/>
                    <w:ind w:firstLine="0" w:firstLineChars="0"/>
                    <w:jc w:val="center"/>
                    <w:textAlignment w:val="baseline"/>
                    <w:rPr>
                      <w:color w:val="000000"/>
                      <w:kern w:val="0"/>
                      <w:sz w:val="18"/>
                      <w:szCs w:val="18"/>
                    </w:rPr>
                  </w:pPr>
                  <w:r>
                    <w:rPr>
                      <w:rFonts w:hint="eastAsia"/>
                      <w:color w:val="000000"/>
                      <w:kern w:val="0"/>
                      <w:sz w:val="18"/>
                      <w:szCs w:val="18"/>
                    </w:rPr>
                    <w:t>物料输送储存工序</w:t>
                  </w:r>
                </w:p>
              </w:tc>
              <w:tc>
                <w:tcPr>
                  <w:tcW w:w="686" w:type="pct"/>
                  <w:tcBorders>
                    <w:top w:val="single" w:color="auto" w:sz="12" w:space="0"/>
                    <w:tl2br w:val="nil"/>
                    <w:tr2bl w:val="nil"/>
                  </w:tcBorders>
                  <w:noWrap w:val="0"/>
                  <w:vAlign w:val="center"/>
                </w:tcPr>
                <w:p w14:paraId="7C7825B6">
                  <w:pPr>
                    <w:autoSpaceDE w:val="0"/>
                    <w:autoSpaceDN w:val="0"/>
                    <w:adjustRightInd w:val="0"/>
                    <w:snapToGrid w:val="0"/>
                    <w:spacing w:line="240" w:lineRule="auto"/>
                    <w:ind w:firstLine="0" w:firstLineChars="0"/>
                    <w:jc w:val="center"/>
                    <w:textAlignment w:val="baseline"/>
                    <w:rPr>
                      <w:color w:val="000000"/>
                      <w:kern w:val="0"/>
                      <w:sz w:val="18"/>
                      <w:szCs w:val="18"/>
                    </w:rPr>
                  </w:pPr>
                  <w:r>
                    <w:rPr>
                      <w:rFonts w:hint="eastAsia"/>
                      <w:color w:val="000000"/>
                      <w:kern w:val="0"/>
                      <w:sz w:val="18"/>
                      <w:szCs w:val="18"/>
                    </w:rPr>
                    <w:t>所有规模</w:t>
                  </w:r>
                </w:p>
              </w:tc>
              <w:tc>
                <w:tcPr>
                  <w:tcW w:w="687" w:type="pct"/>
                  <w:tcBorders>
                    <w:top w:val="single" w:color="auto" w:sz="12" w:space="0"/>
                    <w:tl2br w:val="nil"/>
                    <w:tr2bl w:val="nil"/>
                  </w:tcBorders>
                  <w:noWrap w:val="0"/>
                  <w:vAlign w:val="center"/>
                </w:tcPr>
                <w:p w14:paraId="1122F47F">
                  <w:pPr>
                    <w:autoSpaceDE w:val="0"/>
                    <w:autoSpaceDN w:val="0"/>
                    <w:adjustRightInd w:val="0"/>
                    <w:snapToGrid w:val="0"/>
                    <w:spacing w:line="240" w:lineRule="auto"/>
                    <w:ind w:firstLine="0" w:firstLineChars="0"/>
                    <w:jc w:val="center"/>
                    <w:textAlignment w:val="baseline"/>
                    <w:rPr>
                      <w:rFonts w:hint="eastAsia"/>
                      <w:color w:val="000000"/>
                      <w:kern w:val="0"/>
                      <w:sz w:val="18"/>
                      <w:szCs w:val="18"/>
                      <w:lang w:val="en-US" w:eastAsia="zh-CN" w:bidi="ar-SA"/>
                    </w:rPr>
                  </w:pPr>
                  <w:r>
                    <w:rPr>
                      <w:rFonts w:hint="eastAsia"/>
                      <w:color w:val="000000"/>
                      <w:kern w:val="0"/>
                      <w:sz w:val="18"/>
                      <w:szCs w:val="18"/>
                    </w:rPr>
                    <w:t>工业颗粒物</w:t>
                  </w:r>
                </w:p>
              </w:tc>
              <w:tc>
                <w:tcPr>
                  <w:tcW w:w="992" w:type="pct"/>
                  <w:tcBorders>
                    <w:top w:val="single" w:color="auto" w:sz="12" w:space="0"/>
                    <w:tl2br w:val="nil"/>
                    <w:tr2bl w:val="nil"/>
                  </w:tcBorders>
                  <w:noWrap w:val="0"/>
                  <w:vAlign w:val="center"/>
                </w:tcPr>
                <w:p w14:paraId="7ABF1BA7">
                  <w:pPr>
                    <w:autoSpaceDE w:val="0"/>
                    <w:autoSpaceDN w:val="0"/>
                    <w:adjustRightInd w:val="0"/>
                    <w:snapToGrid w:val="0"/>
                    <w:spacing w:line="240" w:lineRule="auto"/>
                    <w:ind w:firstLine="0" w:firstLineChars="0"/>
                    <w:jc w:val="center"/>
                    <w:textAlignment w:val="baseline"/>
                    <w:rPr>
                      <w:rFonts w:hint="eastAsia" w:eastAsia="宋体"/>
                      <w:color w:val="000000"/>
                      <w:kern w:val="0"/>
                      <w:sz w:val="18"/>
                      <w:szCs w:val="18"/>
                      <w:lang w:val="en-US" w:eastAsia="zh-CN" w:bidi="ar-SA"/>
                    </w:rPr>
                  </w:pPr>
                  <w:r>
                    <w:rPr>
                      <w:rFonts w:hint="eastAsia"/>
                      <w:color w:val="000000"/>
                      <w:kern w:val="0"/>
                      <w:sz w:val="18"/>
                      <w:szCs w:val="18"/>
                    </w:rPr>
                    <w:t>千克/吨-</w:t>
                  </w:r>
                  <w:r>
                    <w:rPr>
                      <w:rFonts w:hint="eastAsia"/>
                      <w:color w:val="000000"/>
                      <w:kern w:val="0"/>
                      <w:sz w:val="18"/>
                      <w:szCs w:val="18"/>
                      <w:lang w:val="en-US" w:eastAsia="zh-CN"/>
                    </w:rPr>
                    <w:t>产品</w:t>
                  </w:r>
                </w:p>
              </w:tc>
              <w:tc>
                <w:tcPr>
                  <w:tcW w:w="615" w:type="pct"/>
                  <w:tcBorders>
                    <w:top w:val="single" w:color="auto" w:sz="12" w:space="0"/>
                    <w:tl2br w:val="nil"/>
                    <w:tr2bl w:val="nil"/>
                  </w:tcBorders>
                  <w:noWrap w:val="0"/>
                  <w:vAlign w:val="center"/>
                </w:tcPr>
                <w:p w14:paraId="3C310FDB">
                  <w:pPr>
                    <w:autoSpaceDE w:val="0"/>
                    <w:autoSpaceDN w:val="0"/>
                    <w:adjustRightInd w:val="0"/>
                    <w:snapToGrid w:val="0"/>
                    <w:spacing w:line="240" w:lineRule="auto"/>
                    <w:ind w:firstLine="0" w:firstLineChars="0"/>
                    <w:jc w:val="center"/>
                    <w:textAlignment w:val="baseline"/>
                    <w:rPr>
                      <w:rFonts w:hint="default" w:eastAsia="宋体"/>
                      <w:color w:val="000000"/>
                      <w:kern w:val="0"/>
                      <w:sz w:val="18"/>
                      <w:szCs w:val="18"/>
                      <w:lang w:val="en-US" w:eastAsia="zh-CN" w:bidi="ar-SA"/>
                    </w:rPr>
                  </w:pPr>
                  <w:r>
                    <w:rPr>
                      <w:rFonts w:hint="eastAsia"/>
                      <w:color w:val="000000"/>
                      <w:kern w:val="0"/>
                      <w:sz w:val="18"/>
                      <w:szCs w:val="18"/>
                      <w:lang w:val="en-US" w:eastAsia="zh-CN"/>
                    </w:rPr>
                    <w:t>0.19</w:t>
                  </w:r>
                </w:p>
              </w:tc>
            </w:tr>
          </w:tbl>
          <w:p w14:paraId="26BFBDDD">
            <w:pPr>
              <w:pStyle w:val="51"/>
              <w:spacing w:line="360" w:lineRule="auto"/>
              <w:ind w:firstLine="480" w:firstLineChars="200"/>
              <w:jc w:val="both"/>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项目粉状物料为水泥、石灰、铝粉，用量合计为12075.36t/a，则项目合计呼吸颗粒物废气产生量为24.15t/a。</w:t>
            </w:r>
          </w:p>
          <w:p w14:paraId="21AB2634">
            <w:pPr>
              <w:pStyle w:val="51"/>
              <w:spacing w:line="360" w:lineRule="auto"/>
              <w:ind w:firstLine="480" w:firstLineChars="200"/>
              <w:jc w:val="both"/>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项目在水泥、石灰、铝粉料仓顶采用负压</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吸</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收装置，采用自带布袋除尘器进行除尘。该工序收集效率100%，布袋除尘器根据《排放源统计调查产排污核算方法和系数手册》（公告2021年第24号），袋式除尘器的除尘效率可达到99.7%，颗粒物经处理后通过料仓顶自带的除尘器处理后无组织排放，则无组织排放量为0.072t/a。</w:t>
            </w:r>
          </w:p>
          <w:p w14:paraId="43063ECE">
            <w:pPr>
              <w:pStyle w:val="51"/>
              <w:keepNext w:val="0"/>
              <w:keepLines w:val="0"/>
              <w:pageBreakBefore w:val="0"/>
              <w:widowControl w:val="0"/>
              <w:kinsoku/>
              <w:wordWrap/>
              <w:overflowPunct/>
              <w:topLinePunct w:val="0"/>
              <w:bidi w:val="0"/>
              <w:snapToGrid/>
              <w:spacing w:line="360" w:lineRule="auto"/>
              <w:ind w:left="0" w:firstLine="480" w:firstLineChars="200"/>
              <w:jc w:val="both"/>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②搅拌进料系统颗粒物</w:t>
            </w:r>
          </w:p>
          <w:p w14:paraId="55062665">
            <w:pPr>
              <w:pStyle w:val="51"/>
              <w:keepNext w:val="0"/>
              <w:keepLines w:val="0"/>
              <w:pageBreakBefore w:val="0"/>
              <w:widowControl w:val="0"/>
              <w:kinsoku/>
              <w:wordWrap/>
              <w:overflowPunct/>
              <w:topLinePunct w:val="0"/>
              <w:bidi w:val="0"/>
              <w:snapToGrid/>
              <w:spacing w:line="360" w:lineRule="auto"/>
              <w:ind w:left="0" w:firstLine="480" w:firstLineChars="200"/>
              <w:jc w:val="both"/>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项目搅拌机拌料时需加水搅拌，由于物料含水率较高，搅拌过程基本不产生粉尘，但泵送粉料落入搅拌机内时会产生少量的投料粉尘，参考中华人民共和国生态环境部发布的《排放源统计调查产排污核算方法和系数手册》（公告2021年第24号）中3021水泥制品制造（含3022砼结构构件、3029其他水泥类似制品制造）行业系数表的物料搅拌污染物产生系数颗粒物0.523千克/吨-产品，项目搅拌量约30655.4t/a，则搅拌机颗粒物产生量为16.04t/a。</w:t>
            </w:r>
          </w:p>
          <w:p w14:paraId="4C819402">
            <w:pPr>
              <w:pStyle w:val="51"/>
              <w:keepNext w:val="0"/>
              <w:keepLines w:val="0"/>
              <w:pageBreakBefore w:val="0"/>
              <w:widowControl w:val="0"/>
              <w:kinsoku/>
              <w:wordWrap/>
              <w:overflowPunct/>
              <w:topLinePunct w:val="0"/>
              <w:bidi w:val="0"/>
              <w:snapToGrid/>
              <w:spacing w:line="360" w:lineRule="auto"/>
              <w:ind w:left="0" w:firstLine="480" w:firstLineChars="200"/>
              <w:jc w:val="both"/>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项目搅拌机封闭式生产，配套布袋除尘器，该工序为废气收集效率100%，根据《排放源统计调查产排污核算方法和系数手册》（公告2021年第24号），除尘效率99.7%，废气经收集处理后无组织排放量0.048 t/a。</w:t>
            </w:r>
          </w:p>
          <w:p w14:paraId="5894707D">
            <w:pPr>
              <w:pStyle w:val="113"/>
              <w:keepNext w:val="0"/>
              <w:keepLines w:val="0"/>
              <w:pageBreakBefore w:val="0"/>
              <w:widowControl w:val="0"/>
              <w:kinsoku/>
              <w:wordWrap/>
              <w:overflowPunct/>
              <w:topLinePunct w:val="0"/>
              <w:bidi w:val="0"/>
              <w:snapToGrid/>
              <w:spacing w:line="360" w:lineRule="auto"/>
              <w:ind w:left="0" w:firstLine="464" w:firstLineChars="200"/>
              <w:rPr>
                <w:sz w:val="24"/>
                <w:szCs w:val="24"/>
              </w:rPr>
            </w:pPr>
            <w:r>
              <w:rPr>
                <w:spacing w:val="-4"/>
                <w:sz w:val="24"/>
                <w:szCs w:val="24"/>
              </w:rPr>
              <w:t>（</w:t>
            </w:r>
            <w:r>
              <w:rPr>
                <w:rFonts w:ascii="Times New Roman" w:hAnsi="Times New Roman" w:eastAsia="Times New Roman" w:cs="Times New Roman"/>
                <w:spacing w:val="-4"/>
                <w:sz w:val="24"/>
                <w:szCs w:val="24"/>
              </w:rPr>
              <w:t>3</w:t>
            </w:r>
            <w:r>
              <w:rPr>
                <w:spacing w:val="-4"/>
                <w:sz w:val="24"/>
                <w:szCs w:val="24"/>
              </w:rPr>
              <w:t>）</w:t>
            </w:r>
            <w:r>
              <w:rPr>
                <w:rFonts w:hint="eastAsia"/>
                <w:spacing w:val="-4"/>
                <w:sz w:val="24"/>
                <w:szCs w:val="24"/>
                <w:lang w:val="en-US" w:eastAsia="zh-CN"/>
              </w:rPr>
              <w:t>钢筋加工</w:t>
            </w:r>
            <w:r>
              <w:rPr>
                <w:spacing w:val="-4"/>
                <w:sz w:val="24"/>
                <w:szCs w:val="24"/>
              </w:rPr>
              <w:t>焊接烟尘</w:t>
            </w:r>
          </w:p>
          <w:p w14:paraId="3C9CDDD2">
            <w:pPr>
              <w:pStyle w:val="11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ascii="Times New Roman" w:hAnsi="Times New Roman" w:eastAsia="宋体" w:cs="宋体"/>
                <w:sz w:val="24"/>
                <w:szCs w:val="24"/>
              </w:rPr>
            </w:pPr>
            <w:r>
              <w:rPr>
                <w:rFonts w:ascii="Times New Roman" w:hAnsi="Times New Roman" w:eastAsia="宋体"/>
                <w:sz w:val="24"/>
                <w:szCs w:val="24"/>
              </w:rPr>
              <w:t>项目采用的焊接方式为无焊条、焊料的电阻焊工艺，利用上下两个柱状电极在电阻热的作用下，接触点金属瞬间熔化，断电冷却后形成焊点。根据</w:t>
            </w:r>
            <w:r>
              <w:rPr>
                <w:rFonts w:ascii="Times New Roman" w:hAnsi="Times New Roman" w:eastAsia="宋体"/>
                <w:spacing w:val="-3"/>
                <w:sz w:val="24"/>
                <w:szCs w:val="24"/>
              </w:rPr>
              <w:t>《不同焊接工艺的焊接烟尘污染特征》（郭永葆</w:t>
            </w:r>
            <w:r>
              <w:rPr>
                <w:rFonts w:ascii="Times New Roman" w:hAnsi="Times New Roman" w:eastAsia="宋体" w:cs="Times New Roman"/>
                <w:spacing w:val="-3"/>
                <w:sz w:val="24"/>
                <w:szCs w:val="24"/>
              </w:rPr>
              <w:t>.</w:t>
            </w:r>
            <w:r>
              <w:rPr>
                <w:rFonts w:ascii="Times New Roman" w:hAnsi="Times New Roman" w:eastAsia="宋体"/>
                <w:spacing w:val="-3"/>
                <w:sz w:val="24"/>
                <w:szCs w:val="24"/>
              </w:rPr>
              <w:t>教授级高工</w:t>
            </w:r>
            <w:r>
              <w:rPr>
                <w:rFonts w:ascii="Times New Roman" w:hAnsi="Times New Roman" w:eastAsia="宋体" w:cs="Times New Roman"/>
                <w:spacing w:val="-3"/>
                <w:sz w:val="24"/>
                <w:szCs w:val="24"/>
              </w:rPr>
              <w:t>.</w:t>
            </w:r>
            <w:r>
              <w:rPr>
                <w:rFonts w:ascii="Times New Roman" w:hAnsi="Times New Roman" w:eastAsia="宋体"/>
                <w:spacing w:val="-3"/>
                <w:sz w:val="24"/>
                <w:szCs w:val="24"/>
              </w:rPr>
              <w:t>太原市机械</w:t>
            </w:r>
            <w:r>
              <w:rPr>
                <w:rFonts w:ascii="Times New Roman" w:hAnsi="Times New Roman" w:eastAsia="宋体"/>
                <w:spacing w:val="-4"/>
                <w:sz w:val="24"/>
                <w:szCs w:val="24"/>
              </w:rPr>
              <w:t>电子</w:t>
            </w:r>
            <w:r>
              <w:rPr>
                <w:rFonts w:ascii="Times New Roman" w:hAnsi="Times New Roman" w:eastAsia="宋体"/>
                <w:sz w:val="24"/>
                <w:szCs w:val="24"/>
              </w:rPr>
              <w:t>工业局）中对各种焊接方式分析，项目采用的焊接工艺属于电阻焊，电阻焊无需焊材、焊剂，当材料表面洁净时，基本没有焊接烟尘产生。由</w:t>
            </w:r>
            <w:r>
              <w:rPr>
                <w:rFonts w:ascii="Times New Roman" w:hAnsi="Times New Roman" w:eastAsia="宋体"/>
                <w:spacing w:val="-1"/>
                <w:sz w:val="24"/>
                <w:szCs w:val="24"/>
              </w:rPr>
              <w:t>此可知，</w:t>
            </w:r>
            <w:r>
              <w:rPr>
                <w:rFonts w:ascii="Times New Roman" w:hAnsi="Times New Roman" w:eastAsia="宋体"/>
                <w:spacing w:val="-3"/>
                <w:sz w:val="24"/>
                <w:szCs w:val="24"/>
              </w:rPr>
              <w:t>项目产生的烟尘较小，影响较小，</w:t>
            </w:r>
            <w:r>
              <w:rPr>
                <w:rFonts w:ascii="Times New Roman" w:hAnsi="Times New Roman" w:eastAsia="宋体" w:cs="宋体"/>
                <w:sz w:val="24"/>
                <w:szCs w:val="24"/>
              </w:rPr>
              <w:t>可忽略不计。</w:t>
            </w:r>
          </w:p>
          <w:p w14:paraId="3E33717F">
            <w:pPr>
              <w:pStyle w:val="51"/>
              <w:spacing w:line="360" w:lineRule="auto"/>
              <w:ind w:firstLine="480" w:firstLineChars="200"/>
              <w:jc w:val="both"/>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项目废气污染源源强核算结果及相关参数一览表4.2-2。</w:t>
            </w:r>
          </w:p>
        </w:tc>
      </w:tr>
    </w:tbl>
    <w:p w14:paraId="1319D55A">
      <w:pPr>
        <w:adjustRightInd w:val="0"/>
        <w:snapToGrid w:val="0"/>
        <w:spacing w:line="360" w:lineRule="auto"/>
        <w:rPr>
          <w:rFonts w:ascii="宋体" w:cs="宋体"/>
          <w:b/>
          <w:color w:val="000000" w:themeColor="text1"/>
          <w:kern w:val="0"/>
          <w:sz w:val="28"/>
          <w:szCs w:val="28"/>
          <w:highlight w:val="none"/>
          <w14:textFill>
            <w14:solidFill>
              <w14:schemeClr w14:val="tx1"/>
            </w14:solidFill>
          </w14:textFill>
        </w:rPr>
        <w:sectPr>
          <w:pgSz w:w="11905" w:h="16838"/>
          <w:pgMar w:top="1417" w:right="1417" w:bottom="1417" w:left="1417" w:header="851" w:footer="1077" w:gutter="0"/>
          <w:pgBorders>
            <w:top w:val="none" w:sz="0" w:space="0"/>
            <w:left w:val="none" w:sz="0" w:space="0"/>
            <w:bottom w:val="none" w:sz="0" w:space="0"/>
            <w:right w:val="none" w:sz="0" w:space="0"/>
          </w:pgBorders>
          <w:pgNumType w:fmt="decimal"/>
          <w:cols w:space="0" w:num="1"/>
          <w:docGrid w:linePitch="312" w:charSpace="0"/>
        </w:sectPr>
      </w:pPr>
    </w:p>
    <w:p w14:paraId="724E5080">
      <w:pPr>
        <w:pStyle w:val="42"/>
        <w:keepNext/>
        <w:keepLines/>
        <w:pageBreakBefore w:val="0"/>
        <w:widowControl w:val="0"/>
        <w:numPr>
          <w:ilvl w:val="7"/>
          <w:numId w:val="16"/>
        </w:numPr>
        <w:tabs>
          <w:tab w:val="left" w:pos="0"/>
        </w:tabs>
        <w:kinsoku/>
        <w:wordWrap/>
        <w:overflowPunct/>
        <w:topLinePunct w:val="0"/>
        <w:autoSpaceDE/>
        <w:autoSpaceDN/>
        <w:bidi w:val="0"/>
        <w:adjustRightInd/>
        <w:snapToGrid/>
        <w:spacing w:before="120"/>
        <w:ind w:left="630" w:leftChars="0" w:firstLine="0" w:firstLineChars="0"/>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项目废气污染源源强核算结果及相关参数一览表</w:t>
      </w:r>
    </w:p>
    <w:tbl>
      <w:tblPr>
        <w:tblStyle w:val="84"/>
        <w:tblW w:w="5052" w:type="pct"/>
        <w:tblInd w:w="-16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93"/>
        <w:gridCol w:w="393"/>
        <w:gridCol w:w="546"/>
        <w:gridCol w:w="677"/>
        <w:gridCol w:w="629"/>
        <w:gridCol w:w="799"/>
        <w:gridCol w:w="609"/>
        <w:gridCol w:w="771"/>
        <w:gridCol w:w="329"/>
        <w:gridCol w:w="470"/>
        <w:gridCol w:w="516"/>
        <w:gridCol w:w="572"/>
        <w:gridCol w:w="595"/>
        <w:gridCol w:w="629"/>
        <w:gridCol w:w="652"/>
        <w:gridCol w:w="612"/>
        <w:gridCol w:w="618"/>
        <w:gridCol w:w="892"/>
        <w:gridCol w:w="867"/>
        <w:gridCol w:w="1544"/>
        <w:gridCol w:w="737"/>
      </w:tblGrid>
      <w:tr w14:paraId="2FD146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244" w:type="pct"/>
            <w:vMerge w:val="restart"/>
            <w:tcBorders>
              <w:tl2br w:val="nil"/>
              <w:tr2bl w:val="nil"/>
            </w:tcBorders>
            <w:vAlign w:val="center"/>
          </w:tcPr>
          <w:p w14:paraId="6D587336">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产排污环节</w:t>
            </w:r>
          </w:p>
        </w:tc>
        <w:tc>
          <w:tcPr>
            <w:tcW w:w="138" w:type="pct"/>
            <w:vMerge w:val="restart"/>
            <w:tcBorders>
              <w:tl2br w:val="nil"/>
              <w:tr2bl w:val="nil"/>
            </w:tcBorders>
            <w:vAlign w:val="center"/>
          </w:tcPr>
          <w:p w14:paraId="245E8ABE">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污染源</w:t>
            </w:r>
          </w:p>
        </w:tc>
        <w:tc>
          <w:tcPr>
            <w:tcW w:w="192" w:type="pct"/>
            <w:vMerge w:val="restart"/>
            <w:tcBorders>
              <w:tl2br w:val="nil"/>
              <w:tr2bl w:val="nil"/>
            </w:tcBorders>
            <w:vAlign w:val="center"/>
          </w:tcPr>
          <w:p w14:paraId="1333EC08">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污染物种类</w:t>
            </w:r>
          </w:p>
        </w:tc>
        <w:tc>
          <w:tcPr>
            <w:tcW w:w="1231" w:type="pct"/>
            <w:gridSpan w:val="5"/>
            <w:tcBorders>
              <w:tl2br w:val="nil"/>
              <w:tr2bl w:val="nil"/>
            </w:tcBorders>
            <w:vAlign w:val="center"/>
          </w:tcPr>
          <w:p w14:paraId="77462954">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污染源产生</w:t>
            </w:r>
          </w:p>
        </w:tc>
        <w:tc>
          <w:tcPr>
            <w:tcW w:w="116" w:type="pct"/>
            <w:vMerge w:val="restart"/>
            <w:tcBorders>
              <w:tl2br w:val="nil"/>
              <w:tr2bl w:val="nil"/>
            </w:tcBorders>
            <w:vAlign w:val="center"/>
          </w:tcPr>
          <w:p w14:paraId="3C405D6B">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排放方式</w:t>
            </w:r>
          </w:p>
        </w:tc>
        <w:tc>
          <w:tcPr>
            <w:tcW w:w="760" w:type="pct"/>
            <w:gridSpan w:val="4"/>
            <w:tcBorders>
              <w:tl2br w:val="nil"/>
              <w:tr2bl w:val="nil"/>
            </w:tcBorders>
            <w:vAlign w:val="center"/>
          </w:tcPr>
          <w:p w14:paraId="06B8E0AB">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治理措施</w:t>
            </w:r>
          </w:p>
        </w:tc>
        <w:tc>
          <w:tcPr>
            <w:tcW w:w="887" w:type="pct"/>
            <w:gridSpan w:val="4"/>
            <w:tcBorders>
              <w:tl2br w:val="nil"/>
              <w:tr2bl w:val="nil"/>
            </w:tcBorders>
            <w:vAlign w:val="center"/>
          </w:tcPr>
          <w:p w14:paraId="5699D799">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污染物排放</w:t>
            </w:r>
          </w:p>
        </w:tc>
        <w:tc>
          <w:tcPr>
            <w:tcW w:w="1167" w:type="pct"/>
            <w:gridSpan w:val="3"/>
            <w:tcBorders>
              <w:tl2br w:val="nil"/>
              <w:tr2bl w:val="nil"/>
            </w:tcBorders>
            <w:vAlign w:val="center"/>
          </w:tcPr>
          <w:p w14:paraId="2EB903BE">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排放口基本信息</w:t>
            </w:r>
          </w:p>
        </w:tc>
        <w:tc>
          <w:tcPr>
            <w:tcW w:w="260" w:type="pct"/>
            <w:vMerge w:val="restart"/>
            <w:tcBorders>
              <w:tl2br w:val="nil"/>
              <w:tr2bl w:val="nil"/>
            </w:tcBorders>
            <w:vAlign w:val="center"/>
          </w:tcPr>
          <w:p w14:paraId="6964E1AB">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排放时间h</w:t>
            </w:r>
          </w:p>
        </w:tc>
      </w:tr>
      <w:tr w14:paraId="7A4ADF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2" w:hRule="atLeast"/>
        </w:trPr>
        <w:tc>
          <w:tcPr>
            <w:tcW w:w="244" w:type="pct"/>
            <w:vMerge w:val="continue"/>
            <w:tcBorders>
              <w:tl2br w:val="nil"/>
              <w:tr2bl w:val="nil"/>
            </w:tcBorders>
            <w:vAlign w:val="center"/>
          </w:tcPr>
          <w:p w14:paraId="5286ABA8">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p>
        </w:tc>
        <w:tc>
          <w:tcPr>
            <w:tcW w:w="138" w:type="pct"/>
            <w:vMerge w:val="continue"/>
            <w:tcBorders>
              <w:tl2br w:val="nil"/>
              <w:tr2bl w:val="nil"/>
            </w:tcBorders>
            <w:vAlign w:val="center"/>
          </w:tcPr>
          <w:p w14:paraId="6246CCCE">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p>
        </w:tc>
        <w:tc>
          <w:tcPr>
            <w:tcW w:w="192" w:type="pct"/>
            <w:vMerge w:val="continue"/>
            <w:tcBorders>
              <w:tl2br w:val="nil"/>
              <w:tr2bl w:val="nil"/>
            </w:tcBorders>
            <w:vAlign w:val="center"/>
          </w:tcPr>
          <w:p w14:paraId="2A81FC11">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p>
        </w:tc>
        <w:tc>
          <w:tcPr>
            <w:tcW w:w="239" w:type="pct"/>
            <w:tcBorders>
              <w:tl2br w:val="nil"/>
              <w:tr2bl w:val="nil"/>
            </w:tcBorders>
            <w:vAlign w:val="center"/>
          </w:tcPr>
          <w:p w14:paraId="5F7AC095">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核算方法</w:t>
            </w:r>
          </w:p>
        </w:tc>
        <w:tc>
          <w:tcPr>
            <w:tcW w:w="222" w:type="pct"/>
            <w:tcBorders>
              <w:tl2br w:val="nil"/>
              <w:tr2bl w:val="nil"/>
            </w:tcBorders>
            <w:vAlign w:val="center"/>
          </w:tcPr>
          <w:p w14:paraId="754582D2">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废气量/(m</w:t>
            </w:r>
            <w:r>
              <w:rPr>
                <w:rFonts w:hint="eastAsia" w:ascii="Times New Roman" w:hAnsi="Times New Roman" w:cs="Times New Roman"/>
                <w:color w:val="000000" w:themeColor="text1"/>
                <w:sz w:val="21"/>
                <w:szCs w:val="21"/>
                <w:highlight w:val="none"/>
                <w:vertAlign w:val="superscript"/>
                <w14:textFill>
                  <w14:solidFill>
                    <w14:schemeClr w14:val="tx1"/>
                  </w14:solidFill>
                </w14:textFill>
              </w:rPr>
              <w:t>3</w:t>
            </w:r>
            <w:r>
              <w:rPr>
                <w:rFonts w:hint="eastAsia" w:ascii="Times New Roman" w:hAnsi="Times New Roman" w:cs="Times New Roman"/>
                <w:color w:val="000000" w:themeColor="text1"/>
                <w:sz w:val="21"/>
                <w:szCs w:val="21"/>
                <w:highlight w:val="none"/>
                <w14:textFill>
                  <w14:solidFill>
                    <w14:schemeClr w14:val="tx1"/>
                  </w14:solidFill>
                </w14:textFill>
              </w:rPr>
              <w:t>/h)</w:t>
            </w:r>
          </w:p>
        </w:tc>
        <w:tc>
          <w:tcPr>
            <w:tcW w:w="282" w:type="pct"/>
            <w:tcBorders>
              <w:tl2br w:val="nil"/>
              <w:tr2bl w:val="nil"/>
            </w:tcBorders>
            <w:vAlign w:val="center"/>
          </w:tcPr>
          <w:p w14:paraId="327A1A2E">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产生浓度/(mg/m</w:t>
            </w:r>
            <w:r>
              <w:rPr>
                <w:rFonts w:hint="eastAsia" w:ascii="Times New Roman" w:hAnsi="Times New Roman" w:cs="Times New Roman"/>
                <w:color w:val="000000" w:themeColor="text1"/>
                <w:sz w:val="21"/>
                <w:szCs w:val="21"/>
                <w:highlight w:val="none"/>
                <w:vertAlign w:val="superscript"/>
                <w14:textFill>
                  <w14:solidFill>
                    <w14:schemeClr w14:val="tx1"/>
                  </w14:solidFill>
                </w14:textFill>
              </w:rPr>
              <w:t>3</w:t>
            </w:r>
            <w:r>
              <w:rPr>
                <w:rFonts w:hint="eastAsia" w:ascii="Times New Roman" w:hAnsi="Times New Roman" w:cs="Times New Roman"/>
                <w:color w:val="000000" w:themeColor="text1"/>
                <w:sz w:val="21"/>
                <w:szCs w:val="21"/>
                <w:highlight w:val="none"/>
                <w14:textFill>
                  <w14:solidFill>
                    <w14:schemeClr w14:val="tx1"/>
                  </w14:solidFill>
                </w14:textFill>
              </w:rPr>
              <w:t>)</w:t>
            </w:r>
          </w:p>
        </w:tc>
        <w:tc>
          <w:tcPr>
            <w:tcW w:w="215" w:type="pct"/>
            <w:tcBorders>
              <w:tl2br w:val="nil"/>
              <w:tr2bl w:val="nil"/>
            </w:tcBorders>
            <w:vAlign w:val="center"/>
          </w:tcPr>
          <w:p w14:paraId="0771648C">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产生速率/kg/h</w:t>
            </w:r>
          </w:p>
        </w:tc>
        <w:tc>
          <w:tcPr>
            <w:tcW w:w="272" w:type="pct"/>
            <w:tcBorders>
              <w:tl2br w:val="nil"/>
              <w:tr2bl w:val="nil"/>
            </w:tcBorders>
            <w:vAlign w:val="center"/>
          </w:tcPr>
          <w:p w14:paraId="35BBC37D">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产生量/t/a</w:t>
            </w:r>
          </w:p>
        </w:tc>
        <w:tc>
          <w:tcPr>
            <w:tcW w:w="116" w:type="pct"/>
            <w:vMerge w:val="continue"/>
            <w:tcBorders>
              <w:tl2br w:val="nil"/>
              <w:tr2bl w:val="nil"/>
            </w:tcBorders>
            <w:vAlign w:val="center"/>
          </w:tcPr>
          <w:p w14:paraId="7374D4F9">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p>
        </w:tc>
        <w:tc>
          <w:tcPr>
            <w:tcW w:w="166" w:type="pct"/>
            <w:tcBorders>
              <w:tl2br w:val="nil"/>
              <w:tr2bl w:val="nil"/>
            </w:tcBorders>
            <w:vAlign w:val="center"/>
          </w:tcPr>
          <w:p w14:paraId="202B605B">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处理能力及工艺</w:t>
            </w:r>
          </w:p>
        </w:tc>
        <w:tc>
          <w:tcPr>
            <w:tcW w:w="182" w:type="pct"/>
            <w:tcBorders>
              <w:tl2br w:val="nil"/>
              <w:tr2bl w:val="nil"/>
            </w:tcBorders>
            <w:vAlign w:val="center"/>
          </w:tcPr>
          <w:p w14:paraId="2E8FE587">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收集效率</w:t>
            </w:r>
          </w:p>
        </w:tc>
        <w:tc>
          <w:tcPr>
            <w:tcW w:w="202" w:type="pct"/>
            <w:tcBorders>
              <w:tl2br w:val="nil"/>
              <w:tr2bl w:val="nil"/>
            </w:tcBorders>
            <w:vAlign w:val="center"/>
          </w:tcPr>
          <w:p w14:paraId="17A6CAA6">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工艺去除率</w:t>
            </w:r>
          </w:p>
        </w:tc>
        <w:tc>
          <w:tcPr>
            <w:tcW w:w="210" w:type="pct"/>
            <w:tcBorders>
              <w:tl2br w:val="nil"/>
              <w:tr2bl w:val="nil"/>
            </w:tcBorders>
            <w:vAlign w:val="center"/>
          </w:tcPr>
          <w:p w14:paraId="18ECCCC7">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是否为可行技术</w:t>
            </w:r>
          </w:p>
        </w:tc>
        <w:tc>
          <w:tcPr>
            <w:tcW w:w="222" w:type="pct"/>
            <w:tcBorders>
              <w:tl2br w:val="nil"/>
              <w:tr2bl w:val="nil"/>
            </w:tcBorders>
            <w:vAlign w:val="center"/>
          </w:tcPr>
          <w:p w14:paraId="21ADE844">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废气量/(m</w:t>
            </w:r>
            <w:r>
              <w:rPr>
                <w:rFonts w:hint="eastAsia" w:ascii="Times New Roman" w:hAnsi="Times New Roman" w:cs="Times New Roman"/>
                <w:color w:val="000000" w:themeColor="text1"/>
                <w:sz w:val="21"/>
                <w:szCs w:val="21"/>
                <w:highlight w:val="none"/>
                <w:vertAlign w:val="superscript"/>
                <w14:textFill>
                  <w14:solidFill>
                    <w14:schemeClr w14:val="tx1"/>
                  </w14:solidFill>
                </w14:textFill>
              </w:rPr>
              <w:t>3</w:t>
            </w:r>
            <w:r>
              <w:rPr>
                <w:rFonts w:hint="eastAsia" w:ascii="Times New Roman" w:hAnsi="Times New Roman" w:cs="Times New Roman"/>
                <w:color w:val="000000" w:themeColor="text1"/>
                <w:sz w:val="21"/>
                <w:szCs w:val="21"/>
                <w:highlight w:val="none"/>
                <w14:textFill>
                  <w14:solidFill>
                    <w14:schemeClr w14:val="tx1"/>
                  </w14:solidFill>
                </w14:textFill>
              </w:rPr>
              <w:t>/h)</w:t>
            </w:r>
          </w:p>
        </w:tc>
        <w:tc>
          <w:tcPr>
            <w:tcW w:w="230" w:type="pct"/>
            <w:tcBorders>
              <w:tl2br w:val="nil"/>
              <w:tr2bl w:val="nil"/>
            </w:tcBorders>
            <w:vAlign w:val="center"/>
          </w:tcPr>
          <w:p w14:paraId="08218222">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排放浓度/mg/m</w:t>
            </w:r>
            <w:r>
              <w:rPr>
                <w:rFonts w:hint="eastAsia" w:ascii="Times New Roman" w:hAnsi="Times New Roman" w:cs="Times New Roman"/>
                <w:color w:val="000000" w:themeColor="text1"/>
                <w:sz w:val="21"/>
                <w:szCs w:val="21"/>
                <w:highlight w:val="none"/>
                <w:vertAlign w:val="superscript"/>
                <w14:textFill>
                  <w14:solidFill>
                    <w14:schemeClr w14:val="tx1"/>
                  </w14:solidFill>
                </w14:textFill>
              </w:rPr>
              <w:t>3</w:t>
            </w:r>
          </w:p>
        </w:tc>
        <w:tc>
          <w:tcPr>
            <w:tcW w:w="216" w:type="pct"/>
            <w:tcBorders>
              <w:tl2br w:val="nil"/>
              <w:tr2bl w:val="nil"/>
            </w:tcBorders>
            <w:vAlign w:val="center"/>
          </w:tcPr>
          <w:p w14:paraId="0FE8E090">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排放速率/kg/h</w:t>
            </w:r>
          </w:p>
        </w:tc>
        <w:tc>
          <w:tcPr>
            <w:tcW w:w="218" w:type="pct"/>
            <w:tcBorders>
              <w:tl2br w:val="nil"/>
              <w:tr2bl w:val="nil"/>
            </w:tcBorders>
            <w:vAlign w:val="center"/>
          </w:tcPr>
          <w:p w14:paraId="0917D8F9">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排放量/t/a</w:t>
            </w:r>
          </w:p>
        </w:tc>
        <w:tc>
          <w:tcPr>
            <w:tcW w:w="315" w:type="pct"/>
            <w:tcBorders>
              <w:tl2br w:val="nil"/>
              <w:tr2bl w:val="nil"/>
            </w:tcBorders>
            <w:vAlign w:val="center"/>
          </w:tcPr>
          <w:p w14:paraId="611C0328">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排气筒内径、高度、温度</w:t>
            </w:r>
          </w:p>
        </w:tc>
        <w:tc>
          <w:tcPr>
            <w:tcW w:w="306" w:type="pct"/>
            <w:tcBorders>
              <w:tl2br w:val="nil"/>
              <w:tr2bl w:val="nil"/>
            </w:tcBorders>
            <w:vAlign w:val="center"/>
          </w:tcPr>
          <w:p w14:paraId="734DA56B">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编号及名称、类型</w:t>
            </w:r>
          </w:p>
        </w:tc>
        <w:tc>
          <w:tcPr>
            <w:tcW w:w="545" w:type="pct"/>
            <w:tcBorders>
              <w:tl2br w:val="nil"/>
              <w:tr2bl w:val="nil"/>
            </w:tcBorders>
            <w:vAlign w:val="center"/>
          </w:tcPr>
          <w:p w14:paraId="17B82B61">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地理坐标</w:t>
            </w:r>
          </w:p>
        </w:tc>
        <w:tc>
          <w:tcPr>
            <w:tcW w:w="260" w:type="pct"/>
            <w:vMerge w:val="continue"/>
            <w:tcBorders>
              <w:tl2br w:val="nil"/>
              <w:tr2bl w:val="nil"/>
            </w:tcBorders>
            <w:vAlign w:val="center"/>
          </w:tcPr>
          <w:p w14:paraId="3B48E358">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p>
        </w:tc>
      </w:tr>
      <w:tr w14:paraId="724855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202" w:hRule="atLeast"/>
        </w:trPr>
        <w:tc>
          <w:tcPr>
            <w:tcW w:w="244" w:type="pct"/>
            <w:vMerge w:val="restart"/>
            <w:tcBorders>
              <w:tl2br w:val="nil"/>
              <w:tr2bl w:val="nil"/>
            </w:tcBorders>
            <w:vAlign w:val="center"/>
          </w:tcPr>
          <w:p w14:paraId="1A7F2DCA">
            <w:pPr>
              <w:pStyle w:val="96"/>
              <w:spacing w:line="240" w:lineRule="auto"/>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燃生物质锅炉</w:t>
            </w:r>
          </w:p>
          <w:p w14:paraId="4E671487">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p>
        </w:tc>
        <w:tc>
          <w:tcPr>
            <w:tcW w:w="138" w:type="pct"/>
            <w:vMerge w:val="restart"/>
            <w:tcBorders>
              <w:tl2br w:val="nil"/>
              <w:tr2bl w:val="nil"/>
            </w:tcBorders>
            <w:vAlign w:val="center"/>
          </w:tcPr>
          <w:p w14:paraId="126694AE">
            <w:pPr>
              <w:pStyle w:val="96"/>
              <w:spacing w:line="240" w:lineRule="auto"/>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燃生物质锅炉废气</w:t>
            </w:r>
          </w:p>
          <w:p w14:paraId="028666BF">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p>
        </w:tc>
        <w:tc>
          <w:tcPr>
            <w:tcW w:w="192" w:type="pct"/>
            <w:tcBorders>
              <w:tl2br w:val="nil"/>
              <w:tr2bl w:val="nil"/>
            </w:tcBorders>
            <w:vAlign w:val="center"/>
          </w:tcPr>
          <w:p w14:paraId="661786AE">
            <w:pPr>
              <w:pStyle w:val="96"/>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SO</w:t>
            </w:r>
            <w:r>
              <w:rPr>
                <w:rFonts w:hint="eastAsia" w:ascii="Times New Roman" w:hAnsi="Times New Roman" w:cs="Times New Roman"/>
                <w:color w:val="000000" w:themeColor="text1"/>
                <w:sz w:val="21"/>
                <w:szCs w:val="21"/>
                <w:highlight w:val="none"/>
                <w:vertAlign w:val="subscript"/>
                <w:lang w:val="en-US" w:eastAsia="zh-CN"/>
                <w14:textFill>
                  <w14:solidFill>
                    <w14:schemeClr w14:val="tx1"/>
                  </w14:solidFill>
                </w14:textFill>
              </w:rPr>
              <w:t>2</w:t>
            </w:r>
          </w:p>
        </w:tc>
        <w:tc>
          <w:tcPr>
            <w:tcW w:w="239" w:type="pct"/>
            <w:vMerge w:val="restart"/>
            <w:tcBorders>
              <w:tl2br w:val="nil"/>
              <w:tr2bl w:val="nil"/>
            </w:tcBorders>
            <w:vAlign w:val="center"/>
          </w:tcPr>
          <w:p w14:paraId="0AF49A6E">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产污系数法</w:t>
            </w:r>
          </w:p>
        </w:tc>
        <w:tc>
          <w:tcPr>
            <w:tcW w:w="222" w:type="pct"/>
            <w:tcBorders>
              <w:tl2br w:val="nil"/>
              <w:tr2bl w:val="nil"/>
            </w:tcBorders>
            <w:vAlign w:val="center"/>
          </w:tcPr>
          <w:p w14:paraId="41BB11AF">
            <w:pPr>
              <w:pStyle w:val="96"/>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10000</w:t>
            </w:r>
          </w:p>
        </w:tc>
        <w:tc>
          <w:tcPr>
            <w:tcW w:w="282" w:type="pct"/>
            <w:tcBorders>
              <w:tl2br w:val="nil"/>
              <w:tr2bl w:val="nil"/>
            </w:tcBorders>
            <w:vAlign w:val="center"/>
          </w:tcPr>
          <w:p w14:paraId="3ECCA3D9">
            <w:pPr>
              <w:pStyle w:val="96"/>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44</w:t>
            </w:r>
          </w:p>
        </w:tc>
        <w:tc>
          <w:tcPr>
            <w:tcW w:w="215" w:type="pct"/>
            <w:tcBorders>
              <w:tl2br w:val="nil"/>
              <w:tr2bl w:val="nil"/>
            </w:tcBorders>
            <w:vAlign w:val="center"/>
          </w:tcPr>
          <w:p w14:paraId="4B7C9663">
            <w:pPr>
              <w:pStyle w:val="96"/>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0.44</w:t>
            </w:r>
          </w:p>
        </w:tc>
        <w:tc>
          <w:tcPr>
            <w:tcW w:w="272" w:type="pct"/>
            <w:tcBorders>
              <w:tl2br w:val="nil"/>
              <w:tr2bl w:val="nil"/>
            </w:tcBorders>
            <w:vAlign w:val="center"/>
          </w:tcPr>
          <w:p w14:paraId="28C0DE01">
            <w:pPr>
              <w:pStyle w:val="96"/>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0.47</w:t>
            </w:r>
          </w:p>
        </w:tc>
        <w:tc>
          <w:tcPr>
            <w:tcW w:w="116" w:type="pct"/>
            <w:tcBorders>
              <w:tl2br w:val="nil"/>
              <w:tr2bl w:val="nil"/>
            </w:tcBorders>
            <w:vAlign w:val="center"/>
          </w:tcPr>
          <w:p w14:paraId="074EEAA4">
            <w:pPr>
              <w:pStyle w:val="96"/>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有组织</w:t>
            </w:r>
          </w:p>
        </w:tc>
        <w:tc>
          <w:tcPr>
            <w:tcW w:w="166" w:type="pct"/>
            <w:tcBorders>
              <w:tl2br w:val="nil"/>
              <w:tr2bl w:val="nil"/>
            </w:tcBorders>
            <w:vAlign w:val="center"/>
          </w:tcPr>
          <w:p w14:paraId="29327A77">
            <w:pPr>
              <w:pStyle w:val="96"/>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182" w:type="pct"/>
            <w:tcBorders>
              <w:tl2br w:val="nil"/>
              <w:tr2bl w:val="nil"/>
            </w:tcBorders>
            <w:vAlign w:val="center"/>
          </w:tcPr>
          <w:p w14:paraId="7DC8B99C">
            <w:pPr>
              <w:pStyle w:val="96"/>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100</w:t>
            </w:r>
            <w:r>
              <w:rPr>
                <w:rFonts w:hint="eastAsia" w:ascii="Times New Roman" w:hAnsi="Times New Roman" w:cs="Times New Roman"/>
                <w:color w:val="auto"/>
                <w:sz w:val="21"/>
                <w:szCs w:val="21"/>
                <w:highlight w:val="none"/>
              </w:rPr>
              <w:t>%</w:t>
            </w:r>
          </w:p>
        </w:tc>
        <w:tc>
          <w:tcPr>
            <w:tcW w:w="202" w:type="pct"/>
            <w:tcBorders>
              <w:tl2br w:val="nil"/>
              <w:tr2bl w:val="nil"/>
            </w:tcBorders>
            <w:vAlign w:val="center"/>
          </w:tcPr>
          <w:p w14:paraId="6367307C">
            <w:pPr>
              <w:pStyle w:val="96"/>
              <w:spacing w:line="240" w:lineRule="auto"/>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0</w:t>
            </w:r>
          </w:p>
        </w:tc>
        <w:tc>
          <w:tcPr>
            <w:tcW w:w="210" w:type="pct"/>
            <w:tcBorders>
              <w:tl2br w:val="nil"/>
              <w:tr2bl w:val="nil"/>
            </w:tcBorders>
            <w:vAlign w:val="center"/>
          </w:tcPr>
          <w:p w14:paraId="0C73C209">
            <w:pPr>
              <w:pStyle w:val="96"/>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222" w:type="pct"/>
            <w:tcBorders>
              <w:tl2br w:val="nil"/>
              <w:tr2bl w:val="nil"/>
            </w:tcBorders>
            <w:shd w:val="clear" w:color="auto" w:fill="auto"/>
            <w:vAlign w:val="center"/>
          </w:tcPr>
          <w:p w14:paraId="18A2B5E8">
            <w:pPr>
              <w:pStyle w:val="96"/>
              <w:spacing w:line="240" w:lineRule="auto"/>
              <w:jc w:val="center"/>
              <w:rPr>
                <w:rFonts w:hint="default"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10000</w:t>
            </w:r>
          </w:p>
        </w:tc>
        <w:tc>
          <w:tcPr>
            <w:tcW w:w="230" w:type="pct"/>
            <w:tcBorders>
              <w:tl2br w:val="nil"/>
              <w:tr2bl w:val="nil"/>
            </w:tcBorders>
            <w:vAlign w:val="center"/>
          </w:tcPr>
          <w:p w14:paraId="7E65EC19">
            <w:pPr>
              <w:pStyle w:val="96"/>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44</w:t>
            </w:r>
          </w:p>
        </w:tc>
        <w:tc>
          <w:tcPr>
            <w:tcW w:w="216" w:type="pct"/>
            <w:tcBorders>
              <w:tl2br w:val="nil"/>
              <w:tr2bl w:val="nil"/>
            </w:tcBorders>
            <w:vAlign w:val="center"/>
          </w:tcPr>
          <w:p w14:paraId="656B763C">
            <w:pPr>
              <w:pStyle w:val="96"/>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0.44</w:t>
            </w:r>
          </w:p>
        </w:tc>
        <w:tc>
          <w:tcPr>
            <w:tcW w:w="218" w:type="pct"/>
            <w:tcBorders>
              <w:tl2br w:val="nil"/>
              <w:tr2bl w:val="nil"/>
            </w:tcBorders>
            <w:vAlign w:val="center"/>
          </w:tcPr>
          <w:p w14:paraId="074307FB">
            <w:pPr>
              <w:pStyle w:val="96"/>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0.47</w:t>
            </w:r>
          </w:p>
        </w:tc>
        <w:tc>
          <w:tcPr>
            <w:tcW w:w="315" w:type="pct"/>
            <w:vMerge w:val="restart"/>
            <w:tcBorders>
              <w:tl2br w:val="nil"/>
              <w:tr2bl w:val="nil"/>
            </w:tcBorders>
            <w:vAlign w:val="center"/>
          </w:tcPr>
          <w:p w14:paraId="4A2D3F95">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H=</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40</w:t>
            </w:r>
            <w:r>
              <w:rPr>
                <w:rFonts w:hint="eastAsia" w:ascii="Times New Roman" w:hAnsi="Times New Roman" w:cs="Times New Roman"/>
                <w:color w:val="000000" w:themeColor="text1"/>
                <w:sz w:val="21"/>
                <w:szCs w:val="21"/>
                <w:highlight w:val="none"/>
                <w14:textFill>
                  <w14:solidFill>
                    <w14:schemeClr w14:val="tx1"/>
                  </w14:solidFill>
                </w14:textFill>
              </w:rPr>
              <w:t>m、内径</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1.4</w:t>
            </w:r>
            <w:r>
              <w:rPr>
                <w:rFonts w:hint="eastAsia" w:ascii="Times New Roman" w:hAnsi="Times New Roman" w:cs="Times New Roman"/>
                <w:color w:val="000000" w:themeColor="text1"/>
                <w:sz w:val="21"/>
                <w:szCs w:val="21"/>
                <w:highlight w:val="none"/>
                <w14:textFill>
                  <w14:solidFill>
                    <w14:schemeClr w14:val="tx1"/>
                  </w14:solidFill>
                </w14:textFill>
              </w:rPr>
              <w:t>m、温度</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100</w:t>
            </w:r>
            <w:r>
              <w:rPr>
                <w:rFonts w:hint="eastAsia" w:ascii="Times New Roman" w:hAnsi="Times New Roman" w:cs="Times New Roman"/>
                <w:color w:val="000000" w:themeColor="text1"/>
                <w:sz w:val="21"/>
                <w:szCs w:val="21"/>
                <w:highlight w:val="none"/>
                <w14:textFill>
                  <w14:solidFill>
                    <w14:schemeClr w14:val="tx1"/>
                  </w14:solidFill>
                </w14:textFill>
              </w:rPr>
              <w:t>℃</w:t>
            </w:r>
          </w:p>
        </w:tc>
        <w:tc>
          <w:tcPr>
            <w:tcW w:w="306" w:type="pct"/>
            <w:vMerge w:val="restart"/>
            <w:tcBorders>
              <w:tl2br w:val="nil"/>
              <w:tr2bl w:val="nil"/>
            </w:tcBorders>
            <w:vAlign w:val="center"/>
          </w:tcPr>
          <w:p w14:paraId="34616614">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DA001、一般排放口</w:t>
            </w:r>
          </w:p>
        </w:tc>
        <w:tc>
          <w:tcPr>
            <w:tcW w:w="545" w:type="pct"/>
            <w:vMerge w:val="restart"/>
            <w:tcBorders>
              <w:tl2br w:val="nil"/>
              <w:tr2bl w:val="nil"/>
            </w:tcBorders>
            <w:vAlign w:val="center"/>
          </w:tcPr>
          <w:p w14:paraId="6BB6FF10">
            <w:pPr>
              <w:pStyle w:val="96"/>
              <w:spacing w:line="240" w:lineRule="auto"/>
              <w:jc w:val="center"/>
              <w:rPr>
                <w:rFonts w:hint="eastAsia" w:ascii="Times New Roman" w:hAnsi="Times New Roman" w:cs="Times New Roman"/>
                <w:color w:val="000000" w:themeColor="text1"/>
                <w:sz w:val="21"/>
                <w:szCs w:val="21"/>
                <w:highlight w:val="none"/>
                <w:shd w:val="clear"/>
                <w14:textFill>
                  <w14:solidFill>
                    <w14:schemeClr w14:val="tx1"/>
                  </w14:solidFill>
                </w14:textFill>
              </w:rPr>
            </w:pPr>
            <w:r>
              <w:rPr>
                <w:rFonts w:hint="eastAsia" w:ascii="Times New Roman" w:hAnsi="Times New Roman" w:cs="Times New Roman"/>
                <w:color w:val="000000" w:themeColor="text1"/>
                <w:sz w:val="21"/>
                <w:szCs w:val="21"/>
                <w:highlight w:val="none"/>
                <w:shd w:val="clear"/>
                <w14:textFill>
                  <w14:solidFill>
                    <w14:schemeClr w14:val="tx1"/>
                  </w14:solidFill>
                </w14:textFill>
              </w:rPr>
              <w:t>经度：</w:t>
            </w:r>
          </w:p>
          <w:p w14:paraId="0DC66A7D">
            <w:pPr>
              <w:pStyle w:val="96"/>
              <w:spacing w:line="240" w:lineRule="auto"/>
              <w:jc w:val="center"/>
              <w:rPr>
                <w:rFonts w:hint="eastAsia" w:ascii="Times New Roman" w:hAnsi="Times New Roman" w:cs="Times New Roman"/>
                <w:color w:val="000000" w:themeColor="text1"/>
                <w:sz w:val="21"/>
                <w:szCs w:val="21"/>
                <w:highlight w:val="none"/>
                <w:shd w:val="clear"/>
                <w14:textFill>
                  <w14:solidFill>
                    <w14:schemeClr w14:val="tx1"/>
                  </w14:solidFill>
                </w14:textFill>
              </w:rPr>
            </w:pPr>
            <w:r>
              <w:rPr>
                <w:rFonts w:hint="eastAsia" w:ascii="Times New Roman" w:hAnsi="Times New Roman" w:cs="Times New Roman"/>
                <w:color w:val="000000" w:themeColor="text1"/>
                <w:sz w:val="21"/>
                <w:szCs w:val="21"/>
                <w:highlight w:val="none"/>
                <w:shd w:val="clear"/>
                <w14:textFill>
                  <w14:solidFill>
                    <w14:schemeClr w14:val="tx1"/>
                  </w14:solidFill>
                </w14:textFill>
              </w:rPr>
              <w:t>118.6751479°</w:t>
            </w:r>
          </w:p>
          <w:p w14:paraId="555B6BC2">
            <w:pPr>
              <w:pStyle w:val="96"/>
              <w:spacing w:line="240" w:lineRule="auto"/>
              <w:jc w:val="center"/>
              <w:rPr>
                <w:rFonts w:hint="eastAsia" w:ascii="Times New Roman" w:hAnsi="Times New Roman" w:cs="Times New Roman"/>
                <w:color w:val="000000" w:themeColor="text1"/>
                <w:sz w:val="21"/>
                <w:szCs w:val="21"/>
                <w:highlight w:val="none"/>
                <w:shd w:val="clear"/>
                <w14:textFill>
                  <w14:solidFill>
                    <w14:schemeClr w14:val="tx1"/>
                  </w14:solidFill>
                </w14:textFill>
              </w:rPr>
            </w:pPr>
            <w:r>
              <w:rPr>
                <w:rFonts w:hint="eastAsia" w:ascii="Times New Roman" w:hAnsi="Times New Roman" w:cs="Times New Roman"/>
                <w:color w:val="000000" w:themeColor="text1"/>
                <w:sz w:val="21"/>
                <w:szCs w:val="21"/>
                <w:highlight w:val="none"/>
                <w:shd w:val="clear"/>
                <w14:textFill>
                  <w14:solidFill>
                    <w14:schemeClr w14:val="tx1"/>
                  </w14:solidFill>
                </w14:textFill>
              </w:rPr>
              <w:t>纬度：</w:t>
            </w:r>
          </w:p>
          <w:p w14:paraId="52529E27">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shd w:val="clear"/>
                <w14:textFill>
                  <w14:solidFill>
                    <w14:schemeClr w14:val="tx1"/>
                  </w14:solidFill>
                </w14:textFill>
              </w:rPr>
              <w:t>26.1024745°</w:t>
            </w:r>
          </w:p>
        </w:tc>
        <w:tc>
          <w:tcPr>
            <w:tcW w:w="260" w:type="pct"/>
            <w:vMerge w:val="restart"/>
            <w:tcBorders>
              <w:tl2br w:val="nil"/>
              <w:tr2bl w:val="nil"/>
            </w:tcBorders>
            <w:vAlign w:val="center"/>
          </w:tcPr>
          <w:p w14:paraId="5137340A">
            <w:pPr>
              <w:pStyle w:val="96"/>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1080</w:t>
            </w:r>
          </w:p>
        </w:tc>
      </w:tr>
      <w:tr w14:paraId="112644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202" w:hRule="atLeast"/>
        </w:trPr>
        <w:tc>
          <w:tcPr>
            <w:tcW w:w="244" w:type="pct"/>
            <w:vMerge w:val="continue"/>
            <w:tcBorders>
              <w:tl2br w:val="nil"/>
              <w:tr2bl w:val="nil"/>
            </w:tcBorders>
            <w:vAlign w:val="center"/>
          </w:tcPr>
          <w:p w14:paraId="4ADA0E52">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p>
        </w:tc>
        <w:tc>
          <w:tcPr>
            <w:tcW w:w="138" w:type="pct"/>
            <w:vMerge w:val="continue"/>
            <w:tcBorders>
              <w:tl2br w:val="nil"/>
              <w:tr2bl w:val="nil"/>
            </w:tcBorders>
            <w:vAlign w:val="center"/>
          </w:tcPr>
          <w:p w14:paraId="22EDE238">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p>
        </w:tc>
        <w:tc>
          <w:tcPr>
            <w:tcW w:w="192" w:type="pct"/>
            <w:tcBorders>
              <w:tl2br w:val="nil"/>
              <w:tr2bl w:val="nil"/>
            </w:tcBorders>
            <w:vAlign w:val="center"/>
          </w:tcPr>
          <w:p w14:paraId="3F1996AD">
            <w:pPr>
              <w:pStyle w:val="96"/>
              <w:spacing w:line="240" w:lineRule="auto"/>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NOx</w:t>
            </w:r>
          </w:p>
        </w:tc>
        <w:tc>
          <w:tcPr>
            <w:tcW w:w="239" w:type="pct"/>
            <w:vMerge w:val="continue"/>
            <w:tcBorders>
              <w:tl2br w:val="nil"/>
              <w:tr2bl w:val="nil"/>
            </w:tcBorders>
            <w:vAlign w:val="center"/>
          </w:tcPr>
          <w:p w14:paraId="2921D5AA">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p>
        </w:tc>
        <w:tc>
          <w:tcPr>
            <w:tcW w:w="222" w:type="pct"/>
            <w:tcBorders>
              <w:tl2br w:val="nil"/>
              <w:tr2bl w:val="nil"/>
            </w:tcBorders>
            <w:vAlign w:val="center"/>
          </w:tcPr>
          <w:p w14:paraId="42647382">
            <w:pPr>
              <w:pStyle w:val="96"/>
              <w:spacing w:line="240" w:lineRule="auto"/>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10000</w:t>
            </w:r>
          </w:p>
        </w:tc>
        <w:tc>
          <w:tcPr>
            <w:tcW w:w="282" w:type="pct"/>
            <w:tcBorders>
              <w:tl2br w:val="nil"/>
              <w:tr2bl w:val="nil"/>
            </w:tcBorders>
            <w:vAlign w:val="center"/>
          </w:tcPr>
          <w:p w14:paraId="0F1B1476">
            <w:pPr>
              <w:pStyle w:val="96"/>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87</w:t>
            </w:r>
          </w:p>
        </w:tc>
        <w:tc>
          <w:tcPr>
            <w:tcW w:w="215" w:type="pct"/>
            <w:tcBorders>
              <w:tl2br w:val="nil"/>
              <w:tr2bl w:val="nil"/>
            </w:tcBorders>
            <w:vAlign w:val="center"/>
          </w:tcPr>
          <w:p w14:paraId="4697C3A2">
            <w:pPr>
              <w:pStyle w:val="96"/>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0.87</w:t>
            </w:r>
          </w:p>
        </w:tc>
        <w:tc>
          <w:tcPr>
            <w:tcW w:w="272" w:type="pct"/>
            <w:tcBorders>
              <w:tl2br w:val="nil"/>
              <w:tr2bl w:val="nil"/>
            </w:tcBorders>
            <w:vAlign w:val="center"/>
          </w:tcPr>
          <w:p w14:paraId="4FB70853">
            <w:pPr>
              <w:pStyle w:val="96"/>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0.94</w:t>
            </w:r>
          </w:p>
        </w:tc>
        <w:tc>
          <w:tcPr>
            <w:tcW w:w="116" w:type="pct"/>
            <w:tcBorders>
              <w:tl2br w:val="nil"/>
              <w:tr2bl w:val="nil"/>
            </w:tcBorders>
            <w:vAlign w:val="center"/>
          </w:tcPr>
          <w:p w14:paraId="64644EB5">
            <w:pPr>
              <w:pStyle w:val="96"/>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有组织</w:t>
            </w:r>
          </w:p>
        </w:tc>
        <w:tc>
          <w:tcPr>
            <w:tcW w:w="166" w:type="pct"/>
            <w:tcBorders>
              <w:tl2br w:val="nil"/>
              <w:tr2bl w:val="nil"/>
            </w:tcBorders>
            <w:vAlign w:val="center"/>
          </w:tcPr>
          <w:p w14:paraId="1C315B45">
            <w:pPr>
              <w:pStyle w:val="96"/>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低氮燃烧</w:t>
            </w:r>
          </w:p>
        </w:tc>
        <w:tc>
          <w:tcPr>
            <w:tcW w:w="182" w:type="pct"/>
            <w:tcBorders>
              <w:tl2br w:val="nil"/>
              <w:tr2bl w:val="nil"/>
            </w:tcBorders>
            <w:vAlign w:val="center"/>
          </w:tcPr>
          <w:p w14:paraId="2DCFA19A">
            <w:pPr>
              <w:pStyle w:val="96"/>
              <w:spacing w:line="240" w:lineRule="auto"/>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100</w:t>
            </w:r>
            <w:r>
              <w:rPr>
                <w:rFonts w:hint="eastAsia" w:ascii="Times New Roman" w:hAnsi="Times New Roman" w:cs="Times New Roman"/>
                <w:color w:val="auto"/>
                <w:sz w:val="21"/>
                <w:szCs w:val="21"/>
                <w:highlight w:val="none"/>
              </w:rPr>
              <w:t>%</w:t>
            </w:r>
          </w:p>
        </w:tc>
        <w:tc>
          <w:tcPr>
            <w:tcW w:w="202" w:type="pct"/>
            <w:tcBorders>
              <w:tl2br w:val="nil"/>
              <w:tr2bl w:val="nil"/>
            </w:tcBorders>
            <w:vAlign w:val="center"/>
          </w:tcPr>
          <w:p w14:paraId="009C1F32">
            <w:pPr>
              <w:pStyle w:val="96"/>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30</w:t>
            </w:r>
            <w:r>
              <w:rPr>
                <w:rFonts w:hint="eastAsia" w:ascii="Times New Roman" w:hAnsi="Times New Roman" w:cs="Times New Roman"/>
                <w:color w:val="auto"/>
                <w:sz w:val="21"/>
                <w:szCs w:val="21"/>
                <w:highlight w:val="none"/>
              </w:rPr>
              <w:t>%</w:t>
            </w:r>
          </w:p>
        </w:tc>
        <w:tc>
          <w:tcPr>
            <w:tcW w:w="210" w:type="pct"/>
            <w:tcBorders>
              <w:tl2br w:val="nil"/>
              <w:tr2bl w:val="nil"/>
            </w:tcBorders>
            <w:vAlign w:val="center"/>
          </w:tcPr>
          <w:p w14:paraId="75D5DBAA">
            <w:pPr>
              <w:pStyle w:val="96"/>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是</w:t>
            </w:r>
          </w:p>
        </w:tc>
        <w:tc>
          <w:tcPr>
            <w:tcW w:w="222" w:type="pct"/>
            <w:tcBorders>
              <w:tl2br w:val="nil"/>
              <w:tr2bl w:val="nil"/>
            </w:tcBorders>
            <w:shd w:val="clear" w:color="auto" w:fill="auto"/>
            <w:vAlign w:val="center"/>
          </w:tcPr>
          <w:p w14:paraId="37769D58">
            <w:pPr>
              <w:pStyle w:val="96"/>
              <w:spacing w:line="240" w:lineRule="auto"/>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10000</w:t>
            </w:r>
          </w:p>
        </w:tc>
        <w:tc>
          <w:tcPr>
            <w:tcW w:w="230" w:type="pct"/>
            <w:tcBorders>
              <w:tl2br w:val="nil"/>
              <w:tr2bl w:val="nil"/>
            </w:tcBorders>
            <w:vAlign w:val="center"/>
          </w:tcPr>
          <w:p w14:paraId="3706FF93">
            <w:pPr>
              <w:pStyle w:val="96"/>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61</w:t>
            </w:r>
          </w:p>
        </w:tc>
        <w:tc>
          <w:tcPr>
            <w:tcW w:w="216" w:type="pct"/>
            <w:tcBorders>
              <w:tl2br w:val="nil"/>
              <w:tr2bl w:val="nil"/>
            </w:tcBorders>
            <w:vAlign w:val="center"/>
          </w:tcPr>
          <w:p w14:paraId="00D7ECEE">
            <w:pPr>
              <w:pStyle w:val="96"/>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0.61</w:t>
            </w:r>
          </w:p>
        </w:tc>
        <w:tc>
          <w:tcPr>
            <w:tcW w:w="218" w:type="pct"/>
            <w:tcBorders>
              <w:tl2br w:val="nil"/>
              <w:tr2bl w:val="nil"/>
            </w:tcBorders>
            <w:vAlign w:val="center"/>
          </w:tcPr>
          <w:p w14:paraId="63BDEDEF">
            <w:pPr>
              <w:pStyle w:val="96"/>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0.658</w:t>
            </w:r>
          </w:p>
        </w:tc>
        <w:tc>
          <w:tcPr>
            <w:tcW w:w="315" w:type="pct"/>
            <w:vMerge w:val="continue"/>
            <w:tcBorders>
              <w:tl2br w:val="nil"/>
              <w:tr2bl w:val="nil"/>
            </w:tcBorders>
            <w:vAlign w:val="center"/>
          </w:tcPr>
          <w:p w14:paraId="227615B4">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p>
        </w:tc>
        <w:tc>
          <w:tcPr>
            <w:tcW w:w="306" w:type="pct"/>
            <w:vMerge w:val="continue"/>
            <w:tcBorders>
              <w:tl2br w:val="nil"/>
              <w:tr2bl w:val="nil"/>
            </w:tcBorders>
            <w:vAlign w:val="center"/>
          </w:tcPr>
          <w:p w14:paraId="4FAF600B">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p>
        </w:tc>
        <w:tc>
          <w:tcPr>
            <w:tcW w:w="545" w:type="pct"/>
            <w:vMerge w:val="continue"/>
            <w:tcBorders>
              <w:tl2br w:val="nil"/>
              <w:tr2bl w:val="nil"/>
            </w:tcBorders>
            <w:vAlign w:val="center"/>
          </w:tcPr>
          <w:p w14:paraId="3D7C7960">
            <w:pPr>
              <w:pStyle w:val="96"/>
              <w:spacing w:line="240" w:lineRule="auto"/>
              <w:jc w:val="center"/>
              <w:rPr>
                <w:rFonts w:hint="eastAsia" w:ascii="Times New Roman" w:hAnsi="Times New Roman" w:cs="Times New Roman"/>
                <w:color w:val="000000" w:themeColor="text1"/>
                <w:sz w:val="21"/>
                <w:szCs w:val="21"/>
                <w:highlight w:val="none"/>
                <w:shd w:val="clear"/>
                <w14:textFill>
                  <w14:solidFill>
                    <w14:schemeClr w14:val="tx1"/>
                  </w14:solidFill>
                </w14:textFill>
              </w:rPr>
            </w:pPr>
          </w:p>
        </w:tc>
        <w:tc>
          <w:tcPr>
            <w:tcW w:w="260" w:type="pct"/>
            <w:vMerge w:val="continue"/>
            <w:tcBorders>
              <w:tl2br w:val="nil"/>
              <w:tr2bl w:val="nil"/>
            </w:tcBorders>
            <w:vAlign w:val="center"/>
          </w:tcPr>
          <w:p w14:paraId="71E4F717">
            <w:pPr>
              <w:pStyle w:val="96"/>
              <w:spacing w:line="240" w:lineRule="auto"/>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p>
        </w:tc>
      </w:tr>
      <w:tr w14:paraId="4D4CD0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244" w:type="pct"/>
            <w:vMerge w:val="continue"/>
            <w:tcBorders>
              <w:tl2br w:val="nil"/>
              <w:tr2bl w:val="nil"/>
            </w:tcBorders>
            <w:vAlign w:val="center"/>
          </w:tcPr>
          <w:p w14:paraId="6A3720CF">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p>
        </w:tc>
        <w:tc>
          <w:tcPr>
            <w:tcW w:w="138" w:type="pct"/>
            <w:vMerge w:val="continue"/>
            <w:tcBorders>
              <w:tl2br w:val="nil"/>
              <w:tr2bl w:val="nil"/>
            </w:tcBorders>
            <w:vAlign w:val="center"/>
          </w:tcPr>
          <w:p w14:paraId="12464F98">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p>
        </w:tc>
        <w:tc>
          <w:tcPr>
            <w:tcW w:w="192" w:type="pct"/>
            <w:tcBorders>
              <w:tl2br w:val="nil"/>
              <w:tr2bl w:val="nil"/>
            </w:tcBorders>
            <w:vAlign w:val="center"/>
          </w:tcPr>
          <w:p w14:paraId="01F4CE4E">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颗粒物</w:t>
            </w:r>
          </w:p>
        </w:tc>
        <w:tc>
          <w:tcPr>
            <w:tcW w:w="239" w:type="pct"/>
            <w:vMerge w:val="continue"/>
            <w:tcBorders>
              <w:tl2br w:val="nil"/>
              <w:tr2bl w:val="nil"/>
            </w:tcBorders>
            <w:vAlign w:val="center"/>
          </w:tcPr>
          <w:p w14:paraId="63BA2C4E">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p>
        </w:tc>
        <w:tc>
          <w:tcPr>
            <w:tcW w:w="222" w:type="pct"/>
            <w:tcBorders>
              <w:tl2br w:val="nil"/>
              <w:tr2bl w:val="nil"/>
            </w:tcBorders>
            <w:vAlign w:val="center"/>
          </w:tcPr>
          <w:p w14:paraId="5F481C7C">
            <w:pPr>
              <w:pStyle w:val="96"/>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10000</w:t>
            </w:r>
          </w:p>
        </w:tc>
        <w:tc>
          <w:tcPr>
            <w:tcW w:w="282" w:type="pct"/>
            <w:tcBorders>
              <w:tl2br w:val="nil"/>
              <w:tr2bl w:val="nil"/>
            </w:tcBorders>
            <w:vAlign w:val="center"/>
          </w:tcPr>
          <w:p w14:paraId="2A5F7434">
            <w:pPr>
              <w:pStyle w:val="96"/>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43</w:t>
            </w:r>
          </w:p>
        </w:tc>
        <w:tc>
          <w:tcPr>
            <w:tcW w:w="215" w:type="pct"/>
            <w:tcBorders>
              <w:tl2br w:val="nil"/>
              <w:tr2bl w:val="nil"/>
            </w:tcBorders>
            <w:vAlign w:val="center"/>
          </w:tcPr>
          <w:p w14:paraId="5C89FADD">
            <w:pPr>
              <w:pStyle w:val="96"/>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0.43</w:t>
            </w:r>
          </w:p>
        </w:tc>
        <w:tc>
          <w:tcPr>
            <w:tcW w:w="272" w:type="pct"/>
            <w:tcBorders>
              <w:tl2br w:val="nil"/>
              <w:tr2bl w:val="nil"/>
            </w:tcBorders>
            <w:vAlign w:val="center"/>
          </w:tcPr>
          <w:p w14:paraId="3DB2C7D9">
            <w:pPr>
              <w:pStyle w:val="96"/>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0.46</w:t>
            </w:r>
          </w:p>
        </w:tc>
        <w:tc>
          <w:tcPr>
            <w:tcW w:w="116" w:type="pct"/>
            <w:tcBorders>
              <w:tl2br w:val="nil"/>
              <w:tr2bl w:val="nil"/>
            </w:tcBorders>
            <w:vAlign w:val="center"/>
          </w:tcPr>
          <w:p w14:paraId="48FF0768">
            <w:pPr>
              <w:pStyle w:val="96"/>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有组织</w:t>
            </w:r>
          </w:p>
        </w:tc>
        <w:tc>
          <w:tcPr>
            <w:tcW w:w="166" w:type="pct"/>
            <w:tcBorders>
              <w:tl2br w:val="nil"/>
              <w:tr2bl w:val="nil"/>
            </w:tcBorders>
            <w:vAlign w:val="center"/>
          </w:tcPr>
          <w:p w14:paraId="76B88681">
            <w:pPr>
              <w:pStyle w:val="96"/>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多管除尘+布袋除尘器</w:t>
            </w:r>
          </w:p>
        </w:tc>
        <w:tc>
          <w:tcPr>
            <w:tcW w:w="182" w:type="pct"/>
            <w:tcBorders>
              <w:tl2br w:val="nil"/>
              <w:tr2bl w:val="nil"/>
            </w:tcBorders>
            <w:vAlign w:val="center"/>
          </w:tcPr>
          <w:p w14:paraId="48C9EAC8">
            <w:pPr>
              <w:pStyle w:val="96"/>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100</w:t>
            </w:r>
            <w:r>
              <w:rPr>
                <w:rFonts w:hint="eastAsia" w:ascii="Times New Roman" w:hAnsi="Times New Roman" w:cs="Times New Roman"/>
                <w:color w:val="auto"/>
                <w:sz w:val="21"/>
                <w:szCs w:val="21"/>
                <w:highlight w:val="none"/>
              </w:rPr>
              <w:t>%</w:t>
            </w:r>
          </w:p>
        </w:tc>
        <w:tc>
          <w:tcPr>
            <w:tcW w:w="202" w:type="pct"/>
            <w:tcBorders>
              <w:tl2br w:val="nil"/>
              <w:tr2bl w:val="nil"/>
            </w:tcBorders>
            <w:vAlign w:val="center"/>
          </w:tcPr>
          <w:p w14:paraId="7476E97E">
            <w:pPr>
              <w:pStyle w:val="96"/>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99.5</w:t>
            </w:r>
            <w:r>
              <w:rPr>
                <w:rFonts w:hint="eastAsia" w:ascii="Times New Roman" w:hAnsi="Times New Roman" w:cs="Times New Roman"/>
                <w:color w:val="auto"/>
                <w:sz w:val="21"/>
                <w:szCs w:val="21"/>
                <w:highlight w:val="none"/>
              </w:rPr>
              <w:t>%</w:t>
            </w:r>
          </w:p>
        </w:tc>
        <w:tc>
          <w:tcPr>
            <w:tcW w:w="210" w:type="pct"/>
            <w:tcBorders>
              <w:tl2br w:val="nil"/>
              <w:tr2bl w:val="nil"/>
            </w:tcBorders>
            <w:vAlign w:val="center"/>
          </w:tcPr>
          <w:p w14:paraId="45CAFA11">
            <w:pPr>
              <w:pStyle w:val="96"/>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是</w:t>
            </w:r>
          </w:p>
        </w:tc>
        <w:tc>
          <w:tcPr>
            <w:tcW w:w="222" w:type="pct"/>
            <w:tcBorders>
              <w:tl2br w:val="nil"/>
              <w:tr2bl w:val="nil"/>
            </w:tcBorders>
            <w:shd w:val="clear" w:color="auto" w:fill="auto"/>
            <w:vAlign w:val="center"/>
          </w:tcPr>
          <w:p w14:paraId="35C7C531">
            <w:pPr>
              <w:pStyle w:val="96"/>
              <w:spacing w:line="240" w:lineRule="auto"/>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10000</w:t>
            </w:r>
          </w:p>
        </w:tc>
        <w:tc>
          <w:tcPr>
            <w:tcW w:w="230" w:type="pct"/>
            <w:tcBorders>
              <w:tl2br w:val="nil"/>
              <w:tr2bl w:val="nil"/>
            </w:tcBorders>
            <w:vAlign w:val="center"/>
          </w:tcPr>
          <w:p w14:paraId="307CC07E">
            <w:pPr>
              <w:pStyle w:val="96"/>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0.22</w:t>
            </w:r>
          </w:p>
        </w:tc>
        <w:tc>
          <w:tcPr>
            <w:tcW w:w="216" w:type="pct"/>
            <w:tcBorders>
              <w:tl2br w:val="nil"/>
              <w:tr2bl w:val="nil"/>
            </w:tcBorders>
            <w:vAlign w:val="center"/>
          </w:tcPr>
          <w:p w14:paraId="4578B842">
            <w:pPr>
              <w:pStyle w:val="96"/>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0.002</w:t>
            </w:r>
          </w:p>
        </w:tc>
        <w:tc>
          <w:tcPr>
            <w:tcW w:w="218" w:type="pct"/>
            <w:tcBorders>
              <w:tl2br w:val="nil"/>
              <w:tr2bl w:val="nil"/>
            </w:tcBorders>
            <w:vAlign w:val="center"/>
          </w:tcPr>
          <w:p w14:paraId="0DC2A6CB">
            <w:pPr>
              <w:pStyle w:val="96"/>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0.0023</w:t>
            </w:r>
          </w:p>
        </w:tc>
        <w:tc>
          <w:tcPr>
            <w:tcW w:w="315" w:type="pct"/>
            <w:vMerge w:val="continue"/>
            <w:tcBorders>
              <w:tl2br w:val="nil"/>
              <w:tr2bl w:val="nil"/>
            </w:tcBorders>
            <w:vAlign w:val="center"/>
          </w:tcPr>
          <w:p w14:paraId="4D7F9E7D">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p>
        </w:tc>
        <w:tc>
          <w:tcPr>
            <w:tcW w:w="306" w:type="pct"/>
            <w:vMerge w:val="continue"/>
            <w:tcBorders>
              <w:tl2br w:val="nil"/>
              <w:tr2bl w:val="nil"/>
            </w:tcBorders>
            <w:vAlign w:val="center"/>
          </w:tcPr>
          <w:p w14:paraId="60BD86FC">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p>
        </w:tc>
        <w:tc>
          <w:tcPr>
            <w:tcW w:w="545" w:type="pct"/>
            <w:vMerge w:val="continue"/>
            <w:tcBorders>
              <w:tl2br w:val="nil"/>
              <w:tr2bl w:val="nil"/>
            </w:tcBorders>
            <w:vAlign w:val="center"/>
          </w:tcPr>
          <w:p w14:paraId="0096141C">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p>
        </w:tc>
        <w:tc>
          <w:tcPr>
            <w:tcW w:w="260" w:type="pct"/>
            <w:vMerge w:val="continue"/>
            <w:tcBorders>
              <w:tl2br w:val="nil"/>
              <w:tr2bl w:val="nil"/>
            </w:tcBorders>
            <w:vAlign w:val="center"/>
          </w:tcPr>
          <w:p w14:paraId="1ADA2636">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p>
        </w:tc>
      </w:tr>
      <w:tr w14:paraId="3DF8F2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244" w:type="pct"/>
            <w:tcBorders>
              <w:tl2br w:val="nil"/>
              <w:tr2bl w:val="nil"/>
            </w:tcBorders>
            <w:vAlign w:val="center"/>
          </w:tcPr>
          <w:p w14:paraId="6FED3792">
            <w:pPr>
              <w:pStyle w:val="96"/>
              <w:spacing w:line="240" w:lineRule="auto"/>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水泥、石灰、铝粉料仓呼吸孔</w:t>
            </w:r>
          </w:p>
          <w:p w14:paraId="63F84522">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p>
        </w:tc>
        <w:tc>
          <w:tcPr>
            <w:tcW w:w="138" w:type="pct"/>
            <w:tcBorders>
              <w:tl2br w:val="nil"/>
              <w:tr2bl w:val="nil"/>
            </w:tcBorders>
            <w:vAlign w:val="center"/>
          </w:tcPr>
          <w:p w14:paraId="20731925">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水泥、石灰、铝粉料仓呼吸孔</w:t>
            </w:r>
          </w:p>
        </w:tc>
        <w:tc>
          <w:tcPr>
            <w:tcW w:w="192" w:type="pct"/>
            <w:tcBorders>
              <w:tl2br w:val="nil"/>
              <w:tr2bl w:val="nil"/>
            </w:tcBorders>
            <w:vAlign w:val="center"/>
          </w:tcPr>
          <w:p w14:paraId="21FBABF2">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颗粒物</w:t>
            </w:r>
          </w:p>
        </w:tc>
        <w:tc>
          <w:tcPr>
            <w:tcW w:w="239" w:type="pct"/>
            <w:vMerge w:val="restart"/>
            <w:tcBorders>
              <w:tl2br w:val="nil"/>
              <w:tr2bl w:val="nil"/>
            </w:tcBorders>
            <w:vAlign w:val="center"/>
          </w:tcPr>
          <w:p w14:paraId="06F83B74">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产污系数法</w:t>
            </w:r>
          </w:p>
        </w:tc>
        <w:tc>
          <w:tcPr>
            <w:tcW w:w="222" w:type="pct"/>
            <w:tcBorders>
              <w:tl2br w:val="nil"/>
              <w:tr2bl w:val="nil"/>
            </w:tcBorders>
            <w:vAlign w:val="center"/>
          </w:tcPr>
          <w:p w14:paraId="0FC02F91">
            <w:pPr>
              <w:rPr>
                <w:rFonts w:hint="default" w:eastAsia="宋体"/>
                <w:lang w:val="en-US" w:eastAsia="zh-CN"/>
              </w:rPr>
            </w:pPr>
            <w:r>
              <w:rPr>
                <w:rFonts w:hint="eastAsia" w:ascii="Times New Roman" w:hAnsi="Times New Roman" w:eastAsia="宋体" w:cs="Times New Roman"/>
                <w:snapToGrid w:val="0"/>
                <w:color w:val="auto"/>
                <w:spacing w:val="4"/>
                <w:sz w:val="21"/>
                <w:szCs w:val="21"/>
                <w:highlight w:val="none"/>
                <w:lang w:val="en-US" w:eastAsia="zh-CN" w:bidi="ar-SA"/>
              </w:rPr>
              <w:t>35000</w:t>
            </w:r>
          </w:p>
        </w:tc>
        <w:tc>
          <w:tcPr>
            <w:tcW w:w="282" w:type="pct"/>
            <w:tcBorders>
              <w:tl2br w:val="nil"/>
              <w:tr2bl w:val="nil"/>
            </w:tcBorders>
            <w:vAlign w:val="center"/>
          </w:tcPr>
          <w:p w14:paraId="4B48EAEA">
            <w:pPr>
              <w:pStyle w:val="96"/>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143.71</w:t>
            </w:r>
          </w:p>
        </w:tc>
        <w:tc>
          <w:tcPr>
            <w:tcW w:w="215" w:type="pct"/>
            <w:tcBorders>
              <w:tl2br w:val="nil"/>
              <w:tr2bl w:val="nil"/>
            </w:tcBorders>
            <w:vAlign w:val="center"/>
          </w:tcPr>
          <w:p w14:paraId="44D4C660">
            <w:pPr>
              <w:pStyle w:val="96"/>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5.03</w:t>
            </w:r>
          </w:p>
        </w:tc>
        <w:tc>
          <w:tcPr>
            <w:tcW w:w="272" w:type="pct"/>
            <w:tcBorders>
              <w:tl2br w:val="nil"/>
              <w:tr2bl w:val="nil"/>
            </w:tcBorders>
            <w:vAlign w:val="center"/>
          </w:tcPr>
          <w:p w14:paraId="6A3F368D">
            <w:pPr>
              <w:pStyle w:val="96"/>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24.15</w:t>
            </w:r>
          </w:p>
        </w:tc>
        <w:tc>
          <w:tcPr>
            <w:tcW w:w="116" w:type="pct"/>
            <w:tcBorders>
              <w:tl2br w:val="nil"/>
              <w:tr2bl w:val="nil"/>
            </w:tcBorders>
            <w:vAlign w:val="center"/>
          </w:tcPr>
          <w:p w14:paraId="4B46475F">
            <w:pPr>
              <w:pStyle w:val="96"/>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无</w:t>
            </w:r>
            <w:r>
              <w:rPr>
                <w:rFonts w:hint="eastAsia" w:ascii="Times New Roman" w:hAnsi="Times New Roman" w:cs="Times New Roman"/>
                <w:color w:val="auto"/>
                <w:sz w:val="21"/>
                <w:szCs w:val="21"/>
                <w:highlight w:val="none"/>
              </w:rPr>
              <w:t>组织</w:t>
            </w:r>
          </w:p>
        </w:tc>
        <w:tc>
          <w:tcPr>
            <w:tcW w:w="166" w:type="pct"/>
            <w:tcBorders>
              <w:tl2br w:val="nil"/>
              <w:tr2bl w:val="nil"/>
            </w:tcBorders>
            <w:vAlign w:val="center"/>
          </w:tcPr>
          <w:p w14:paraId="3A3202AE">
            <w:pPr>
              <w:pStyle w:val="96"/>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布袋除尘器</w:t>
            </w:r>
          </w:p>
        </w:tc>
        <w:tc>
          <w:tcPr>
            <w:tcW w:w="182" w:type="pct"/>
            <w:tcBorders>
              <w:tl2br w:val="nil"/>
              <w:tr2bl w:val="nil"/>
            </w:tcBorders>
            <w:vAlign w:val="center"/>
          </w:tcPr>
          <w:p w14:paraId="69DFCAB4">
            <w:pPr>
              <w:pStyle w:val="96"/>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100</w:t>
            </w:r>
            <w:r>
              <w:rPr>
                <w:rFonts w:hint="eastAsia" w:ascii="Times New Roman" w:hAnsi="Times New Roman" w:cs="Times New Roman"/>
                <w:color w:val="auto"/>
                <w:sz w:val="21"/>
                <w:szCs w:val="21"/>
                <w:highlight w:val="none"/>
              </w:rPr>
              <w:t>%</w:t>
            </w:r>
          </w:p>
        </w:tc>
        <w:tc>
          <w:tcPr>
            <w:tcW w:w="202" w:type="pct"/>
            <w:tcBorders>
              <w:tl2br w:val="nil"/>
              <w:tr2bl w:val="nil"/>
            </w:tcBorders>
            <w:vAlign w:val="center"/>
          </w:tcPr>
          <w:p w14:paraId="6F987C0E">
            <w:pPr>
              <w:pStyle w:val="96"/>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99.7</w:t>
            </w:r>
            <w:r>
              <w:rPr>
                <w:rFonts w:hint="eastAsia" w:ascii="Times New Roman" w:hAnsi="Times New Roman" w:cs="Times New Roman"/>
                <w:color w:val="auto"/>
                <w:sz w:val="21"/>
                <w:szCs w:val="21"/>
                <w:highlight w:val="none"/>
              </w:rPr>
              <w:t>%</w:t>
            </w:r>
          </w:p>
        </w:tc>
        <w:tc>
          <w:tcPr>
            <w:tcW w:w="210" w:type="pct"/>
            <w:tcBorders>
              <w:tl2br w:val="nil"/>
              <w:tr2bl w:val="nil"/>
            </w:tcBorders>
            <w:vAlign w:val="center"/>
          </w:tcPr>
          <w:p w14:paraId="7D2A8EF4">
            <w:pPr>
              <w:pStyle w:val="96"/>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是</w:t>
            </w:r>
          </w:p>
        </w:tc>
        <w:tc>
          <w:tcPr>
            <w:tcW w:w="222" w:type="pct"/>
            <w:tcBorders>
              <w:tl2br w:val="nil"/>
              <w:tr2bl w:val="nil"/>
            </w:tcBorders>
            <w:shd w:val="clear" w:color="auto" w:fill="auto"/>
            <w:vAlign w:val="center"/>
          </w:tcPr>
          <w:p w14:paraId="6B1FC53B">
            <w:pPr>
              <w:pStyle w:val="96"/>
              <w:spacing w:line="240" w:lineRule="auto"/>
              <w:jc w:val="center"/>
              <w:rPr>
                <w:rFonts w:hint="default"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cs="Times New Roman"/>
                <w:snapToGrid w:val="0"/>
                <w:color w:val="auto"/>
                <w:spacing w:val="4"/>
                <w:sz w:val="21"/>
                <w:szCs w:val="21"/>
                <w:highlight w:val="none"/>
                <w:lang w:val="en-US" w:eastAsia="zh-CN" w:bidi="ar-SA"/>
              </w:rPr>
              <w:t>35000</w:t>
            </w:r>
          </w:p>
        </w:tc>
        <w:tc>
          <w:tcPr>
            <w:tcW w:w="230" w:type="pct"/>
            <w:tcBorders>
              <w:tl2br w:val="nil"/>
              <w:tr2bl w:val="nil"/>
            </w:tcBorders>
            <w:vAlign w:val="center"/>
          </w:tcPr>
          <w:p w14:paraId="4BBA9B5E">
            <w:pPr>
              <w:pStyle w:val="96"/>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0.43</w:t>
            </w:r>
          </w:p>
        </w:tc>
        <w:tc>
          <w:tcPr>
            <w:tcW w:w="216" w:type="pct"/>
            <w:tcBorders>
              <w:tl2br w:val="nil"/>
              <w:tr2bl w:val="nil"/>
            </w:tcBorders>
            <w:vAlign w:val="center"/>
          </w:tcPr>
          <w:p w14:paraId="419FB775">
            <w:pPr>
              <w:pStyle w:val="96"/>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0.015</w:t>
            </w:r>
          </w:p>
        </w:tc>
        <w:tc>
          <w:tcPr>
            <w:tcW w:w="218" w:type="pct"/>
            <w:tcBorders>
              <w:tl2br w:val="nil"/>
              <w:tr2bl w:val="nil"/>
            </w:tcBorders>
            <w:vAlign w:val="center"/>
          </w:tcPr>
          <w:p w14:paraId="196A7964">
            <w:pPr>
              <w:pStyle w:val="96"/>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0.072</w:t>
            </w:r>
          </w:p>
        </w:tc>
        <w:tc>
          <w:tcPr>
            <w:tcW w:w="315" w:type="pct"/>
            <w:tcBorders>
              <w:tl2br w:val="nil"/>
              <w:tr2bl w:val="nil"/>
            </w:tcBorders>
            <w:vAlign w:val="center"/>
          </w:tcPr>
          <w:p w14:paraId="17E957FC">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w:t>
            </w:r>
          </w:p>
        </w:tc>
        <w:tc>
          <w:tcPr>
            <w:tcW w:w="306" w:type="pct"/>
            <w:tcBorders>
              <w:tl2br w:val="nil"/>
              <w:tr2bl w:val="nil"/>
            </w:tcBorders>
            <w:vAlign w:val="center"/>
          </w:tcPr>
          <w:p w14:paraId="4F6A46CD">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w:t>
            </w:r>
          </w:p>
        </w:tc>
        <w:tc>
          <w:tcPr>
            <w:tcW w:w="545" w:type="pct"/>
            <w:tcBorders>
              <w:tl2br w:val="nil"/>
              <w:tr2bl w:val="nil"/>
            </w:tcBorders>
            <w:vAlign w:val="center"/>
          </w:tcPr>
          <w:p w14:paraId="357273F9">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w:t>
            </w:r>
          </w:p>
        </w:tc>
        <w:tc>
          <w:tcPr>
            <w:tcW w:w="260" w:type="pct"/>
            <w:vMerge w:val="restart"/>
            <w:tcBorders>
              <w:tl2br w:val="nil"/>
              <w:tr2bl w:val="nil"/>
            </w:tcBorders>
            <w:vAlign w:val="center"/>
          </w:tcPr>
          <w:p w14:paraId="65AF0365">
            <w:pPr>
              <w:pStyle w:val="96"/>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4800</w:t>
            </w:r>
          </w:p>
        </w:tc>
      </w:tr>
      <w:tr w14:paraId="6706EC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244" w:type="pct"/>
            <w:tcBorders>
              <w:tl2br w:val="nil"/>
              <w:tr2bl w:val="nil"/>
            </w:tcBorders>
            <w:vAlign w:val="center"/>
          </w:tcPr>
          <w:p w14:paraId="0DA5399A">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搅拌进料系统</w:t>
            </w:r>
          </w:p>
        </w:tc>
        <w:tc>
          <w:tcPr>
            <w:tcW w:w="138" w:type="pct"/>
            <w:tcBorders>
              <w:tl2br w:val="nil"/>
              <w:tr2bl w:val="nil"/>
            </w:tcBorders>
            <w:vAlign w:val="center"/>
          </w:tcPr>
          <w:p w14:paraId="4BD49903">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搅拌进料系统</w:t>
            </w:r>
          </w:p>
        </w:tc>
        <w:tc>
          <w:tcPr>
            <w:tcW w:w="192" w:type="pct"/>
            <w:tcBorders>
              <w:tl2br w:val="nil"/>
              <w:tr2bl w:val="nil"/>
            </w:tcBorders>
            <w:vAlign w:val="center"/>
          </w:tcPr>
          <w:p w14:paraId="195B8535">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颗粒物</w:t>
            </w:r>
          </w:p>
        </w:tc>
        <w:tc>
          <w:tcPr>
            <w:tcW w:w="239" w:type="pct"/>
            <w:vMerge w:val="continue"/>
            <w:tcBorders>
              <w:tl2br w:val="nil"/>
              <w:tr2bl w:val="nil"/>
            </w:tcBorders>
            <w:vAlign w:val="center"/>
          </w:tcPr>
          <w:p w14:paraId="6E477459">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p>
        </w:tc>
        <w:tc>
          <w:tcPr>
            <w:tcW w:w="222" w:type="pct"/>
            <w:tcBorders>
              <w:tl2br w:val="nil"/>
              <w:tr2bl w:val="nil"/>
            </w:tcBorders>
            <w:vAlign w:val="center"/>
          </w:tcPr>
          <w:p w14:paraId="3E7849CB">
            <w:pPr>
              <w:pStyle w:val="96"/>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30000</w:t>
            </w:r>
          </w:p>
        </w:tc>
        <w:tc>
          <w:tcPr>
            <w:tcW w:w="282" w:type="pct"/>
            <w:tcBorders>
              <w:tl2br w:val="nil"/>
              <w:tr2bl w:val="nil"/>
            </w:tcBorders>
            <w:vAlign w:val="center"/>
          </w:tcPr>
          <w:p w14:paraId="22E2FAC6">
            <w:pPr>
              <w:pStyle w:val="96"/>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111.3</w:t>
            </w:r>
          </w:p>
        </w:tc>
        <w:tc>
          <w:tcPr>
            <w:tcW w:w="215" w:type="pct"/>
            <w:tcBorders>
              <w:tl2br w:val="nil"/>
              <w:tr2bl w:val="nil"/>
            </w:tcBorders>
            <w:vAlign w:val="center"/>
          </w:tcPr>
          <w:p w14:paraId="0BE7BD7D">
            <w:pPr>
              <w:pStyle w:val="96"/>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3.34</w:t>
            </w:r>
          </w:p>
        </w:tc>
        <w:tc>
          <w:tcPr>
            <w:tcW w:w="272" w:type="pct"/>
            <w:tcBorders>
              <w:tl2br w:val="nil"/>
              <w:tr2bl w:val="nil"/>
            </w:tcBorders>
            <w:vAlign w:val="center"/>
          </w:tcPr>
          <w:p w14:paraId="36A01727">
            <w:pPr>
              <w:pStyle w:val="96"/>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16.04</w:t>
            </w:r>
          </w:p>
        </w:tc>
        <w:tc>
          <w:tcPr>
            <w:tcW w:w="116" w:type="pct"/>
            <w:tcBorders>
              <w:tl2br w:val="nil"/>
              <w:tr2bl w:val="nil"/>
            </w:tcBorders>
            <w:vAlign w:val="center"/>
          </w:tcPr>
          <w:p w14:paraId="2AE68E9E">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无组织</w:t>
            </w:r>
          </w:p>
        </w:tc>
        <w:tc>
          <w:tcPr>
            <w:tcW w:w="166" w:type="pct"/>
            <w:tcBorders>
              <w:tl2br w:val="nil"/>
              <w:tr2bl w:val="nil"/>
            </w:tcBorders>
            <w:vAlign w:val="center"/>
          </w:tcPr>
          <w:p w14:paraId="35A02F1E">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auto"/>
                <w:sz w:val="21"/>
                <w:szCs w:val="21"/>
                <w:highlight w:val="none"/>
                <w:lang w:val="en-US" w:eastAsia="zh-CN"/>
              </w:rPr>
              <w:t>布袋除尘器</w:t>
            </w:r>
          </w:p>
        </w:tc>
        <w:tc>
          <w:tcPr>
            <w:tcW w:w="182" w:type="pct"/>
            <w:tcBorders>
              <w:tl2br w:val="nil"/>
              <w:tr2bl w:val="nil"/>
            </w:tcBorders>
            <w:vAlign w:val="center"/>
          </w:tcPr>
          <w:p w14:paraId="64F46351">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auto"/>
                <w:sz w:val="21"/>
                <w:szCs w:val="21"/>
                <w:highlight w:val="none"/>
                <w:lang w:val="en-US" w:eastAsia="zh-CN"/>
              </w:rPr>
              <w:t>100</w:t>
            </w:r>
            <w:r>
              <w:rPr>
                <w:rFonts w:hint="eastAsia" w:ascii="Times New Roman" w:hAnsi="Times New Roman" w:cs="Times New Roman"/>
                <w:color w:val="auto"/>
                <w:sz w:val="21"/>
                <w:szCs w:val="21"/>
                <w:highlight w:val="none"/>
              </w:rPr>
              <w:t>%</w:t>
            </w:r>
          </w:p>
        </w:tc>
        <w:tc>
          <w:tcPr>
            <w:tcW w:w="202" w:type="pct"/>
            <w:tcBorders>
              <w:tl2br w:val="nil"/>
              <w:tr2bl w:val="nil"/>
            </w:tcBorders>
            <w:vAlign w:val="center"/>
          </w:tcPr>
          <w:p w14:paraId="2316D723">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99.7</w:t>
            </w:r>
            <w:r>
              <w:rPr>
                <w:rFonts w:hint="eastAsia" w:ascii="Times New Roman" w:hAnsi="Times New Roman" w:cs="Times New Roman"/>
                <w:color w:val="000000" w:themeColor="text1"/>
                <w:sz w:val="21"/>
                <w:szCs w:val="21"/>
                <w:highlight w:val="none"/>
                <w14:textFill>
                  <w14:solidFill>
                    <w14:schemeClr w14:val="tx1"/>
                  </w14:solidFill>
                </w14:textFill>
              </w:rPr>
              <w:t>%</w:t>
            </w:r>
          </w:p>
        </w:tc>
        <w:tc>
          <w:tcPr>
            <w:tcW w:w="210" w:type="pct"/>
            <w:tcBorders>
              <w:tl2br w:val="nil"/>
              <w:tr2bl w:val="nil"/>
            </w:tcBorders>
            <w:vAlign w:val="center"/>
          </w:tcPr>
          <w:p w14:paraId="4BAEB7D7">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auto"/>
                <w:sz w:val="21"/>
                <w:szCs w:val="21"/>
                <w:highlight w:val="none"/>
              </w:rPr>
              <w:t>是</w:t>
            </w:r>
          </w:p>
        </w:tc>
        <w:tc>
          <w:tcPr>
            <w:tcW w:w="222" w:type="pct"/>
            <w:tcBorders>
              <w:tl2br w:val="nil"/>
              <w:tr2bl w:val="nil"/>
            </w:tcBorders>
            <w:shd w:val="clear" w:color="auto" w:fill="auto"/>
            <w:vAlign w:val="center"/>
          </w:tcPr>
          <w:p w14:paraId="7D32DE1B">
            <w:pPr>
              <w:pStyle w:val="96"/>
              <w:spacing w:line="240" w:lineRule="auto"/>
              <w:jc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spacing w:val="4"/>
                <w:sz w:val="21"/>
                <w:szCs w:val="21"/>
                <w:highlight w:val="none"/>
                <w:lang w:val="en-US" w:eastAsia="zh-CN" w:bidi="ar-SA"/>
                <w14:textFill>
                  <w14:solidFill>
                    <w14:schemeClr w14:val="tx1"/>
                  </w14:solidFill>
                </w14:textFill>
              </w:rPr>
              <w:t>30000</w:t>
            </w:r>
          </w:p>
        </w:tc>
        <w:tc>
          <w:tcPr>
            <w:tcW w:w="230" w:type="pct"/>
            <w:tcBorders>
              <w:tl2br w:val="nil"/>
              <w:tr2bl w:val="nil"/>
            </w:tcBorders>
            <w:vAlign w:val="center"/>
          </w:tcPr>
          <w:p w14:paraId="0BF8F4BD">
            <w:pPr>
              <w:pStyle w:val="96"/>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0.33</w:t>
            </w:r>
          </w:p>
        </w:tc>
        <w:tc>
          <w:tcPr>
            <w:tcW w:w="216" w:type="pct"/>
            <w:tcBorders>
              <w:tl2br w:val="nil"/>
              <w:tr2bl w:val="nil"/>
            </w:tcBorders>
            <w:vAlign w:val="center"/>
          </w:tcPr>
          <w:p w14:paraId="3A1D3BCA">
            <w:pPr>
              <w:pStyle w:val="96"/>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0.01</w:t>
            </w:r>
          </w:p>
        </w:tc>
        <w:tc>
          <w:tcPr>
            <w:tcW w:w="218" w:type="pct"/>
            <w:tcBorders>
              <w:tl2br w:val="nil"/>
              <w:tr2bl w:val="nil"/>
            </w:tcBorders>
            <w:vAlign w:val="center"/>
          </w:tcPr>
          <w:p w14:paraId="5477D057">
            <w:pPr>
              <w:pStyle w:val="96"/>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0.048</w:t>
            </w:r>
          </w:p>
        </w:tc>
        <w:tc>
          <w:tcPr>
            <w:tcW w:w="315" w:type="pct"/>
            <w:tcBorders>
              <w:tl2br w:val="nil"/>
              <w:tr2bl w:val="nil"/>
            </w:tcBorders>
            <w:vAlign w:val="center"/>
          </w:tcPr>
          <w:p w14:paraId="11849073">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w:t>
            </w:r>
          </w:p>
        </w:tc>
        <w:tc>
          <w:tcPr>
            <w:tcW w:w="306" w:type="pct"/>
            <w:tcBorders>
              <w:tl2br w:val="nil"/>
              <w:tr2bl w:val="nil"/>
            </w:tcBorders>
            <w:vAlign w:val="center"/>
          </w:tcPr>
          <w:p w14:paraId="313E1FC6">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w:t>
            </w:r>
          </w:p>
        </w:tc>
        <w:tc>
          <w:tcPr>
            <w:tcW w:w="545" w:type="pct"/>
            <w:tcBorders>
              <w:tl2br w:val="nil"/>
              <w:tr2bl w:val="nil"/>
            </w:tcBorders>
            <w:vAlign w:val="center"/>
          </w:tcPr>
          <w:p w14:paraId="4B43729C">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w:t>
            </w:r>
          </w:p>
        </w:tc>
        <w:tc>
          <w:tcPr>
            <w:tcW w:w="260" w:type="pct"/>
            <w:vMerge w:val="continue"/>
            <w:tcBorders>
              <w:tl2br w:val="nil"/>
              <w:tr2bl w:val="nil"/>
            </w:tcBorders>
            <w:vAlign w:val="center"/>
          </w:tcPr>
          <w:p w14:paraId="073CBB26">
            <w:pPr>
              <w:pStyle w:val="96"/>
              <w:spacing w:line="240" w:lineRule="auto"/>
              <w:jc w:val="center"/>
              <w:rPr>
                <w:rFonts w:hint="eastAsia" w:ascii="Times New Roman" w:hAnsi="Times New Roman" w:cs="Times New Roman"/>
                <w:color w:val="000000" w:themeColor="text1"/>
                <w:sz w:val="21"/>
                <w:szCs w:val="21"/>
                <w:highlight w:val="none"/>
                <w14:textFill>
                  <w14:solidFill>
                    <w14:schemeClr w14:val="tx1"/>
                  </w14:solidFill>
                </w14:textFill>
              </w:rPr>
            </w:pPr>
          </w:p>
        </w:tc>
      </w:tr>
    </w:tbl>
    <w:p w14:paraId="1500BDEE">
      <w:pPr>
        <w:adjustRightInd w:val="0"/>
        <w:snapToGrid w:val="0"/>
        <w:spacing w:line="360" w:lineRule="auto"/>
        <w:rPr>
          <w:rFonts w:ascii="宋体" w:cs="宋体"/>
          <w:b/>
          <w:color w:val="000000" w:themeColor="text1"/>
          <w:kern w:val="0"/>
          <w:sz w:val="28"/>
          <w:szCs w:val="28"/>
          <w:highlight w:val="none"/>
          <w14:textFill>
            <w14:solidFill>
              <w14:schemeClr w14:val="tx1"/>
            </w14:solidFill>
          </w14:textFill>
        </w:rPr>
        <w:sectPr>
          <w:pgSz w:w="16838" w:h="11905" w:orient="landscape"/>
          <w:pgMar w:top="1417" w:right="1417" w:bottom="1417" w:left="1417" w:header="851" w:footer="1077" w:gutter="0"/>
          <w:pgBorders>
            <w:top w:val="none" w:sz="0" w:space="0"/>
            <w:left w:val="none" w:sz="0" w:space="0"/>
            <w:bottom w:val="none" w:sz="0" w:space="0"/>
            <w:right w:val="none" w:sz="0" w:space="0"/>
          </w:pgBorders>
          <w:pgNumType w:fmt="decimal"/>
          <w:cols w:space="0" w:num="1"/>
          <w:docGrid w:linePitch="312" w:charSpace="0"/>
        </w:sectPr>
      </w:pPr>
    </w:p>
    <w:tbl>
      <w:tblPr>
        <w:tblStyle w:val="32"/>
        <w:tblW w:w="920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40"/>
        <w:gridCol w:w="8967"/>
      </w:tblGrid>
      <w:tr w14:paraId="1A5B4D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3630" w:hRule="atLeast"/>
          <w:jc w:val="center"/>
        </w:trPr>
        <w:tc>
          <w:tcPr>
            <w:tcW w:w="240" w:type="dxa"/>
            <w:tcMar>
              <w:left w:w="28" w:type="dxa"/>
              <w:right w:w="28" w:type="dxa"/>
            </w:tcMar>
            <w:vAlign w:val="center"/>
          </w:tcPr>
          <w:p w14:paraId="54F06507">
            <w:pPr>
              <w:pStyle w:val="44"/>
              <w:ind w:left="0" w:leftChars="0" w:firstLine="0" w:firstLineChars="0"/>
              <w:rPr>
                <w:rFonts w:hint="eastAsia" w:ascii="宋体" w:hAnsi="宋体" w:cs="宋体"/>
                <w:bCs/>
                <w:color w:val="000000" w:themeColor="text1"/>
                <w:szCs w:val="21"/>
                <w:highlight w:val="none"/>
                <w14:textFill>
                  <w14:solidFill>
                    <w14:schemeClr w14:val="tx1"/>
                  </w14:solidFill>
                </w14:textFill>
              </w:rPr>
            </w:pPr>
          </w:p>
        </w:tc>
        <w:tc>
          <w:tcPr>
            <w:tcW w:w="8967" w:type="dxa"/>
            <w:vAlign w:val="center"/>
          </w:tcPr>
          <w:p w14:paraId="5D335172">
            <w:pPr>
              <w:pStyle w:val="44"/>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（6）非正常工况源强核算</w:t>
            </w:r>
          </w:p>
          <w:p w14:paraId="0B1CEA9F">
            <w:pPr>
              <w:pStyle w:val="44"/>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本项目涉及多套废气处理设施，非正常排放情况考虑有组织废气净化设施发生故障，废气未经处理就直接排放的情景，污染物的去除效率为0，在此工况下，污染物排放</w:t>
            </w:r>
            <w:r>
              <w:rPr>
                <w:rFonts w:hint="eastAsia" w:cs="宋体"/>
                <w:color w:val="000000" w:themeColor="text1"/>
                <w:highlight w:val="none"/>
                <w:lang w:val="en-US" w:eastAsia="zh-CN"/>
                <w14:textFill>
                  <w14:solidFill>
                    <w14:schemeClr w14:val="tx1"/>
                  </w14:solidFill>
                </w14:textFill>
              </w:rPr>
              <w:t>源强</w:t>
            </w:r>
            <w:r>
              <w:rPr>
                <w:rFonts w:hint="eastAsia" w:ascii="Times New Roman" w:hAnsi="Times New Roman" w:eastAsia="宋体" w:cs="宋体"/>
                <w:color w:val="000000" w:themeColor="text1"/>
                <w:highlight w:val="none"/>
                <w:lang w:val="en-US" w:eastAsia="zh-CN"/>
                <w14:textFill>
                  <w14:solidFill>
                    <w14:schemeClr w14:val="tx1"/>
                  </w14:solidFill>
                </w14:textFill>
              </w:rPr>
              <w:t>见表</w:t>
            </w:r>
            <w:r>
              <w:rPr>
                <w:rFonts w:hint="eastAsia" w:cs="宋体"/>
                <w:color w:val="000000" w:themeColor="text1"/>
                <w:highlight w:val="none"/>
                <w:lang w:val="en-US" w:eastAsia="zh-CN"/>
                <w14:textFill>
                  <w14:solidFill>
                    <w14:schemeClr w14:val="tx1"/>
                  </w14:solidFill>
                </w14:textFill>
              </w:rPr>
              <w:t>4.2-3。</w:t>
            </w:r>
          </w:p>
          <w:p w14:paraId="72CEA841">
            <w:pPr>
              <w:pStyle w:val="42"/>
              <w:keepNext/>
              <w:keepLines/>
              <w:pageBreakBefore w:val="0"/>
              <w:widowControl w:val="0"/>
              <w:numPr>
                <w:ilvl w:val="7"/>
                <w:numId w:val="16"/>
              </w:numPr>
              <w:tabs>
                <w:tab w:val="left" w:pos="0"/>
              </w:tabs>
              <w:kinsoku/>
              <w:wordWrap/>
              <w:overflowPunct/>
              <w:topLinePunct w:val="0"/>
              <w:autoSpaceDE/>
              <w:autoSpaceDN/>
              <w:bidi w:val="0"/>
              <w:adjustRightInd/>
              <w:snapToGrid/>
              <w:spacing w:before="120"/>
              <w:ind w:left="630" w:leftChars="0" w:firstLine="0" w:firstLineChars="0"/>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非正常工况下污染物排放源一览表</w:t>
            </w:r>
          </w:p>
          <w:tbl>
            <w:tblPr>
              <w:tblStyle w:val="3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218"/>
              <w:gridCol w:w="1106"/>
              <w:gridCol w:w="1332"/>
              <w:gridCol w:w="1456"/>
              <w:gridCol w:w="1356"/>
              <w:gridCol w:w="1120"/>
              <w:gridCol w:w="1158"/>
            </w:tblGrid>
            <w:tr w14:paraId="5667DC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696" w:type="pct"/>
                  <w:vMerge w:val="restart"/>
                  <w:tcBorders>
                    <w:tl2br w:val="nil"/>
                    <w:tr2bl w:val="nil"/>
                  </w:tcBorders>
                  <w:vAlign w:val="center"/>
                </w:tcPr>
                <w:p w14:paraId="2D529D4B">
                  <w:pPr>
                    <w:pStyle w:val="96"/>
                    <w:spacing w:line="240" w:lineRule="auto"/>
                    <w:jc w:val="center"/>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名称</w:t>
                  </w:r>
                </w:p>
              </w:tc>
              <w:tc>
                <w:tcPr>
                  <w:tcW w:w="632" w:type="pct"/>
                  <w:vMerge w:val="restart"/>
                  <w:tcBorders>
                    <w:tl2br w:val="nil"/>
                    <w:tr2bl w:val="nil"/>
                  </w:tcBorders>
                  <w:vAlign w:val="center"/>
                </w:tcPr>
                <w:p w14:paraId="603693C2">
                  <w:pPr>
                    <w:pStyle w:val="96"/>
                    <w:spacing w:line="240" w:lineRule="auto"/>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排放形式</w:t>
                  </w:r>
                </w:p>
              </w:tc>
              <w:tc>
                <w:tcPr>
                  <w:tcW w:w="761" w:type="pct"/>
                  <w:vMerge w:val="restart"/>
                  <w:tcBorders>
                    <w:tl2br w:val="nil"/>
                    <w:tr2bl w:val="nil"/>
                  </w:tcBorders>
                  <w:vAlign w:val="center"/>
                </w:tcPr>
                <w:p w14:paraId="4466994A">
                  <w:pPr>
                    <w:pStyle w:val="96"/>
                    <w:spacing w:line="240" w:lineRule="auto"/>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污染物种类</w:t>
                  </w:r>
                </w:p>
              </w:tc>
              <w:tc>
                <w:tcPr>
                  <w:tcW w:w="2247" w:type="pct"/>
                  <w:gridSpan w:val="3"/>
                  <w:tcBorders>
                    <w:tl2br w:val="nil"/>
                    <w:tr2bl w:val="nil"/>
                  </w:tcBorders>
                  <w:vAlign w:val="center"/>
                </w:tcPr>
                <w:p w14:paraId="3DC5C01B">
                  <w:pPr>
                    <w:pStyle w:val="96"/>
                    <w:spacing w:line="240" w:lineRule="auto"/>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污染物排放情况</w:t>
                  </w:r>
                </w:p>
              </w:tc>
              <w:tc>
                <w:tcPr>
                  <w:tcW w:w="662" w:type="pct"/>
                  <w:vMerge w:val="restart"/>
                  <w:tcBorders>
                    <w:tl2br w:val="nil"/>
                    <w:tr2bl w:val="nil"/>
                  </w:tcBorders>
                  <w:vAlign w:val="center"/>
                </w:tcPr>
                <w:p w14:paraId="67514285">
                  <w:pPr>
                    <w:pStyle w:val="96"/>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排放去向</w:t>
                  </w:r>
                </w:p>
              </w:tc>
            </w:tr>
            <w:tr w14:paraId="1CB539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696" w:type="pct"/>
                  <w:vMerge w:val="continue"/>
                  <w:tcBorders>
                    <w:tl2br w:val="nil"/>
                    <w:tr2bl w:val="nil"/>
                  </w:tcBorders>
                  <w:vAlign w:val="center"/>
                </w:tcPr>
                <w:p w14:paraId="61DC0BA5">
                  <w:pPr>
                    <w:pStyle w:val="96"/>
                    <w:spacing w:line="240" w:lineRule="auto"/>
                    <w:jc w:val="center"/>
                    <w:rPr>
                      <w:rFonts w:ascii="Times New Roman" w:hAnsi="Times New Roman" w:cs="Times New Roman"/>
                      <w:color w:val="000000" w:themeColor="text1"/>
                      <w:sz w:val="21"/>
                      <w14:textFill>
                        <w14:solidFill>
                          <w14:schemeClr w14:val="tx1"/>
                        </w14:solidFill>
                      </w14:textFill>
                    </w:rPr>
                  </w:pPr>
                </w:p>
              </w:tc>
              <w:tc>
                <w:tcPr>
                  <w:tcW w:w="632" w:type="pct"/>
                  <w:vMerge w:val="continue"/>
                  <w:tcBorders>
                    <w:tl2br w:val="nil"/>
                    <w:tr2bl w:val="nil"/>
                  </w:tcBorders>
                  <w:vAlign w:val="center"/>
                </w:tcPr>
                <w:p w14:paraId="74F16B82">
                  <w:pPr>
                    <w:pStyle w:val="96"/>
                    <w:spacing w:line="240" w:lineRule="auto"/>
                    <w:jc w:val="center"/>
                    <w:rPr>
                      <w:rFonts w:ascii="Times New Roman" w:hAnsi="Times New Roman" w:cs="Times New Roman"/>
                      <w:color w:val="000000" w:themeColor="text1"/>
                      <w:sz w:val="21"/>
                      <w14:textFill>
                        <w14:solidFill>
                          <w14:schemeClr w14:val="tx1"/>
                        </w14:solidFill>
                      </w14:textFill>
                    </w:rPr>
                  </w:pPr>
                </w:p>
              </w:tc>
              <w:tc>
                <w:tcPr>
                  <w:tcW w:w="761" w:type="pct"/>
                  <w:vMerge w:val="continue"/>
                  <w:tcBorders>
                    <w:tl2br w:val="nil"/>
                    <w:tr2bl w:val="nil"/>
                  </w:tcBorders>
                  <w:vAlign w:val="center"/>
                </w:tcPr>
                <w:p w14:paraId="325766AE">
                  <w:pPr>
                    <w:pStyle w:val="96"/>
                    <w:spacing w:line="240" w:lineRule="auto"/>
                    <w:jc w:val="center"/>
                    <w:rPr>
                      <w:rFonts w:ascii="Times New Roman" w:hAnsi="Times New Roman" w:cs="Times New Roman"/>
                      <w:color w:val="000000" w:themeColor="text1"/>
                      <w:sz w:val="21"/>
                      <w14:textFill>
                        <w14:solidFill>
                          <w14:schemeClr w14:val="tx1"/>
                        </w14:solidFill>
                      </w14:textFill>
                    </w:rPr>
                  </w:pPr>
                </w:p>
              </w:tc>
              <w:tc>
                <w:tcPr>
                  <w:tcW w:w="832" w:type="pct"/>
                  <w:tcBorders>
                    <w:tl2br w:val="nil"/>
                    <w:tr2bl w:val="nil"/>
                  </w:tcBorders>
                  <w:vAlign w:val="center"/>
                </w:tcPr>
                <w:p w14:paraId="31DFE597">
                  <w:pPr>
                    <w:pStyle w:val="96"/>
                    <w:spacing w:line="240" w:lineRule="auto"/>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排放浓度mg/m</w:t>
                  </w:r>
                  <w:r>
                    <w:rPr>
                      <w:rFonts w:ascii="Times New Roman" w:hAnsi="Times New Roman" w:cs="Times New Roman"/>
                      <w:color w:val="000000" w:themeColor="text1"/>
                      <w:sz w:val="21"/>
                      <w:vertAlign w:val="superscript"/>
                      <w14:textFill>
                        <w14:solidFill>
                          <w14:schemeClr w14:val="tx1"/>
                        </w14:solidFill>
                      </w14:textFill>
                    </w:rPr>
                    <w:t>3</w:t>
                  </w:r>
                </w:p>
              </w:tc>
              <w:tc>
                <w:tcPr>
                  <w:tcW w:w="775" w:type="pct"/>
                  <w:tcBorders>
                    <w:tl2br w:val="nil"/>
                    <w:tr2bl w:val="nil"/>
                  </w:tcBorders>
                  <w:vAlign w:val="center"/>
                </w:tcPr>
                <w:p w14:paraId="01E31258">
                  <w:pPr>
                    <w:pStyle w:val="96"/>
                    <w:spacing w:line="240" w:lineRule="auto"/>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排放速率kg/h</w:t>
                  </w:r>
                </w:p>
              </w:tc>
              <w:tc>
                <w:tcPr>
                  <w:tcW w:w="640" w:type="pct"/>
                  <w:tcBorders>
                    <w:tl2br w:val="nil"/>
                    <w:tr2bl w:val="nil"/>
                  </w:tcBorders>
                  <w:vAlign w:val="center"/>
                </w:tcPr>
                <w:p w14:paraId="336DB51F">
                  <w:pPr>
                    <w:pStyle w:val="96"/>
                    <w:spacing w:line="240" w:lineRule="auto"/>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排放量t/a</w:t>
                  </w:r>
                </w:p>
              </w:tc>
              <w:tc>
                <w:tcPr>
                  <w:tcW w:w="662" w:type="pct"/>
                  <w:vMerge w:val="continue"/>
                  <w:tcBorders>
                    <w:tl2br w:val="nil"/>
                    <w:tr2bl w:val="nil"/>
                  </w:tcBorders>
                  <w:vAlign w:val="center"/>
                </w:tcPr>
                <w:p w14:paraId="1702F2F8">
                  <w:pPr>
                    <w:pStyle w:val="96"/>
                    <w:spacing w:line="240" w:lineRule="auto"/>
                    <w:jc w:val="center"/>
                    <w:rPr>
                      <w:rFonts w:ascii="Times New Roman" w:hAnsi="Times New Roman" w:cs="Times New Roman"/>
                      <w:color w:val="000000" w:themeColor="text1"/>
                      <w:sz w:val="21"/>
                      <w14:textFill>
                        <w14:solidFill>
                          <w14:schemeClr w14:val="tx1"/>
                        </w14:solidFill>
                      </w14:textFill>
                    </w:rPr>
                  </w:pPr>
                </w:p>
              </w:tc>
            </w:tr>
            <w:tr w14:paraId="6A8B6A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04" w:hRule="atLeast"/>
                <w:jc w:val="center"/>
              </w:trPr>
              <w:tc>
                <w:tcPr>
                  <w:tcW w:w="696" w:type="pct"/>
                  <w:vMerge w:val="restart"/>
                  <w:tcBorders>
                    <w:tl2br w:val="nil"/>
                    <w:tr2bl w:val="nil"/>
                  </w:tcBorders>
                  <w:vAlign w:val="center"/>
                </w:tcPr>
                <w:p w14:paraId="5CA5AE75">
                  <w:pPr>
                    <w:pStyle w:val="96"/>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DA001</w:t>
                  </w:r>
                </w:p>
              </w:tc>
              <w:tc>
                <w:tcPr>
                  <w:tcW w:w="632" w:type="pct"/>
                  <w:vMerge w:val="restart"/>
                  <w:tcBorders>
                    <w:tl2br w:val="nil"/>
                    <w:tr2bl w:val="nil"/>
                  </w:tcBorders>
                  <w:vAlign w:val="center"/>
                </w:tcPr>
                <w:p w14:paraId="1AEB80C1">
                  <w:pPr>
                    <w:pStyle w:val="96"/>
                    <w:spacing w:line="240" w:lineRule="auto"/>
                    <w:jc w:val="center"/>
                    <w:rPr>
                      <w:rFonts w:hint="eastAsia" w:ascii="Times New Roman" w:hAnsi="Times New Roman" w:eastAsia="宋体" w:cs="Times New Roman"/>
                      <w:snapToGrid w:val="0"/>
                      <w:color w:val="000000" w:themeColor="text1"/>
                      <w:spacing w:val="4"/>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有组织</w:t>
                  </w:r>
                </w:p>
              </w:tc>
              <w:tc>
                <w:tcPr>
                  <w:tcW w:w="1332" w:type="dxa"/>
                  <w:tcBorders>
                    <w:tl2br w:val="nil"/>
                    <w:tr2bl w:val="nil"/>
                  </w:tcBorders>
                  <w:vAlign w:val="center"/>
                </w:tcPr>
                <w:p w14:paraId="5AC76DB2">
                  <w:pPr>
                    <w:pStyle w:val="96"/>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SO</w:t>
                  </w:r>
                  <w:r>
                    <w:rPr>
                      <w:rFonts w:hint="eastAsia" w:ascii="Times New Roman" w:hAnsi="Times New Roman" w:cs="Times New Roman"/>
                      <w:color w:val="000000" w:themeColor="text1"/>
                      <w:sz w:val="21"/>
                      <w:szCs w:val="21"/>
                      <w:highlight w:val="none"/>
                      <w:vertAlign w:val="subscript"/>
                      <w:lang w:val="en-US" w:eastAsia="zh-CN"/>
                      <w14:textFill>
                        <w14:solidFill>
                          <w14:schemeClr w14:val="tx1"/>
                        </w14:solidFill>
                      </w14:textFill>
                    </w:rPr>
                    <w:t>2</w:t>
                  </w:r>
                </w:p>
              </w:tc>
              <w:tc>
                <w:tcPr>
                  <w:tcW w:w="1456" w:type="dxa"/>
                  <w:tcBorders>
                    <w:tl2br w:val="nil"/>
                    <w:tr2bl w:val="nil"/>
                  </w:tcBorders>
                  <w:shd w:val="clear" w:color="auto" w:fill="auto"/>
                  <w:vAlign w:val="center"/>
                </w:tcPr>
                <w:p w14:paraId="530D144C">
                  <w:pPr>
                    <w:pStyle w:val="96"/>
                    <w:spacing w:line="240" w:lineRule="auto"/>
                    <w:jc w:val="center"/>
                    <w:rPr>
                      <w:rFonts w:hint="eastAsia" w:ascii="Times New Roman" w:hAnsi="Times New Roman" w:eastAsia="宋体" w:cs="Times New Roman"/>
                      <w:snapToGrid w:val="0"/>
                      <w:color w:val="000000" w:themeColor="text1"/>
                      <w:spacing w:val="4"/>
                      <w:sz w:val="21"/>
                      <w:szCs w:val="21"/>
                      <w:lang w:val="en-US" w:eastAsia="zh-CN" w:bidi="ar-SA"/>
                      <w14:textFill>
                        <w14:solidFill>
                          <w14:schemeClr w14:val="tx1"/>
                        </w14:solidFill>
                      </w14:textFill>
                    </w:rPr>
                  </w:pPr>
                  <w:r>
                    <w:rPr>
                      <w:rFonts w:hint="eastAsia" w:ascii="Times New Roman" w:hAnsi="Times New Roman" w:cs="Times New Roman"/>
                      <w:color w:val="auto"/>
                      <w:sz w:val="21"/>
                      <w:szCs w:val="21"/>
                      <w:highlight w:val="none"/>
                      <w:lang w:val="en-US" w:eastAsia="zh-CN"/>
                    </w:rPr>
                    <w:t>44</w:t>
                  </w:r>
                </w:p>
              </w:tc>
              <w:tc>
                <w:tcPr>
                  <w:tcW w:w="1356" w:type="dxa"/>
                  <w:tcBorders>
                    <w:tl2br w:val="nil"/>
                    <w:tr2bl w:val="nil"/>
                  </w:tcBorders>
                  <w:shd w:val="clear" w:color="auto" w:fill="auto"/>
                  <w:vAlign w:val="center"/>
                </w:tcPr>
                <w:p w14:paraId="682874DB">
                  <w:pPr>
                    <w:pStyle w:val="96"/>
                    <w:spacing w:line="240" w:lineRule="auto"/>
                    <w:jc w:val="center"/>
                    <w:rPr>
                      <w:rFonts w:hint="eastAsia" w:ascii="Times New Roman" w:hAnsi="Times New Roman" w:eastAsia="宋体" w:cs="Times New Roman"/>
                      <w:snapToGrid w:val="0"/>
                      <w:color w:val="000000" w:themeColor="text1"/>
                      <w:spacing w:val="4"/>
                      <w:sz w:val="21"/>
                      <w:szCs w:val="21"/>
                      <w:lang w:val="en-US" w:eastAsia="zh-CN" w:bidi="ar-SA"/>
                      <w14:textFill>
                        <w14:solidFill>
                          <w14:schemeClr w14:val="tx1"/>
                        </w14:solidFill>
                      </w14:textFill>
                    </w:rPr>
                  </w:pPr>
                  <w:r>
                    <w:rPr>
                      <w:rFonts w:hint="eastAsia" w:ascii="Times New Roman" w:hAnsi="Times New Roman" w:cs="Times New Roman"/>
                      <w:color w:val="auto"/>
                      <w:sz w:val="21"/>
                      <w:szCs w:val="21"/>
                      <w:highlight w:val="none"/>
                      <w:lang w:val="en-US" w:eastAsia="zh-CN"/>
                    </w:rPr>
                    <w:t>0.44</w:t>
                  </w:r>
                </w:p>
              </w:tc>
              <w:tc>
                <w:tcPr>
                  <w:tcW w:w="1120" w:type="dxa"/>
                  <w:tcBorders>
                    <w:tl2br w:val="nil"/>
                    <w:tr2bl w:val="nil"/>
                  </w:tcBorders>
                  <w:shd w:val="clear" w:color="auto" w:fill="auto"/>
                  <w:vAlign w:val="center"/>
                </w:tcPr>
                <w:p w14:paraId="7BC83432">
                  <w:pPr>
                    <w:pStyle w:val="96"/>
                    <w:spacing w:line="240" w:lineRule="auto"/>
                    <w:jc w:val="center"/>
                    <w:rPr>
                      <w:rFonts w:hint="default" w:ascii="Times New Roman" w:hAnsi="Times New Roman" w:eastAsia="宋体" w:cs="Times New Roman"/>
                      <w:snapToGrid w:val="0"/>
                      <w:color w:val="000000" w:themeColor="text1"/>
                      <w:spacing w:val="4"/>
                      <w:sz w:val="21"/>
                      <w:szCs w:val="21"/>
                      <w:lang w:val="en-US" w:eastAsia="zh-CN" w:bidi="ar-SA"/>
                      <w14:textFill>
                        <w14:solidFill>
                          <w14:schemeClr w14:val="tx1"/>
                        </w14:solidFill>
                      </w14:textFill>
                    </w:rPr>
                  </w:pPr>
                  <w:r>
                    <w:rPr>
                      <w:rFonts w:hint="eastAsia" w:ascii="Times New Roman" w:hAnsi="Times New Roman" w:cs="Times New Roman"/>
                      <w:color w:val="auto"/>
                      <w:sz w:val="21"/>
                      <w:szCs w:val="21"/>
                      <w:highlight w:val="none"/>
                      <w:lang w:val="en-US" w:eastAsia="zh-CN"/>
                    </w:rPr>
                    <w:t>0.47</w:t>
                  </w:r>
                </w:p>
              </w:tc>
              <w:tc>
                <w:tcPr>
                  <w:tcW w:w="662" w:type="pct"/>
                  <w:vMerge w:val="restart"/>
                  <w:tcBorders>
                    <w:tl2br w:val="nil"/>
                    <w:tr2bl w:val="nil"/>
                  </w:tcBorders>
                  <w:vAlign w:val="center"/>
                </w:tcPr>
                <w:p w14:paraId="5E78A1E9">
                  <w:pPr>
                    <w:pStyle w:val="96"/>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大气环境</w:t>
                  </w:r>
                </w:p>
              </w:tc>
            </w:tr>
            <w:tr w14:paraId="02A47A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04" w:hRule="atLeast"/>
                <w:jc w:val="center"/>
              </w:trPr>
              <w:tc>
                <w:tcPr>
                  <w:tcW w:w="696" w:type="pct"/>
                  <w:vMerge w:val="continue"/>
                  <w:tcBorders>
                    <w:tl2br w:val="nil"/>
                    <w:tr2bl w:val="nil"/>
                  </w:tcBorders>
                  <w:vAlign w:val="center"/>
                </w:tcPr>
                <w:p w14:paraId="0179A7D5">
                  <w:pPr>
                    <w:pStyle w:val="96"/>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p>
              </w:tc>
              <w:tc>
                <w:tcPr>
                  <w:tcW w:w="632" w:type="pct"/>
                  <w:vMerge w:val="continue"/>
                  <w:tcBorders>
                    <w:tl2br w:val="nil"/>
                    <w:tr2bl w:val="nil"/>
                  </w:tcBorders>
                  <w:shd w:val="clear" w:color="auto" w:fill="auto"/>
                  <w:vAlign w:val="center"/>
                </w:tcPr>
                <w:p w14:paraId="56B75215">
                  <w:pPr>
                    <w:pStyle w:val="96"/>
                    <w:spacing w:line="240" w:lineRule="auto"/>
                    <w:jc w:val="center"/>
                    <w:rPr>
                      <w:rFonts w:hint="eastAsia" w:ascii="Times New Roman" w:hAnsi="Times New Roman" w:eastAsia="宋体" w:cs="Times New Roman"/>
                      <w:snapToGrid w:val="0"/>
                      <w:color w:val="000000" w:themeColor="text1"/>
                      <w:spacing w:val="4"/>
                      <w:sz w:val="21"/>
                      <w:szCs w:val="21"/>
                      <w:lang w:val="en-US" w:eastAsia="zh-CN" w:bidi="ar-SA"/>
                      <w14:textFill>
                        <w14:solidFill>
                          <w14:schemeClr w14:val="tx1"/>
                        </w14:solidFill>
                      </w14:textFill>
                    </w:rPr>
                  </w:pPr>
                </w:p>
              </w:tc>
              <w:tc>
                <w:tcPr>
                  <w:tcW w:w="1332" w:type="dxa"/>
                  <w:tcBorders>
                    <w:tl2br w:val="nil"/>
                    <w:tr2bl w:val="nil"/>
                  </w:tcBorders>
                  <w:shd w:val="clear" w:color="auto" w:fill="auto"/>
                  <w:vAlign w:val="center"/>
                </w:tcPr>
                <w:p w14:paraId="3C2DEC5F">
                  <w:pPr>
                    <w:pStyle w:val="96"/>
                    <w:spacing w:line="240" w:lineRule="auto"/>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NOx</w:t>
                  </w:r>
                </w:p>
              </w:tc>
              <w:tc>
                <w:tcPr>
                  <w:tcW w:w="1456" w:type="dxa"/>
                  <w:tcBorders>
                    <w:tl2br w:val="nil"/>
                    <w:tr2bl w:val="nil"/>
                  </w:tcBorders>
                  <w:shd w:val="clear" w:color="auto" w:fill="auto"/>
                  <w:vAlign w:val="center"/>
                </w:tcPr>
                <w:p w14:paraId="479E4035">
                  <w:pPr>
                    <w:pStyle w:val="96"/>
                    <w:spacing w:line="240" w:lineRule="auto"/>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cs="Times New Roman"/>
                      <w:color w:val="auto"/>
                      <w:sz w:val="21"/>
                      <w:szCs w:val="21"/>
                      <w:highlight w:val="none"/>
                      <w:lang w:val="en-US" w:eastAsia="zh-CN"/>
                    </w:rPr>
                    <w:t>87</w:t>
                  </w:r>
                </w:p>
              </w:tc>
              <w:tc>
                <w:tcPr>
                  <w:tcW w:w="1356" w:type="dxa"/>
                  <w:tcBorders>
                    <w:tl2br w:val="nil"/>
                    <w:tr2bl w:val="nil"/>
                  </w:tcBorders>
                  <w:shd w:val="clear" w:color="auto" w:fill="auto"/>
                  <w:vAlign w:val="center"/>
                </w:tcPr>
                <w:p w14:paraId="0D1727C5">
                  <w:pPr>
                    <w:pStyle w:val="96"/>
                    <w:spacing w:line="240" w:lineRule="auto"/>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cs="Times New Roman"/>
                      <w:color w:val="auto"/>
                      <w:sz w:val="21"/>
                      <w:szCs w:val="21"/>
                      <w:highlight w:val="none"/>
                      <w:lang w:val="en-US" w:eastAsia="zh-CN"/>
                    </w:rPr>
                    <w:t>0.87</w:t>
                  </w:r>
                </w:p>
              </w:tc>
              <w:tc>
                <w:tcPr>
                  <w:tcW w:w="1120" w:type="dxa"/>
                  <w:tcBorders>
                    <w:tl2br w:val="nil"/>
                    <w:tr2bl w:val="nil"/>
                  </w:tcBorders>
                  <w:shd w:val="clear" w:color="auto" w:fill="auto"/>
                  <w:vAlign w:val="center"/>
                </w:tcPr>
                <w:p w14:paraId="440F5C3E">
                  <w:pPr>
                    <w:pStyle w:val="96"/>
                    <w:spacing w:line="240" w:lineRule="auto"/>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cs="Times New Roman"/>
                      <w:color w:val="auto"/>
                      <w:sz w:val="21"/>
                      <w:szCs w:val="21"/>
                      <w:highlight w:val="none"/>
                      <w:lang w:val="en-US" w:eastAsia="zh-CN"/>
                    </w:rPr>
                    <w:t>0.94</w:t>
                  </w:r>
                </w:p>
              </w:tc>
              <w:tc>
                <w:tcPr>
                  <w:tcW w:w="662" w:type="pct"/>
                  <w:vMerge w:val="continue"/>
                  <w:tcBorders>
                    <w:tl2br w:val="nil"/>
                    <w:tr2bl w:val="nil"/>
                  </w:tcBorders>
                  <w:vAlign w:val="center"/>
                </w:tcPr>
                <w:p w14:paraId="4535F463">
                  <w:pPr>
                    <w:pStyle w:val="96"/>
                    <w:spacing w:line="240" w:lineRule="auto"/>
                    <w:jc w:val="center"/>
                    <w:rPr>
                      <w:rFonts w:hint="eastAsia" w:ascii="Times New Roman" w:hAnsi="Times New Roman" w:eastAsia="宋体" w:cs="Times New Roman"/>
                      <w:color w:val="000000" w:themeColor="text1"/>
                      <w:sz w:val="21"/>
                      <w:lang w:val="en-US" w:eastAsia="zh-CN"/>
                      <w14:textFill>
                        <w14:solidFill>
                          <w14:schemeClr w14:val="tx1"/>
                        </w14:solidFill>
                      </w14:textFill>
                    </w:rPr>
                  </w:pPr>
                </w:p>
              </w:tc>
            </w:tr>
            <w:tr w14:paraId="45E5A5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04" w:hRule="atLeast"/>
                <w:jc w:val="center"/>
              </w:trPr>
              <w:tc>
                <w:tcPr>
                  <w:tcW w:w="696" w:type="pct"/>
                  <w:vMerge w:val="continue"/>
                  <w:tcBorders>
                    <w:tl2br w:val="nil"/>
                    <w:tr2bl w:val="nil"/>
                  </w:tcBorders>
                  <w:vAlign w:val="center"/>
                </w:tcPr>
                <w:p w14:paraId="112868FC">
                  <w:pPr>
                    <w:pStyle w:val="96"/>
                    <w:spacing w:line="240" w:lineRule="auto"/>
                    <w:jc w:val="center"/>
                    <w:rPr>
                      <w:rFonts w:hint="eastAsia" w:ascii="Times New Roman" w:hAnsi="Times New Roman" w:cs="Times New Roman"/>
                      <w:color w:val="000000" w:themeColor="text1"/>
                      <w:sz w:val="21"/>
                      <w:lang w:val="en-US" w:eastAsia="zh-CN"/>
                      <w14:textFill>
                        <w14:solidFill>
                          <w14:schemeClr w14:val="tx1"/>
                        </w14:solidFill>
                      </w14:textFill>
                    </w:rPr>
                  </w:pPr>
                </w:p>
              </w:tc>
              <w:tc>
                <w:tcPr>
                  <w:tcW w:w="632" w:type="pct"/>
                  <w:vMerge w:val="continue"/>
                  <w:tcBorders>
                    <w:tl2br w:val="nil"/>
                    <w:tr2bl w:val="nil"/>
                  </w:tcBorders>
                  <w:shd w:val="clear" w:color="auto" w:fill="auto"/>
                  <w:vAlign w:val="center"/>
                </w:tcPr>
                <w:p w14:paraId="03539194">
                  <w:pPr>
                    <w:pStyle w:val="96"/>
                    <w:spacing w:line="240" w:lineRule="auto"/>
                    <w:jc w:val="center"/>
                    <w:rPr>
                      <w:rFonts w:hint="eastAsia" w:ascii="Times New Roman" w:hAnsi="Times New Roman" w:cs="Times New Roman"/>
                      <w:color w:val="000000" w:themeColor="text1"/>
                      <w:sz w:val="21"/>
                      <w:lang w:val="en-US" w:eastAsia="zh-CN"/>
                      <w14:textFill>
                        <w14:solidFill>
                          <w14:schemeClr w14:val="tx1"/>
                        </w14:solidFill>
                      </w14:textFill>
                    </w:rPr>
                  </w:pPr>
                </w:p>
              </w:tc>
              <w:tc>
                <w:tcPr>
                  <w:tcW w:w="1332" w:type="dxa"/>
                  <w:tcBorders>
                    <w:tl2br w:val="nil"/>
                    <w:tr2bl w:val="nil"/>
                  </w:tcBorders>
                  <w:shd w:val="clear" w:color="auto" w:fill="auto"/>
                  <w:vAlign w:val="center"/>
                </w:tcPr>
                <w:p w14:paraId="633039DD">
                  <w:pPr>
                    <w:pStyle w:val="96"/>
                    <w:spacing w:line="240" w:lineRule="auto"/>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颗粒物</w:t>
                  </w:r>
                </w:p>
              </w:tc>
              <w:tc>
                <w:tcPr>
                  <w:tcW w:w="1456" w:type="dxa"/>
                  <w:tcBorders>
                    <w:tl2br w:val="nil"/>
                    <w:tr2bl w:val="nil"/>
                  </w:tcBorders>
                  <w:shd w:val="clear" w:color="auto" w:fill="auto"/>
                  <w:vAlign w:val="center"/>
                </w:tcPr>
                <w:p w14:paraId="2E552DEE">
                  <w:pPr>
                    <w:pStyle w:val="96"/>
                    <w:spacing w:line="240" w:lineRule="auto"/>
                    <w:jc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cs="Times New Roman"/>
                      <w:color w:val="auto"/>
                      <w:sz w:val="21"/>
                      <w:szCs w:val="21"/>
                      <w:highlight w:val="none"/>
                      <w:lang w:val="en-US" w:eastAsia="zh-CN"/>
                    </w:rPr>
                    <w:t>43</w:t>
                  </w:r>
                </w:p>
              </w:tc>
              <w:tc>
                <w:tcPr>
                  <w:tcW w:w="1356" w:type="dxa"/>
                  <w:tcBorders>
                    <w:tl2br w:val="nil"/>
                    <w:tr2bl w:val="nil"/>
                  </w:tcBorders>
                  <w:shd w:val="clear" w:color="auto" w:fill="auto"/>
                  <w:vAlign w:val="center"/>
                </w:tcPr>
                <w:p w14:paraId="3F6DE5B2">
                  <w:pPr>
                    <w:pStyle w:val="96"/>
                    <w:spacing w:line="240" w:lineRule="auto"/>
                    <w:jc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cs="Times New Roman"/>
                      <w:color w:val="auto"/>
                      <w:sz w:val="21"/>
                      <w:szCs w:val="21"/>
                      <w:highlight w:val="none"/>
                      <w:lang w:val="en-US" w:eastAsia="zh-CN"/>
                    </w:rPr>
                    <w:t>0.43</w:t>
                  </w:r>
                </w:p>
              </w:tc>
              <w:tc>
                <w:tcPr>
                  <w:tcW w:w="1120" w:type="dxa"/>
                  <w:tcBorders>
                    <w:tl2br w:val="nil"/>
                    <w:tr2bl w:val="nil"/>
                  </w:tcBorders>
                  <w:shd w:val="clear" w:color="auto" w:fill="auto"/>
                  <w:vAlign w:val="center"/>
                </w:tcPr>
                <w:p w14:paraId="0DBAACCB">
                  <w:pPr>
                    <w:pStyle w:val="96"/>
                    <w:spacing w:line="240" w:lineRule="auto"/>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cs="Times New Roman"/>
                      <w:color w:val="auto"/>
                      <w:sz w:val="21"/>
                      <w:szCs w:val="21"/>
                      <w:highlight w:val="none"/>
                      <w:lang w:val="en-US" w:eastAsia="zh-CN"/>
                    </w:rPr>
                    <w:t>0.46</w:t>
                  </w:r>
                </w:p>
              </w:tc>
              <w:tc>
                <w:tcPr>
                  <w:tcW w:w="662" w:type="pct"/>
                  <w:vMerge w:val="continue"/>
                  <w:tcBorders>
                    <w:tl2br w:val="nil"/>
                    <w:tr2bl w:val="nil"/>
                  </w:tcBorders>
                  <w:vAlign w:val="center"/>
                </w:tcPr>
                <w:p w14:paraId="7E37503A">
                  <w:pPr>
                    <w:pStyle w:val="96"/>
                    <w:spacing w:line="240" w:lineRule="auto"/>
                    <w:jc w:val="center"/>
                    <w:rPr>
                      <w:rFonts w:hint="eastAsia" w:ascii="Times New Roman" w:hAnsi="Times New Roman" w:eastAsia="宋体" w:cs="Times New Roman"/>
                      <w:color w:val="000000" w:themeColor="text1"/>
                      <w:sz w:val="21"/>
                      <w:lang w:val="en-US" w:eastAsia="zh-CN"/>
                      <w14:textFill>
                        <w14:solidFill>
                          <w14:schemeClr w14:val="tx1"/>
                        </w14:solidFill>
                      </w14:textFill>
                    </w:rPr>
                  </w:pPr>
                </w:p>
              </w:tc>
            </w:tr>
          </w:tbl>
          <w:p w14:paraId="5AE3EED4">
            <w:pPr>
              <w:pStyle w:val="44"/>
              <w:keepNext w:val="0"/>
              <w:keepLines w:val="0"/>
              <w:pageBreakBefore w:val="0"/>
              <w:widowControl w:val="0"/>
              <w:kinsoku/>
              <w:wordWrap/>
              <w:overflowPunct/>
              <w:topLinePunct w:val="0"/>
              <w:autoSpaceDE w:val="0"/>
              <w:autoSpaceDN w:val="0"/>
              <w:bidi w:val="0"/>
              <w:adjustRightInd/>
              <w:snapToGrid/>
              <w:spacing w:before="157" w:beforeLines="50"/>
              <w:textAlignment w:val="auto"/>
              <w:rPr>
                <w:rFonts w:hint="default" w:ascii="Times New Roman" w:hAnsi="Times New Roman"/>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在非正常工况，各污染物的</w:t>
            </w:r>
            <w:r>
              <w:rPr>
                <w:rFonts w:hint="eastAsia"/>
                <w:color w:val="000000" w:themeColor="text1"/>
                <w:highlight w:val="none"/>
                <w:lang w:val="en-US" w:eastAsia="zh-CN"/>
                <w14:textFill>
                  <w14:solidFill>
                    <w14:schemeClr w14:val="tx1"/>
                  </w14:solidFill>
                </w14:textFill>
              </w:rPr>
              <w:t>排放</w:t>
            </w:r>
            <w:r>
              <w:rPr>
                <w:rFonts w:hint="eastAsia"/>
                <w:color w:val="000000" w:themeColor="text1"/>
                <w:highlight w:val="none"/>
                <w14:textFill>
                  <w14:solidFill>
                    <w14:schemeClr w14:val="tx1"/>
                  </w14:solidFill>
                </w14:textFill>
              </w:rPr>
              <w:t>浓度和</w:t>
            </w:r>
            <w:r>
              <w:rPr>
                <w:rFonts w:hint="eastAsia"/>
                <w:color w:val="000000" w:themeColor="text1"/>
                <w:highlight w:val="none"/>
                <w:lang w:val="en-US" w:eastAsia="zh-CN"/>
                <w14:textFill>
                  <w14:solidFill>
                    <w14:schemeClr w14:val="tx1"/>
                  </w14:solidFill>
                </w14:textFill>
              </w:rPr>
              <w:t>速率</w:t>
            </w:r>
            <w:r>
              <w:rPr>
                <w:rFonts w:hint="eastAsia"/>
                <w:color w:val="000000" w:themeColor="text1"/>
                <w:highlight w:val="none"/>
                <w14:textFill>
                  <w14:solidFill>
                    <w14:schemeClr w14:val="tx1"/>
                  </w14:solidFill>
                </w14:textFill>
              </w:rPr>
              <w:t>均显著增加，对外环境的影响与正常工况相比，明显增大。因此建设单位应加强对废气处理设施的管理与维护，确保其能正常稳定运行，杜绝事故的发生。</w:t>
            </w:r>
          </w:p>
          <w:p w14:paraId="4B5AEDDF">
            <w:pPr>
              <w:pStyle w:val="5"/>
              <w:keepNext/>
              <w:keepLines/>
              <w:pageBreakBefore w:val="0"/>
              <w:widowControl w:val="0"/>
              <w:numPr>
                <w:ilvl w:val="3"/>
                <w:numId w:val="16"/>
              </w:numPr>
              <w:tabs>
                <w:tab w:val="left" w:pos="0"/>
              </w:tabs>
              <w:kinsoku/>
              <w:wordWrap/>
              <w:overflowPunct/>
              <w:topLinePunct w:val="0"/>
              <w:autoSpaceDE/>
              <w:autoSpaceDN/>
              <w:bidi w:val="0"/>
              <w:adjustRightInd/>
              <w:snapToGrid/>
              <w:spacing w:before="157" w:beforeLines="50"/>
              <w:ind w:left="862" w:leftChars="0" w:hanging="862" w:firstLineChars="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有组织废气防治措施</w:t>
            </w:r>
          </w:p>
          <w:p w14:paraId="6B7FB1BC">
            <w:pPr>
              <w:pStyle w:val="44"/>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燃生物质锅炉</w:t>
            </w:r>
            <w:r>
              <w:rPr>
                <w:rFonts w:hint="default"/>
                <w:color w:val="000000" w:themeColor="text1"/>
                <w:highlight w:val="none"/>
                <w:lang w:val="en-US" w:eastAsia="zh-CN"/>
                <w14:textFill>
                  <w14:solidFill>
                    <w14:schemeClr w14:val="tx1"/>
                  </w14:solidFill>
                </w14:textFill>
              </w:rPr>
              <w:t>废气处理措施</w:t>
            </w:r>
          </w:p>
          <w:p w14:paraId="1D441476">
            <w:pPr>
              <w:pStyle w:val="44"/>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①生物质蒸汽锅炉燃烧废气处理效果可行性分析：</w:t>
            </w:r>
          </w:p>
          <w:p w14:paraId="5CCB9377">
            <w:pPr>
              <w:pStyle w:val="44"/>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项目生物质锅炉采用低氮燃烧技术燃烧后产生的燃烧废气经多管除尘、布袋除尘处理后，通过1根40m高的烟囱排放。</w:t>
            </w:r>
          </w:p>
          <w:p w14:paraId="44D376F3">
            <w:pPr>
              <w:pStyle w:val="44"/>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低氮燃烧原理：低氮燃烧技术主要是抑制各种氮氧化物的生成。燃烧器低氮技术方式有：分级燃烧技术、浓淡燃烧技术、预混燃烧技术、低过量空气燃烧技术、FGR技术及SCR技术等。通过低氮技术的选择与组合，可有效实现氮氧化物NOx＜30mg的超低排放。</w:t>
            </w:r>
          </w:p>
          <w:p w14:paraId="177349D4">
            <w:pPr>
              <w:pStyle w:val="44"/>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多管除尘+布袋除尘组合技术：整个除尘系统的设计为一级多管旋风除尘器加袋式除尘器的配置，在袋式除尘器前设置旋风分离器作为燃烧沉降室，大颗粒的粉尘及火星经过旋风除尘器捕捉以后，烟气进入布袋除尘器进一步除尘，布袋除尘器滤袋的选择要根据烟气的温度，燃料的特点，排放等不同的要求选择不同材质的滤袋。</w:t>
            </w:r>
          </w:p>
          <w:p w14:paraId="650FBA05">
            <w:pPr>
              <w:pStyle w:val="44"/>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根据《排放源统计调查产排污核算方法和系数手册》（公告2021年第24号）中“4430工业锅炉（热力供应）行业系数手册”，低氮燃烧治理生物质燃料层燃炉氮氧化物的去除效率为30%，多管旋风除尘法、袋式除尘治理生物质燃料层燃炉颗粒物的去除效率分别为70.0%、99.7%，故本评价估算其氮氧化物、颗粒物收集处理效率按30%、99.5%考虑是合理的。</w:t>
            </w:r>
          </w:p>
          <w:p w14:paraId="04B5CA9A">
            <w:pPr>
              <w:pStyle w:val="44"/>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根据《排污许可证申请与核发技术规范锅炉》（HJ953-201</w:t>
            </w:r>
            <w:r>
              <w:rPr>
                <w:rFonts w:hint="eastAsia"/>
                <w:color w:val="000000" w:themeColor="text1"/>
                <w:highlight w:val="none"/>
                <w:lang w:val="en-US" w:eastAsia="zh-CN"/>
                <w14:textFill>
                  <w14:solidFill>
                    <w14:schemeClr w14:val="tx1"/>
                  </w14:solidFill>
                </w14:textFill>
              </w:rPr>
              <w:t>8</w:t>
            </w:r>
            <w:r>
              <w:rPr>
                <w:rFonts w:hint="default"/>
                <w:color w:val="000000" w:themeColor="text1"/>
                <w:highlight w:val="none"/>
                <w:lang w:val="en-US" w:eastAsia="zh-CN"/>
                <w14:textFill>
                  <w14:solidFill>
                    <w14:schemeClr w14:val="tx1"/>
                  </w14:solidFill>
                </w14:textFill>
              </w:rPr>
              <w:t>）表7，低氮燃烧技术为生物质层燃炉、流化床炉、室燃炉氮氧化物污染防治推荐可行技术、旋风除尘和袋式除尘组合技术为生物质层燃炉、流化床炉、室燃炉颗粒物污染防治推荐可行技术；根据《工业锅炉烟气治理工程技术规范》（HJ 462-2021），“6.2.1煤粉锅炉、循环流化床锅炉宜优先选用低氮燃烧工艺”、“</w:t>
            </w:r>
            <w:r>
              <w:rPr>
                <w:rFonts w:hint="default"/>
                <w:color w:val="000000" w:themeColor="text1"/>
                <w:highlight w:val="none"/>
                <w:lang w:val="en-US" w:eastAsia="zh-CN"/>
                <w14:textFill>
                  <w14:solidFill>
                    <w14:schemeClr w14:val="tx1"/>
                  </w14:solidFill>
                </w14:textFill>
              </w:rPr>
              <w:fldChar w:fldCharType="begin"/>
            </w:r>
            <w:r>
              <w:rPr>
                <w:rFonts w:hint="default"/>
                <w:color w:val="000000" w:themeColor="text1"/>
                <w:highlight w:val="none"/>
                <w:lang w:val="en-US" w:eastAsia="zh-CN"/>
                <w14:textFill>
                  <w14:solidFill>
                    <w14:schemeClr w14:val="tx1"/>
                  </w14:solidFill>
                </w14:textFill>
              </w:rPr>
              <w:instrText xml:space="preserve">HYPERLINK"6.6.1.5"</w:instrText>
            </w:r>
            <w:r>
              <w:rPr>
                <w:rFonts w:hint="default"/>
                <w:color w:val="000000" w:themeColor="text1"/>
                <w:highlight w:val="none"/>
                <w:lang w:val="en-US" w:eastAsia="zh-CN"/>
                <w14:textFill>
                  <w14:solidFill>
                    <w14:schemeClr w14:val="tx1"/>
                  </w14:solidFill>
                </w14:textFill>
              </w:rPr>
              <w:fldChar w:fldCharType="separate"/>
            </w:r>
            <w:r>
              <w:rPr>
                <w:rFonts w:hint="default"/>
                <w:color w:val="000000" w:themeColor="text1"/>
                <w:highlight w:val="none"/>
                <w:lang w:val="en-US" w:eastAsia="zh-CN"/>
                <w14:textFill>
                  <w14:solidFill>
                    <w14:schemeClr w14:val="tx1"/>
                  </w14:solidFill>
                </w14:textFill>
              </w:rPr>
              <w:t>6.6.1.5</w:t>
            </w:r>
            <w:r>
              <w:rPr>
                <w:rFonts w:hint="default"/>
                <w:color w:val="000000" w:themeColor="text1"/>
                <w:highlight w:val="none"/>
                <w:lang w:val="en-US" w:eastAsia="zh-CN"/>
                <w14:textFill>
                  <w14:solidFill>
                    <w14:schemeClr w14:val="tx1"/>
                  </w14:solidFill>
                </w14:textFill>
              </w:rPr>
              <w:fldChar w:fldCharType="end"/>
            </w:r>
            <w:r>
              <w:rPr>
                <w:rFonts w:hint="default"/>
                <w:color w:val="000000" w:themeColor="text1"/>
                <w:highlight w:val="none"/>
                <w:lang w:val="en-US" w:eastAsia="zh-CN"/>
                <w14:textFill>
                  <w14:solidFill>
                    <w14:schemeClr w14:val="tx1"/>
                  </w14:solidFill>
                </w14:textFill>
              </w:rPr>
              <w:t>机械式除尘适用于预除尘，可作为层燃锅炉采用袋式除尘时的前置保护措施。”根据《工业锅炉污染防治可行技术指南》（HJ 1178-2021）表1，低氮燃烧预防技术与机械除尘+袋式除尘治理技术为燃料是生物质成型燃料的烟气污染防治可行技术。</w:t>
            </w:r>
          </w:p>
          <w:p w14:paraId="57DD2732">
            <w:pPr>
              <w:pStyle w:val="44"/>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根据废气污染源源强核算，经处理后生物质锅炉燃烧废气SO</w:t>
            </w:r>
            <w:r>
              <w:rPr>
                <w:rFonts w:hint="default"/>
                <w:color w:val="000000" w:themeColor="text1"/>
                <w:highlight w:val="none"/>
                <w:vertAlign w:val="subscript"/>
                <w:lang w:val="en-US" w:eastAsia="zh-CN"/>
                <w14:textFill>
                  <w14:solidFill>
                    <w14:schemeClr w14:val="tx1"/>
                  </w14:solidFill>
                </w14:textFill>
              </w:rPr>
              <w:t>2</w:t>
            </w:r>
            <w:r>
              <w:rPr>
                <w:rFonts w:hint="default"/>
                <w:color w:val="000000" w:themeColor="text1"/>
                <w:highlight w:val="none"/>
                <w:lang w:val="en-US" w:eastAsia="zh-CN"/>
                <w14:textFill>
                  <w14:solidFill>
                    <w14:schemeClr w14:val="tx1"/>
                  </w14:solidFill>
                </w14:textFill>
              </w:rPr>
              <w:t>、NO</w:t>
            </w:r>
            <w:r>
              <w:rPr>
                <w:rFonts w:hint="default"/>
                <w:color w:val="000000" w:themeColor="text1"/>
                <w:highlight w:val="none"/>
                <w:vertAlign w:val="subscript"/>
                <w:lang w:val="en-US" w:eastAsia="zh-CN"/>
                <w14:textFill>
                  <w14:solidFill>
                    <w14:schemeClr w14:val="tx1"/>
                  </w14:solidFill>
                </w14:textFill>
              </w:rPr>
              <w:t>X</w:t>
            </w:r>
            <w:r>
              <w:rPr>
                <w:rFonts w:hint="default"/>
                <w:color w:val="000000" w:themeColor="text1"/>
                <w:highlight w:val="none"/>
                <w:lang w:val="en-US" w:eastAsia="zh-CN"/>
                <w14:textFill>
                  <w14:solidFill>
                    <w14:schemeClr w14:val="tx1"/>
                  </w14:solidFill>
                </w14:textFill>
              </w:rPr>
              <w:t>、颗粒物排放浓度均可达到《锅炉大气污染物排放标准》（GB 13271-2014）中表3燃煤锅炉的特别排放限值。故项目采用低氮燃烧技术以及多管除尘+布袋除尘处理技术处理生物质蒸汽锅炉燃烧废气是可行的。</w:t>
            </w:r>
          </w:p>
          <w:p w14:paraId="7841ABB9">
            <w:pPr>
              <w:pStyle w:val="5"/>
              <w:keepNext/>
              <w:keepLines/>
              <w:pageBreakBefore w:val="0"/>
              <w:widowControl w:val="0"/>
              <w:numPr>
                <w:ilvl w:val="3"/>
                <w:numId w:val="16"/>
              </w:numPr>
              <w:tabs>
                <w:tab w:val="left" w:pos="0"/>
              </w:tabs>
              <w:kinsoku/>
              <w:wordWrap/>
              <w:overflowPunct/>
              <w:topLinePunct w:val="0"/>
              <w:autoSpaceDE/>
              <w:autoSpaceDN/>
              <w:bidi w:val="0"/>
              <w:adjustRightInd/>
              <w:snapToGrid/>
              <w:spacing w:before="157" w:beforeLines="50"/>
              <w:ind w:left="862" w:leftChars="0" w:hanging="862" w:firstLineChars="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无组织废气防治措施</w:t>
            </w:r>
          </w:p>
          <w:p w14:paraId="415F1FAD">
            <w:pPr>
              <w:pStyle w:val="44"/>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建设项目无组织排放的废气主要是未捕集的</w:t>
            </w:r>
            <w:r>
              <w:rPr>
                <w:rFonts w:hint="eastAsia"/>
                <w:color w:val="000000" w:themeColor="text1"/>
                <w:highlight w:val="none"/>
                <w:lang w:val="en-US" w:eastAsia="zh-CN"/>
                <w14:textFill>
                  <w14:solidFill>
                    <w14:schemeClr w14:val="tx1"/>
                  </w14:solidFill>
                </w14:textFill>
              </w:rPr>
              <w:t>水泥、石灰、铝粉料仓呼吸孔</w:t>
            </w:r>
            <w:r>
              <w:rPr>
                <w:rFonts w:hint="eastAsia"/>
                <w:color w:val="000000" w:themeColor="text1"/>
                <w:highlight w:val="none"/>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搅拌进料系统</w:t>
            </w:r>
            <w:r>
              <w:rPr>
                <w:rFonts w:hint="eastAsia"/>
                <w:color w:val="000000" w:themeColor="text1"/>
                <w:highlight w:val="none"/>
                <w14:textFill>
                  <w14:solidFill>
                    <w14:schemeClr w14:val="tx1"/>
                  </w14:solidFill>
                </w14:textFill>
              </w:rPr>
              <w:t>等。建设单位拟采取如下措施，以减少无组织挥发量与排放浓度：</w:t>
            </w:r>
          </w:p>
          <w:p w14:paraId="1762696E">
            <w:pPr>
              <w:pStyle w:val="44"/>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（1）在装卸过程中应轻装轻卸，在允许的条件下可在室内进行装卸，加强车间吸尘范围及设备吸尘效率，使物料装卸及项目生产运营过程中产生的无组织废气挥发量降到最低</w:t>
            </w:r>
            <w:r>
              <w:rPr>
                <w:rFonts w:hint="eastAsia"/>
                <w:color w:val="000000" w:themeColor="text1"/>
                <w:highlight w:val="none"/>
                <w:lang w:eastAsia="zh-CN"/>
                <w14:textFill>
                  <w14:solidFill>
                    <w14:schemeClr w14:val="tx1"/>
                  </w14:solidFill>
                </w14:textFill>
              </w:rPr>
              <w:t>；</w:t>
            </w:r>
          </w:p>
          <w:p w14:paraId="69EA6BA0">
            <w:pPr>
              <w:pStyle w:val="44"/>
              <w:bidi w:val="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lang w:eastAsia="zh-CN"/>
                <w14:textFill>
                  <w14:solidFill>
                    <w14:schemeClr w14:val="tx1"/>
                  </w14:solidFill>
                </w14:textFill>
              </w:rPr>
              <w:t>）合理布置车间，加强设备管理，将产生无组织废气的产生源布置在远离厂界的地方，以减少无组织废气对厂界周围环境的影响；</w:t>
            </w:r>
          </w:p>
          <w:p w14:paraId="3CECB97E">
            <w:pPr>
              <w:pStyle w:val="44"/>
              <w:bidi w:val="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lang w:eastAsia="zh-CN"/>
                <w14:textFill>
                  <w14:solidFill>
                    <w14:schemeClr w14:val="tx1"/>
                  </w14:solidFill>
                </w14:textFill>
              </w:rPr>
              <w:t>）加强对操作工的培训和管理，确保废气的捕捉率，以减少人为造成的废气无组织排放；</w:t>
            </w:r>
          </w:p>
          <w:p w14:paraId="7D1E4D06">
            <w:pPr>
              <w:pStyle w:val="44"/>
              <w:bidi w:val="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lang w:eastAsia="zh-CN"/>
                <w14:textFill>
                  <w14:solidFill>
                    <w14:schemeClr w14:val="tx1"/>
                  </w14:solidFill>
                </w14:textFill>
              </w:rPr>
              <w:t>）除尘器卸灰口应采取遮挡等抑尘措施，除尘灰不得直接卸落到地面。除尘灰采取袋装、罐装等密闭措施收集、存放和运输；</w:t>
            </w:r>
          </w:p>
          <w:p w14:paraId="2A30B51B">
            <w:pPr>
              <w:pStyle w:val="44"/>
              <w:bidi w:val="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废气产生量大的工序如：水泥、石灰、铝粉料仓呼吸孔</w:t>
            </w:r>
            <w:r>
              <w:rPr>
                <w:rFonts w:hint="eastAsia"/>
                <w:color w:val="000000" w:themeColor="text1"/>
                <w:highlight w:val="none"/>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搅拌进料系统</w:t>
            </w:r>
            <w:r>
              <w:rPr>
                <w:rFonts w:hint="eastAsia"/>
                <w:color w:val="000000" w:themeColor="text1"/>
                <w:highlight w:val="none"/>
                <w:lang w:val="en-US" w:eastAsia="zh-CN"/>
                <w14:textFill>
                  <w14:solidFill>
                    <w14:schemeClr w14:val="tx1"/>
                  </w14:solidFill>
                </w14:textFill>
              </w:rPr>
              <w:t>等</w:t>
            </w:r>
            <w:r>
              <w:rPr>
                <w:rFonts w:hint="eastAsia"/>
                <w:color w:val="000000" w:themeColor="text1"/>
                <w:highlight w:val="none"/>
                <w:lang w:eastAsia="zh-CN"/>
                <w14:textFill>
                  <w14:solidFill>
                    <w14:schemeClr w14:val="tx1"/>
                  </w14:solidFill>
                </w14:textFill>
              </w:rPr>
              <w:t>工序应在封闭空间内操作，废气收集至除尘设施；未在封闭空间内操作，应采用固定式、移动式集气设备，并配备除尘设施。</w:t>
            </w:r>
          </w:p>
          <w:p w14:paraId="5B2D1563">
            <w:pPr>
              <w:pStyle w:val="44"/>
              <w:bidi w:val="0"/>
              <w:jc w:val="both"/>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通过以上措施，可减少无组织废气的排放，无组织排放废气能够满足相应的排放标准要求，对周围大气环境的影响较小。</w:t>
            </w:r>
          </w:p>
          <w:p w14:paraId="5569290C">
            <w:pPr>
              <w:pStyle w:val="5"/>
              <w:keepNext/>
              <w:keepLines/>
              <w:pageBreakBefore w:val="0"/>
              <w:widowControl w:val="0"/>
              <w:numPr>
                <w:ilvl w:val="3"/>
                <w:numId w:val="16"/>
              </w:numPr>
              <w:tabs>
                <w:tab w:val="left" w:pos="0"/>
              </w:tabs>
              <w:kinsoku/>
              <w:wordWrap/>
              <w:overflowPunct/>
              <w:topLinePunct w:val="0"/>
              <w:autoSpaceDE/>
              <w:autoSpaceDN/>
              <w:bidi w:val="0"/>
              <w:adjustRightInd/>
              <w:snapToGrid/>
              <w:spacing w:before="157" w:beforeLines="50"/>
              <w:ind w:left="862" w:leftChars="0" w:hanging="862" w:firstLineChars="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非正常排放</w:t>
            </w:r>
            <w:r>
              <w:rPr>
                <w:rFonts w:hint="default" w:ascii="Times New Roman" w:hAnsi="Times New Roman" w:eastAsia="宋体" w:cs="Times New Roman"/>
                <w:color w:val="000000" w:themeColor="text1"/>
                <w:highlight w:val="none"/>
                <w:lang w:val="en-US" w:eastAsia="zh-CN"/>
                <w14:textFill>
                  <w14:solidFill>
                    <w14:schemeClr w14:val="tx1"/>
                  </w14:solidFill>
                </w14:textFill>
              </w:rPr>
              <w:t>防治措施</w:t>
            </w:r>
          </w:p>
          <w:p w14:paraId="3BB660F9">
            <w:pPr>
              <w:pStyle w:val="44"/>
              <w:bidi w:val="0"/>
              <w:jc w:val="both"/>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防止废气非正常工况排放，企业必须加强环保设施运行管理，定期检修，确保设备效率正常运行，在设备停止运行或出现故障时，产生废气的工序也必须相应停止运行。为严防废气非正常排放，应采取以下措施确保废气达标排放：</w:t>
            </w:r>
          </w:p>
          <w:p w14:paraId="40D9D274">
            <w:pPr>
              <w:pStyle w:val="44"/>
              <w:bidi w:val="0"/>
              <w:jc w:val="both"/>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①安排专人负责设备的日常维护和管理，每隔固定时间检查、汇报情况，及时发现废气处理设备的隐患，确保设备处理效率正常运行；</w:t>
            </w:r>
          </w:p>
          <w:p w14:paraId="2425F921">
            <w:pPr>
              <w:pStyle w:val="44"/>
              <w:bidi w:val="0"/>
              <w:jc w:val="both"/>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②建立健全的环保管理机构，对环保管理人员和技术人员进行岗位培训，委托具有专业资质的环境检测单位对项目排放的污染物进行定期检测；</w:t>
            </w:r>
          </w:p>
          <w:p w14:paraId="6DB3F6C2">
            <w:pPr>
              <w:pStyle w:val="44"/>
              <w:bidi w:val="0"/>
              <w:jc w:val="both"/>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③应定期维护、检修环保设施运行装置，以保持设备的净化能力和净化容量。</w:t>
            </w:r>
          </w:p>
          <w:p w14:paraId="151C5B93">
            <w:pPr>
              <w:pStyle w:val="44"/>
              <w:bidi w:val="0"/>
              <w:jc w:val="both"/>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综上，项目在采取上述非正常排放防范措施后，非正常排放发生频率较低，非正常工况可及时得到处理，因此本项目废气非正常排放对周边大气环境影响较小。当非正常排放时，废气将超标排放，因此建设单位须加强管理，并采取必要的防范措施，杜绝此类事件发生。</w:t>
            </w:r>
          </w:p>
          <w:p w14:paraId="2408B103">
            <w:pPr>
              <w:pStyle w:val="4"/>
              <w:numPr>
                <w:ilvl w:val="2"/>
                <w:numId w:val="16"/>
              </w:numPr>
              <w:tabs>
                <w:tab w:val="left" w:pos="0"/>
              </w:tabs>
              <w:bidi w:val="0"/>
              <w:ind w:left="720" w:leftChars="0" w:hanging="720" w:firstLineChars="0"/>
              <w:rPr>
                <w:rFonts w:hint="default" w:ascii="Times New Roman" w:hAnsi="Times New Roman" w:eastAsia="宋体" w:cs="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废气自行监测计划</w:t>
            </w:r>
          </w:p>
          <w:p w14:paraId="4DBB5045">
            <w:pPr>
              <w:pStyle w:val="44"/>
              <w:bidi w:val="0"/>
              <w:jc w:val="both"/>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本项目建成投产后，企业应根据《排污单位自行监测技术指南 总则》（HJ</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lang w:eastAsia="zh-CN"/>
                <w14:textFill>
                  <w14:solidFill>
                    <w14:schemeClr w14:val="tx1"/>
                  </w14:solidFill>
                </w14:textFill>
              </w:rPr>
              <w:t>819-2017）及建设单位自身情况，委托有资质的检（监）测机构代其开展自行监测，当发生环境污染事故时，应增加监测频次，按照应急监测要求进行监测，监测要求详见下表。</w:t>
            </w:r>
          </w:p>
          <w:p w14:paraId="19D01AB3">
            <w:pPr>
              <w:pStyle w:val="42"/>
              <w:keepNext/>
              <w:keepLines/>
              <w:pageBreakBefore w:val="0"/>
              <w:widowControl w:val="0"/>
              <w:numPr>
                <w:ilvl w:val="7"/>
                <w:numId w:val="16"/>
              </w:numPr>
              <w:tabs>
                <w:tab w:val="left" w:pos="0"/>
              </w:tabs>
              <w:kinsoku/>
              <w:wordWrap/>
              <w:overflowPunct/>
              <w:topLinePunct w:val="0"/>
              <w:autoSpaceDE/>
              <w:autoSpaceDN/>
              <w:bidi w:val="0"/>
              <w:adjustRightInd/>
              <w:snapToGrid/>
              <w:spacing w:before="120"/>
              <w:ind w:left="630" w:leftChars="0" w:firstLine="0" w:firstLineChars="0"/>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 项目废气监测要求一览表</w:t>
            </w:r>
          </w:p>
          <w:tbl>
            <w:tblPr>
              <w:tblStyle w:val="32"/>
              <w:tblW w:w="4998"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753"/>
              <w:gridCol w:w="2126"/>
              <w:gridCol w:w="4301"/>
              <w:gridCol w:w="1538"/>
            </w:tblGrid>
            <w:tr w14:paraId="26A214A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432" w:type="pct"/>
                  <w:tcBorders>
                    <w:left w:val="nil"/>
                    <w:bottom w:val="single" w:color="000000" w:sz="4" w:space="0"/>
                    <w:right w:val="single" w:color="000000" w:sz="4" w:space="0"/>
                  </w:tcBorders>
                  <w:vAlign w:val="center"/>
                </w:tcPr>
                <w:p w14:paraId="1F2236CE">
                  <w:pPr>
                    <w:pStyle w:val="9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1"/>
                    </w:rPr>
                  </w:pPr>
                  <w:r>
                    <w:rPr>
                      <w:spacing w:val="-8"/>
                      <w:sz w:val="21"/>
                    </w:rPr>
                    <w:t>序号</w:t>
                  </w:r>
                </w:p>
              </w:tc>
              <w:tc>
                <w:tcPr>
                  <w:tcW w:w="1219" w:type="pct"/>
                  <w:tcBorders>
                    <w:left w:val="single" w:color="000000" w:sz="4" w:space="0"/>
                    <w:bottom w:val="single" w:color="000000" w:sz="4" w:space="0"/>
                    <w:right w:val="single" w:color="000000" w:sz="4" w:space="0"/>
                  </w:tcBorders>
                  <w:vAlign w:val="center"/>
                </w:tcPr>
                <w:p w14:paraId="13A6738E">
                  <w:pPr>
                    <w:pStyle w:val="9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1"/>
                    </w:rPr>
                  </w:pPr>
                  <w:r>
                    <w:rPr>
                      <w:spacing w:val="-7"/>
                      <w:sz w:val="21"/>
                    </w:rPr>
                    <w:t>监测点位</w:t>
                  </w:r>
                </w:p>
              </w:tc>
              <w:tc>
                <w:tcPr>
                  <w:tcW w:w="2466" w:type="pct"/>
                  <w:tcBorders>
                    <w:left w:val="single" w:color="000000" w:sz="4" w:space="0"/>
                    <w:bottom w:val="single" w:color="000000" w:sz="4" w:space="0"/>
                    <w:right w:val="single" w:color="000000" w:sz="4" w:space="0"/>
                  </w:tcBorders>
                  <w:vAlign w:val="center"/>
                </w:tcPr>
                <w:p w14:paraId="4CFC1410">
                  <w:pPr>
                    <w:pStyle w:val="9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1"/>
                    </w:rPr>
                  </w:pPr>
                  <w:r>
                    <w:rPr>
                      <w:spacing w:val="-7"/>
                      <w:sz w:val="21"/>
                    </w:rPr>
                    <w:t>监测因子</w:t>
                  </w:r>
                </w:p>
              </w:tc>
              <w:tc>
                <w:tcPr>
                  <w:tcW w:w="881" w:type="pct"/>
                  <w:tcBorders>
                    <w:left w:val="single" w:color="000000" w:sz="4" w:space="0"/>
                    <w:bottom w:val="single" w:color="000000" w:sz="4" w:space="0"/>
                    <w:right w:val="nil"/>
                  </w:tcBorders>
                  <w:vAlign w:val="center"/>
                </w:tcPr>
                <w:p w14:paraId="49A24F32">
                  <w:pPr>
                    <w:pStyle w:val="9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1"/>
                    </w:rPr>
                  </w:pPr>
                  <w:r>
                    <w:rPr>
                      <w:spacing w:val="-7"/>
                      <w:sz w:val="21"/>
                    </w:rPr>
                    <w:t>监测频次</w:t>
                  </w:r>
                </w:p>
              </w:tc>
            </w:tr>
            <w:tr w14:paraId="4DC5E52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432" w:type="pct"/>
                  <w:tcBorders>
                    <w:top w:val="single" w:color="000000" w:sz="4" w:space="0"/>
                    <w:left w:val="nil"/>
                    <w:bottom w:val="single" w:color="000000" w:sz="4" w:space="0"/>
                    <w:right w:val="single" w:color="000000" w:sz="4" w:space="0"/>
                  </w:tcBorders>
                  <w:vAlign w:val="center"/>
                </w:tcPr>
                <w:p w14:paraId="3A455B1E">
                  <w:pPr>
                    <w:pStyle w:val="9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sz w:val="21"/>
                    </w:rPr>
                  </w:pPr>
                  <w:r>
                    <w:rPr>
                      <w:rFonts w:ascii="Times New Roman"/>
                      <w:spacing w:val="-10"/>
                      <w:sz w:val="21"/>
                    </w:rPr>
                    <w:t>1</w:t>
                  </w:r>
                </w:p>
              </w:tc>
              <w:tc>
                <w:tcPr>
                  <w:tcW w:w="1219" w:type="pct"/>
                  <w:tcBorders>
                    <w:top w:val="single" w:color="000000" w:sz="4" w:space="0"/>
                    <w:left w:val="single" w:color="000000" w:sz="4" w:space="0"/>
                    <w:bottom w:val="single" w:color="000000" w:sz="4" w:space="0"/>
                    <w:right w:val="single" w:color="000000" w:sz="4" w:space="0"/>
                  </w:tcBorders>
                  <w:vAlign w:val="center"/>
                </w:tcPr>
                <w:p w14:paraId="57A8FA0F">
                  <w:pPr>
                    <w:pStyle w:val="9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1"/>
                    </w:rPr>
                  </w:pPr>
                  <w:r>
                    <w:rPr>
                      <w:rFonts w:ascii="Times New Roman" w:eastAsia="Times New Roman"/>
                      <w:spacing w:val="-6"/>
                      <w:sz w:val="21"/>
                    </w:rPr>
                    <w:t>DA001</w:t>
                  </w:r>
                  <w:r>
                    <w:rPr>
                      <w:spacing w:val="-8"/>
                      <w:sz w:val="21"/>
                    </w:rPr>
                    <w:t>出口</w:t>
                  </w:r>
                </w:p>
              </w:tc>
              <w:tc>
                <w:tcPr>
                  <w:tcW w:w="2466" w:type="pct"/>
                  <w:tcBorders>
                    <w:top w:val="single" w:color="000000" w:sz="4" w:space="0"/>
                    <w:left w:val="single" w:color="000000" w:sz="4" w:space="0"/>
                    <w:bottom w:val="single" w:color="000000" w:sz="4" w:space="0"/>
                    <w:right w:val="single" w:color="000000" w:sz="4" w:space="0"/>
                  </w:tcBorders>
                  <w:vAlign w:val="center"/>
                </w:tcPr>
                <w:p w14:paraId="65730AFA">
                  <w:pPr>
                    <w:pStyle w:val="9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1"/>
                    </w:rPr>
                  </w:pPr>
                  <w:r>
                    <w:rPr>
                      <w:spacing w:val="-5"/>
                      <w:sz w:val="21"/>
                    </w:rPr>
                    <w:t>颗粒物</w:t>
                  </w:r>
                </w:p>
              </w:tc>
              <w:tc>
                <w:tcPr>
                  <w:tcW w:w="881" w:type="pct"/>
                  <w:tcBorders>
                    <w:top w:val="single" w:color="000000" w:sz="4" w:space="0"/>
                    <w:left w:val="single" w:color="000000" w:sz="4" w:space="0"/>
                    <w:bottom w:val="single" w:color="000000" w:sz="4" w:space="0"/>
                    <w:right w:val="nil"/>
                  </w:tcBorders>
                  <w:vAlign w:val="center"/>
                </w:tcPr>
                <w:p w14:paraId="1148A17B">
                  <w:pPr>
                    <w:pStyle w:val="9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1"/>
                    </w:rPr>
                  </w:pPr>
                  <w:r>
                    <w:rPr>
                      <w:rFonts w:ascii="Times New Roman" w:eastAsia="Times New Roman"/>
                      <w:sz w:val="21"/>
                    </w:rPr>
                    <w:t>1</w:t>
                  </w:r>
                  <w:r>
                    <w:rPr>
                      <w:sz w:val="21"/>
                    </w:rPr>
                    <w:t>次</w:t>
                  </w:r>
                  <w:r>
                    <w:rPr>
                      <w:rFonts w:ascii="Times New Roman" w:eastAsia="Times New Roman"/>
                      <w:sz w:val="21"/>
                    </w:rPr>
                    <w:t>/</w:t>
                  </w:r>
                  <w:r>
                    <w:rPr>
                      <w:spacing w:val="-10"/>
                      <w:sz w:val="21"/>
                    </w:rPr>
                    <w:t>年</w:t>
                  </w:r>
                </w:p>
              </w:tc>
            </w:tr>
            <w:tr w14:paraId="61AC936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80" w:hRule="atLeast"/>
                <w:jc w:val="center"/>
              </w:trPr>
              <w:tc>
                <w:tcPr>
                  <w:tcW w:w="432" w:type="pct"/>
                  <w:tcBorders>
                    <w:top w:val="single" w:color="000000" w:sz="4" w:space="0"/>
                    <w:left w:val="nil"/>
                    <w:bottom w:val="single" w:color="000000" w:sz="4" w:space="0"/>
                    <w:right w:val="single" w:color="000000" w:sz="4" w:space="0"/>
                  </w:tcBorders>
                  <w:vAlign w:val="center"/>
                </w:tcPr>
                <w:p w14:paraId="2604CADC">
                  <w:pPr>
                    <w:pStyle w:val="9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sz w:val="21"/>
                    </w:rPr>
                  </w:pPr>
                  <w:r>
                    <w:rPr>
                      <w:rFonts w:ascii="Times New Roman"/>
                      <w:spacing w:val="-10"/>
                      <w:sz w:val="21"/>
                    </w:rPr>
                    <w:t>2</w:t>
                  </w:r>
                </w:p>
              </w:tc>
              <w:tc>
                <w:tcPr>
                  <w:tcW w:w="1219" w:type="pct"/>
                  <w:tcBorders>
                    <w:top w:val="single" w:color="000000" w:sz="4" w:space="0"/>
                    <w:left w:val="single" w:color="000000" w:sz="4" w:space="0"/>
                    <w:bottom w:val="single" w:color="000000" w:sz="4" w:space="0"/>
                    <w:right w:val="single" w:color="000000" w:sz="4" w:space="0"/>
                  </w:tcBorders>
                  <w:vAlign w:val="center"/>
                </w:tcPr>
                <w:p w14:paraId="39D1CE24">
                  <w:pPr>
                    <w:pStyle w:val="9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1"/>
                    </w:rPr>
                  </w:pPr>
                  <w:r>
                    <w:rPr>
                      <w:rFonts w:ascii="Times New Roman" w:eastAsia="Times New Roman"/>
                      <w:sz w:val="21"/>
                    </w:rPr>
                    <w:t>DA00</w:t>
                  </w:r>
                  <w:r>
                    <w:rPr>
                      <w:rFonts w:hint="eastAsia" w:ascii="Times New Roman" w:eastAsia="宋体"/>
                      <w:sz w:val="21"/>
                      <w:lang w:val="en-US" w:eastAsia="zh-CN"/>
                    </w:rPr>
                    <w:t>2</w:t>
                  </w:r>
                  <w:r>
                    <w:rPr>
                      <w:spacing w:val="-5"/>
                      <w:sz w:val="21"/>
                    </w:rPr>
                    <w:t>出口</w:t>
                  </w:r>
                </w:p>
              </w:tc>
              <w:tc>
                <w:tcPr>
                  <w:tcW w:w="2466" w:type="pct"/>
                  <w:tcBorders>
                    <w:top w:val="single" w:color="000000" w:sz="4" w:space="0"/>
                    <w:left w:val="single" w:color="000000" w:sz="4" w:space="0"/>
                    <w:bottom w:val="single" w:color="000000" w:sz="4" w:space="0"/>
                    <w:right w:val="single" w:color="000000" w:sz="4" w:space="0"/>
                  </w:tcBorders>
                  <w:vAlign w:val="center"/>
                </w:tcPr>
                <w:p w14:paraId="1C7B74D7">
                  <w:pPr>
                    <w:pStyle w:val="9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z w:val="21"/>
                    </w:rPr>
                  </w:pPr>
                  <w:r>
                    <w:rPr>
                      <w:spacing w:val="-6"/>
                      <w:sz w:val="21"/>
                    </w:rPr>
                    <w:t>颗粒物</w:t>
                  </w:r>
                </w:p>
              </w:tc>
              <w:tc>
                <w:tcPr>
                  <w:tcW w:w="881" w:type="pct"/>
                  <w:tcBorders>
                    <w:top w:val="single" w:color="000000" w:sz="4" w:space="0"/>
                    <w:left w:val="single" w:color="000000" w:sz="4" w:space="0"/>
                    <w:bottom w:val="single" w:color="000000" w:sz="4" w:space="0"/>
                    <w:right w:val="nil"/>
                  </w:tcBorders>
                  <w:vAlign w:val="center"/>
                </w:tcPr>
                <w:p w14:paraId="68251A83">
                  <w:pPr>
                    <w:pStyle w:val="9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1"/>
                    </w:rPr>
                  </w:pPr>
                  <w:r>
                    <w:rPr>
                      <w:rFonts w:ascii="Times New Roman" w:eastAsia="Times New Roman"/>
                      <w:sz w:val="21"/>
                    </w:rPr>
                    <w:t>1</w:t>
                  </w:r>
                  <w:r>
                    <w:rPr>
                      <w:sz w:val="21"/>
                    </w:rPr>
                    <w:t>次</w:t>
                  </w:r>
                  <w:r>
                    <w:rPr>
                      <w:rFonts w:ascii="Times New Roman" w:eastAsia="Times New Roman"/>
                      <w:sz w:val="21"/>
                    </w:rPr>
                    <w:t>/</w:t>
                  </w:r>
                  <w:r>
                    <w:rPr>
                      <w:spacing w:val="-10"/>
                      <w:sz w:val="21"/>
                    </w:rPr>
                    <w:t>年</w:t>
                  </w:r>
                </w:p>
              </w:tc>
            </w:tr>
            <w:tr w14:paraId="74B6807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432" w:type="pct"/>
                  <w:tcBorders>
                    <w:top w:val="single" w:color="000000" w:sz="4" w:space="0"/>
                    <w:left w:val="nil"/>
                    <w:bottom w:val="single" w:color="000000" w:sz="4" w:space="0"/>
                    <w:right w:val="single" w:color="000000" w:sz="4" w:space="0"/>
                  </w:tcBorders>
                  <w:vAlign w:val="center"/>
                </w:tcPr>
                <w:p w14:paraId="03065196">
                  <w:pPr>
                    <w:pStyle w:val="9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sz w:val="21"/>
                    </w:rPr>
                  </w:pPr>
                  <w:r>
                    <w:rPr>
                      <w:rFonts w:ascii="Times New Roman"/>
                      <w:spacing w:val="-10"/>
                      <w:sz w:val="21"/>
                    </w:rPr>
                    <w:t>3</w:t>
                  </w:r>
                </w:p>
              </w:tc>
              <w:tc>
                <w:tcPr>
                  <w:tcW w:w="1219" w:type="pct"/>
                  <w:tcBorders>
                    <w:top w:val="single" w:color="000000" w:sz="4" w:space="0"/>
                    <w:left w:val="single" w:color="000000" w:sz="4" w:space="0"/>
                    <w:bottom w:val="single" w:color="000000" w:sz="4" w:space="0"/>
                    <w:right w:val="single" w:color="000000" w:sz="4" w:space="0"/>
                  </w:tcBorders>
                  <w:vAlign w:val="center"/>
                </w:tcPr>
                <w:p w14:paraId="55192C99">
                  <w:pPr>
                    <w:pStyle w:val="9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1"/>
                    </w:rPr>
                  </w:pPr>
                  <w:r>
                    <w:rPr>
                      <w:spacing w:val="-8"/>
                      <w:sz w:val="21"/>
                    </w:rPr>
                    <w:t>厂界</w:t>
                  </w:r>
                </w:p>
              </w:tc>
              <w:tc>
                <w:tcPr>
                  <w:tcW w:w="2466" w:type="pct"/>
                  <w:tcBorders>
                    <w:top w:val="single" w:color="000000" w:sz="4" w:space="0"/>
                    <w:left w:val="single" w:color="000000" w:sz="4" w:space="0"/>
                    <w:bottom w:val="single" w:color="000000" w:sz="4" w:space="0"/>
                    <w:right w:val="single" w:color="000000" w:sz="4" w:space="0"/>
                  </w:tcBorders>
                  <w:vAlign w:val="center"/>
                </w:tcPr>
                <w:p w14:paraId="01F582E0">
                  <w:pPr>
                    <w:pStyle w:val="9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1"/>
                    </w:rPr>
                  </w:pPr>
                  <w:r>
                    <w:rPr>
                      <w:spacing w:val="-9"/>
                      <w:sz w:val="21"/>
                    </w:rPr>
                    <w:t>颗粒物、非甲烷总烃</w:t>
                  </w:r>
                </w:p>
              </w:tc>
              <w:tc>
                <w:tcPr>
                  <w:tcW w:w="881" w:type="pct"/>
                  <w:tcBorders>
                    <w:top w:val="single" w:color="000000" w:sz="4" w:space="0"/>
                    <w:left w:val="single" w:color="000000" w:sz="4" w:space="0"/>
                    <w:bottom w:val="single" w:color="000000" w:sz="4" w:space="0"/>
                    <w:right w:val="nil"/>
                  </w:tcBorders>
                  <w:vAlign w:val="center"/>
                </w:tcPr>
                <w:p w14:paraId="3A618A54">
                  <w:pPr>
                    <w:pStyle w:val="9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1"/>
                    </w:rPr>
                  </w:pPr>
                  <w:r>
                    <w:rPr>
                      <w:rFonts w:ascii="Times New Roman" w:eastAsia="Times New Roman"/>
                      <w:sz w:val="21"/>
                    </w:rPr>
                    <w:t>1</w:t>
                  </w:r>
                  <w:r>
                    <w:rPr>
                      <w:sz w:val="21"/>
                    </w:rPr>
                    <w:t>次</w:t>
                  </w:r>
                  <w:r>
                    <w:rPr>
                      <w:rFonts w:ascii="Times New Roman" w:eastAsia="Times New Roman"/>
                      <w:sz w:val="21"/>
                    </w:rPr>
                    <w:t>/</w:t>
                  </w:r>
                  <w:r>
                    <w:rPr>
                      <w:spacing w:val="-5"/>
                      <w:sz w:val="21"/>
                    </w:rPr>
                    <w:t>半年</w:t>
                  </w:r>
                </w:p>
              </w:tc>
            </w:tr>
            <w:tr w14:paraId="4B2DBDF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jc w:val="center"/>
              </w:trPr>
              <w:tc>
                <w:tcPr>
                  <w:tcW w:w="432" w:type="pct"/>
                  <w:tcBorders>
                    <w:top w:val="single" w:color="000000" w:sz="4" w:space="0"/>
                    <w:left w:val="nil"/>
                    <w:right w:val="single" w:color="000000" w:sz="4" w:space="0"/>
                  </w:tcBorders>
                  <w:vAlign w:val="center"/>
                </w:tcPr>
                <w:p w14:paraId="396B950C">
                  <w:pPr>
                    <w:pStyle w:val="9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sz w:val="21"/>
                    </w:rPr>
                  </w:pPr>
                  <w:r>
                    <w:rPr>
                      <w:rFonts w:ascii="Times New Roman"/>
                      <w:spacing w:val="-10"/>
                      <w:sz w:val="21"/>
                    </w:rPr>
                    <w:t>4</w:t>
                  </w:r>
                </w:p>
              </w:tc>
              <w:tc>
                <w:tcPr>
                  <w:tcW w:w="1219" w:type="pct"/>
                  <w:tcBorders>
                    <w:top w:val="single" w:color="000000" w:sz="4" w:space="0"/>
                    <w:left w:val="single" w:color="000000" w:sz="4" w:space="0"/>
                    <w:right w:val="single" w:color="000000" w:sz="4" w:space="0"/>
                  </w:tcBorders>
                  <w:vAlign w:val="center"/>
                </w:tcPr>
                <w:p w14:paraId="00ABC9F3">
                  <w:pPr>
                    <w:pStyle w:val="9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1"/>
                    </w:rPr>
                  </w:pPr>
                  <w:r>
                    <w:rPr>
                      <w:spacing w:val="-8"/>
                      <w:sz w:val="21"/>
                    </w:rPr>
                    <w:t>厂内</w:t>
                  </w:r>
                </w:p>
              </w:tc>
              <w:tc>
                <w:tcPr>
                  <w:tcW w:w="2466" w:type="pct"/>
                  <w:tcBorders>
                    <w:top w:val="single" w:color="000000" w:sz="4" w:space="0"/>
                    <w:left w:val="single" w:color="000000" w:sz="4" w:space="0"/>
                    <w:right w:val="single" w:color="000000" w:sz="4" w:space="0"/>
                  </w:tcBorders>
                  <w:vAlign w:val="center"/>
                </w:tcPr>
                <w:p w14:paraId="23C0A9E4">
                  <w:pPr>
                    <w:pStyle w:val="9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1"/>
                    </w:rPr>
                  </w:pPr>
                  <w:r>
                    <w:rPr>
                      <w:spacing w:val="-4"/>
                      <w:sz w:val="21"/>
                    </w:rPr>
                    <w:t>非甲烷总烃</w:t>
                  </w:r>
                </w:p>
              </w:tc>
              <w:tc>
                <w:tcPr>
                  <w:tcW w:w="881" w:type="pct"/>
                  <w:tcBorders>
                    <w:top w:val="single" w:color="000000" w:sz="4" w:space="0"/>
                    <w:left w:val="single" w:color="000000" w:sz="4" w:space="0"/>
                    <w:right w:val="nil"/>
                  </w:tcBorders>
                  <w:vAlign w:val="center"/>
                </w:tcPr>
                <w:p w14:paraId="3B7FE4EB">
                  <w:pPr>
                    <w:pStyle w:val="9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1"/>
                    </w:rPr>
                  </w:pPr>
                  <w:r>
                    <w:rPr>
                      <w:rFonts w:ascii="Times New Roman" w:eastAsia="Times New Roman"/>
                      <w:sz w:val="21"/>
                    </w:rPr>
                    <w:t>1</w:t>
                  </w:r>
                  <w:r>
                    <w:rPr>
                      <w:sz w:val="21"/>
                    </w:rPr>
                    <w:t>次</w:t>
                  </w:r>
                  <w:r>
                    <w:rPr>
                      <w:rFonts w:ascii="Times New Roman" w:eastAsia="Times New Roman"/>
                      <w:sz w:val="21"/>
                    </w:rPr>
                    <w:t>/</w:t>
                  </w:r>
                  <w:r>
                    <w:rPr>
                      <w:spacing w:val="-10"/>
                      <w:sz w:val="21"/>
                    </w:rPr>
                    <w:t>年</w:t>
                  </w:r>
                </w:p>
              </w:tc>
            </w:tr>
          </w:tbl>
          <w:p w14:paraId="32B3088F">
            <w:pPr>
              <w:pStyle w:val="46"/>
              <w:rPr>
                <w:rFonts w:hint="eastAsia"/>
                <w:lang w:val="en-US" w:eastAsia="zh-CN"/>
              </w:rPr>
            </w:pPr>
          </w:p>
          <w:p w14:paraId="2BF64B27">
            <w:pPr>
              <w:pStyle w:val="3"/>
              <w:numPr>
                <w:ilvl w:val="1"/>
                <w:numId w:val="1"/>
              </w:numPr>
              <w:bidi w:val="0"/>
              <w:ind w:left="0" w:leftChars="0" w:firstLine="0" w:firstLineChars="0"/>
              <w:rPr>
                <w:color w:val="000000" w:themeColor="text1"/>
                <w:highlight w:val="none"/>
                <w14:textFill>
                  <w14:solidFill>
                    <w14:schemeClr w14:val="tx1"/>
                  </w14:solidFill>
                </w14:textFill>
              </w:rPr>
            </w:pPr>
            <w:bookmarkStart w:id="49" w:name="_Toc20164"/>
            <w:r>
              <w:rPr>
                <w:rFonts w:hint="eastAsia"/>
                <w:color w:val="000000" w:themeColor="text1"/>
                <w:highlight w:val="none"/>
                <w:lang w:val="en-US" w:eastAsia="zh-CN"/>
                <w14:textFill>
                  <w14:solidFill>
                    <w14:schemeClr w14:val="tx1"/>
                  </w14:solidFill>
                </w14:textFill>
              </w:rPr>
              <w:t>运营期</w:t>
            </w:r>
            <w:r>
              <w:rPr>
                <w:color w:val="000000" w:themeColor="text1"/>
                <w:highlight w:val="none"/>
                <w14:textFill>
                  <w14:solidFill>
                    <w14:schemeClr w14:val="tx1"/>
                  </w14:solidFill>
                </w14:textFill>
              </w:rPr>
              <w:t>水环境</w:t>
            </w:r>
            <w:r>
              <w:rPr>
                <w:rFonts w:hint="eastAsia"/>
                <w:color w:val="000000" w:themeColor="text1"/>
                <w:highlight w:val="none"/>
                <w:lang w:val="en-US" w:eastAsia="zh-CN"/>
                <w14:textFill>
                  <w14:solidFill>
                    <w14:schemeClr w14:val="tx1"/>
                  </w14:solidFill>
                </w14:textFill>
              </w:rPr>
              <w:t>影响分析</w:t>
            </w:r>
            <w:bookmarkEnd w:id="49"/>
          </w:p>
          <w:p w14:paraId="0AD1CDC1">
            <w:pPr>
              <w:pStyle w:val="4"/>
              <w:numPr>
                <w:ilvl w:val="2"/>
                <w:numId w:val="1"/>
              </w:numPr>
              <w:bidi w:val="0"/>
              <w:ind w:left="720" w:leftChars="0" w:hanging="720" w:firstLineChars="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废水污染源强分析</w:t>
            </w:r>
          </w:p>
          <w:p w14:paraId="32F1FB88">
            <w:pPr>
              <w:pStyle w:val="44"/>
              <w:ind w:firstLine="48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目前，现有工程的环境影响评价批复明确要求，生活污水需经化粪池处理，达到《农田灌溉水质标准》（GB5084 - 2021）后，用于周边农田，严禁外排。为进一步强化环境保护工作，切实提升环境质量，现计划将生活污水经出租房化粪池处理达标后，接入市政污水管网，并纳入闽清县白金工业园区污水处理厂进行集中处理。本次扩建项目不新增员工，故按照现有员工进行核定生活污水排放量，由于本项目外排废水主要为生活污水。项目废水治理设施、废水污染物排放口、排放口基本情况详见下表。</w:t>
            </w:r>
            <w:bookmarkStart w:id="50" w:name="_Ref24577"/>
          </w:p>
          <w:p w14:paraId="6EC24E38">
            <w:pPr>
              <w:pStyle w:val="44"/>
              <w:ind w:firstLine="480"/>
              <w:rPr>
                <w:rFonts w:hint="eastAsia"/>
                <w:color w:val="000000" w:themeColor="text1"/>
                <w:highlight w:val="none"/>
                <w:lang w:val="en-US" w:eastAsia="zh-CN"/>
                <w14:textFill>
                  <w14:solidFill>
                    <w14:schemeClr w14:val="tx1"/>
                  </w14:solidFill>
                </w14:textFill>
              </w:rPr>
            </w:pPr>
          </w:p>
          <w:p w14:paraId="6D09E8DE">
            <w:pPr>
              <w:pStyle w:val="42"/>
              <w:keepNext/>
              <w:keepLines/>
              <w:pageBreakBefore w:val="0"/>
              <w:widowControl w:val="0"/>
              <w:numPr>
                <w:ilvl w:val="7"/>
                <w:numId w:val="1"/>
              </w:numPr>
              <w:kinsoku/>
              <w:wordWrap/>
              <w:overflowPunct/>
              <w:topLinePunct w:val="0"/>
              <w:autoSpaceDE/>
              <w:autoSpaceDN/>
              <w:bidi w:val="0"/>
              <w:adjustRightInd/>
              <w:snapToGrid/>
              <w:spacing w:before="157" w:beforeLines="50" w:after="0"/>
              <w:ind w:left="210" w:leftChars="0" w:firstLine="0" w:firstLineChars="0"/>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项目废水治理设施一览表</w:t>
            </w:r>
            <w:bookmarkEnd w:id="50"/>
          </w:p>
          <w:tbl>
            <w:tblPr>
              <w:tblStyle w:val="32"/>
              <w:tblW w:w="872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54"/>
              <w:gridCol w:w="1027"/>
              <w:gridCol w:w="1219"/>
              <w:gridCol w:w="1017"/>
              <w:gridCol w:w="1275"/>
              <w:gridCol w:w="1121"/>
              <w:gridCol w:w="1352"/>
              <w:gridCol w:w="1159"/>
            </w:tblGrid>
            <w:tr w14:paraId="767E28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0" w:hRule="atLeast"/>
                <w:tblHeader/>
                <w:jc w:val="center"/>
              </w:trPr>
              <w:tc>
                <w:tcPr>
                  <w:tcW w:w="554" w:type="dxa"/>
                  <w:vMerge w:val="restart"/>
                  <w:tcBorders>
                    <w:tl2br w:val="nil"/>
                    <w:tr2bl w:val="nil"/>
                  </w:tcBorders>
                  <w:vAlign w:val="center"/>
                </w:tcPr>
                <w:p w14:paraId="73F1A944">
                  <w:pPr>
                    <w:pStyle w:val="96"/>
                    <w:spacing w:line="240" w:lineRule="auto"/>
                    <w:jc w:val="center"/>
                    <w:rPr>
                      <w:rFonts w:hint="eastAsia" w:ascii="Times New Roman" w:hAnsi="Times New Roman" w:eastAsia="宋体" w:cs="Times New Roman"/>
                      <w:color w:val="000000" w:themeColor="text1"/>
                      <w:sz w:val="21"/>
                      <w:highlight w:val="none"/>
                      <w:lang w:eastAsia="zh-CN"/>
                      <w14:textFill>
                        <w14:solidFill>
                          <w14:schemeClr w14:val="tx1"/>
                        </w14:solidFill>
                      </w14:textFill>
                    </w:rPr>
                  </w:pPr>
                  <w:r>
                    <w:rPr>
                      <w:rFonts w:hint="eastAsia" w:ascii="Times New Roman" w:hAnsi="Times New Roman" w:cs="Times New Roman"/>
                      <w:color w:val="000000" w:themeColor="text1"/>
                      <w:sz w:val="21"/>
                      <w:highlight w:val="none"/>
                      <w:lang w:val="en-US" w:eastAsia="zh-CN"/>
                      <w14:textFill>
                        <w14:solidFill>
                          <w14:schemeClr w14:val="tx1"/>
                        </w14:solidFill>
                      </w14:textFill>
                    </w:rPr>
                    <w:t>名称</w:t>
                  </w:r>
                </w:p>
              </w:tc>
              <w:tc>
                <w:tcPr>
                  <w:tcW w:w="1027" w:type="dxa"/>
                  <w:vMerge w:val="restart"/>
                  <w:tcBorders>
                    <w:tl2br w:val="nil"/>
                    <w:tr2bl w:val="nil"/>
                  </w:tcBorders>
                  <w:vAlign w:val="center"/>
                </w:tcPr>
                <w:p w14:paraId="6639984C">
                  <w:pPr>
                    <w:pStyle w:val="96"/>
                    <w:spacing w:line="240" w:lineRule="auto"/>
                    <w:jc w:val="center"/>
                    <w:rPr>
                      <w:rFonts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产污环节</w:t>
                  </w:r>
                </w:p>
              </w:tc>
              <w:tc>
                <w:tcPr>
                  <w:tcW w:w="1219" w:type="dxa"/>
                  <w:vMerge w:val="restart"/>
                  <w:tcBorders>
                    <w:tl2br w:val="nil"/>
                    <w:tr2bl w:val="nil"/>
                  </w:tcBorders>
                  <w:vAlign w:val="center"/>
                </w:tcPr>
                <w:p w14:paraId="6CBE0547">
                  <w:pPr>
                    <w:pStyle w:val="96"/>
                    <w:spacing w:line="240" w:lineRule="auto"/>
                    <w:jc w:val="center"/>
                    <w:rPr>
                      <w:rFonts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废水排放量</w:t>
                  </w:r>
                </w:p>
              </w:tc>
              <w:tc>
                <w:tcPr>
                  <w:tcW w:w="1017" w:type="dxa"/>
                  <w:vMerge w:val="restart"/>
                  <w:tcBorders>
                    <w:tl2br w:val="nil"/>
                    <w:tr2bl w:val="nil"/>
                  </w:tcBorders>
                  <w:vAlign w:val="center"/>
                </w:tcPr>
                <w:p w14:paraId="34D1BBE3">
                  <w:pPr>
                    <w:pStyle w:val="96"/>
                    <w:spacing w:line="240" w:lineRule="auto"/>
                    <w:jc w:val="center"/>
                    <w:rPr>
                      <w:rFonts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污染物种类</w:t>
                  </w:r>
                </w:p>
              </w:tc>
              <w:tc>
                <w:tcPr>
                  <w:tcW w:w="3748" w:type="dxa"/>
                  <w:gridSpan w:val="3"/>
                  <w:tcBorders>
                    <w:tl2br w:val="nil"/>
                    <w:tr2bl w:val="nil"/>
                  </w:tcBorders>
                  <w:vAlign w:val="center"/>
                </w:tcPr>
                <w:p w14:paraId="7DA53934">
                  <w:pPr>
                    <w:pStyle w:val="96"/>
                    <w:spacing w:line="240" w:lineRule="auto"/>
                    <w:jc w:val="center"/>
                    <w:rPr>
                      <w:rFonts w:ascii="Times New Roman" w:hAnsi="Times New Roman" w:cs="Times New Roman"/>
                      <w:color w:val="000000" w:themeColor="text1"/>
                      <w:sz w:val="21"/>
                      <w:highlight w:val="none"/>
                      <w14:textFill>
                        <w14:solidFill>
                          <w14:schemeClr w14:val="tx1"/>
                        </w14:solidFill>
                      </w14:textFill>
                    </w:rPr>
                  </w:pPr>
                  <w:r>
                    <w:rPr>
                      <w:rFonts w:ascii="Times New Roman" w:hAnsi="Times New Roman" w:cs="Times New Roman"/>
                      <w:color w:val="000000" w:themeColor="text1"/>
                      <w:sz w:val="21"/>
                      <w:highlight w:val="none"/>
                      <w14:textFill>
                        <w14:solidFill>
                          <w14:schemeClr w14:val="tx1"/>
                        </w14:solidFill>
                      </w14:textFill>
                    </w:rPr>
                    <w:t>治理措施</w:t>
                  </w:r>
                </w:p>
              </w:tc>
              <w:tc>
                <w:tcPr>
                  <w:tcW w:w="1159" w:type="dxa"/>
                  <w:vMerge w:val="restart"/>
                  <w:tcBorders>
                    <w:tl2br w:val="nil"/>
                    <w:tr2bl w:val="nil"/>
                  </w:tcBorders>
                  <w:vAlign w:val="center"/>
                </w:tcPr>
                <w:p w14:paraId="350D078C">
                  <w:pPr>
                    <w:pStyle w:val="96"/>
                    <w:spacing w:line="240" w:lineRule="auto"/>
                    <w:jc w:val="center"/>
                    <w:rPr>
                      <w:rFonts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是否为可行技术</w:t>
                  </w:r>
                </w:p>
              </w:tc>
            </w:tr>
            <w:tr w14:paraId="220226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42" w:hRule="atLeast"/>
                <w:tblHeader/>
                <w:jc w:val="center"/>
              </w:trPr>
              <w:tc>
                <w:tcPr>
                  <w:tcW w:w="554" w:type="dxa"/>
                  <w:vMerge w:val="continue"/>
                  <w:tcBorders>
                    <w:tl2br w:val="nil"/>
                    <w:tr2bl w:val="nil"/>
                  </w:tcBorders>
                  <w:vAlign w:val="center"/>
                </w:tcPr>
                <w:p w14:paraId="177410BF">
                  <w:pPr>
                    <w:pStyle w:val="96"/>
                    <w:spacing w:line="240" w:lineRule="auto"/>
                    <w:jc w:val="center"/>
                    <w:rPr>
                      <w:rFonts w:ascii="Times New Roman" w:hAnsi="Times New Roman" w:cs="Times New Roman"/>
                      <w:color w:val="000000" w:themeColor="text1"/>
                      <w:sz w:val="21"/>
                      <w:highlight w:val="none"/>
                      <w14:textFill>
                        <w14:solidFill>
                          <w14:schemeClr w14:val="tx1"/>
                        </w14:solidFill>
                      </w14:textFill>
                    </w:rPr>
                  </w:pPr>
                </w:p>
              </w:tc>
              <w:tc>
                <w:tcPr>
                  <w:tcW w:w="1027" w:type="dxa"/>
                  <w:vMerge w:val="continue"/>
                  <w:tcBorders>
                    <w:tl2br w:val="nil"/>
                    <w:tr2bl w:val="nil"/>
                  </w:tcBorders>
                  <w:vAlign w:val="center"/>
                </w:tcPr>
                <w:p w14:paraId="0D9A5AFB">
                  <w:pPr>
                    <w:pStyle w:val="96"/>
                    <w:spacing w:line="240" w:lineRule="auto"/>
                    <w:jc w:val="center"/>
                    <w:rPr>
                      <w:rFonts w:ascii="Times New Roman" w:hAnsi="Times New Roman" w:cs="Times New Roman"/>
                      <w:color w:val="000000" w:themeColor="text1"/>
                      <w:sz w:val="21"/>
                      <w:highlight w:val="none"/>
                      <w14:textFill>
                        <w14:solidFill>
                          <w14:schemeClr w14:val="tx1"/>
                        </w14:solidFill>
                      </w14:textFill>
                    </w:rPr>
                  </w:pPr>
                </w:p>
              </w:tc>
              <w:tc>
                <w:tcPr>
                  <w:tcW w:w="1219" w:type="dxa"/>
                  <w:vMerge w:val="continue"/>
                  <w:tcBorders>
                    <w:tl2br w:val="nil"/>
                    <w:tr2bl w:val="nil"/>
                  </w:tcBorders>
                  <w:vAlign w:val="center"/>
                </w:tcPr>
                <w:p w14:paraId="5D75C149">
                  <w:pPr>
                    <w:pStyle w:val="96"/>
                    <w:spacing w:line="240" w:lineRule="auto"/>
                    <w:jc w:val="center"/>
                    <w:rPr>
                      <w:rFonts w:ascii="Times New Roman" w:hAnsi="Times New Roman" w:cs="Times New Roman"/>
                      <w:color w:val="000000" w:themeColor="text1"/>
                      <w:sz w:val="21"/>
                      <w:highlight w:val="none"/>
                      <w14:textFill>
                        <w14:solidFill>
                          <w14:schemeClr w14:val="tx1"/>
                        </w14:solidFill>
                      </w14:textFill>
                    </w:rPr>
                  </w:pPr>
                </w:p>
              </w:tc>
              <w:tc>
                <w:tcPr>
                  <w:tcW w:w="1017" w:type="dxa"/>
                  <w:vMerge w:val="continue"/>
                  <w:tcBorders>
                    <w:tl2br w:val="nil"/>
                    <w:tr2bl w:val="nil"/>
                  </w:tcBorders>
                  <w:vAlign w:val="center"/>
                </w:tcPr>
                <w:p w14:paraId="240F6DC3">
                  <w:pPr>
                    <w:pStyle w:val="96"/>
                    <w:spacing w:line="240" w:lineRule="auto"/>
                    <w:jc w:val="center"/>
                    <w:rPr>
                      <w:rFonts w:ascii="Times New Roman" w:hAnsi="Times New Roman" w:cs="Times New Roman"/>
                      <w:color w:val="000000" w:themeColor="text1"/>
                      <w:sz w:val="21"/>
                      <w:highlight w:val="none"/>
                      <w14:textFill>
                        <w14:solidFill>
                          <w14:schemeClr w14:val="tx1"/>
                        </w14:solidFill>
                      </w14:textFill>
                    </w:rPr>
                  </w:pPr>
                </w:p>
              </w:tc>
              <w:tc>
                <w:tcPr>
                  <w:tcW w:w="1275" w:type="dxa"/>
                  <w:tcBorders>
                    <w:tl2br w:val="nil"/>
                    <w:tr2bl w:val="nil"/>
                  </w:tcBorders>
                  <w:vAlign w:val="center"/>
                </w:tcPr>
                <w:p w14:paraId="6EAAE063">
                  <w:pPr>
                    <w:pStyle w:val="96"/>
                    <w:spacing w:line="240" w:lineRule="auto"/>
                    <w:jc w:val="center"/>
                    <w:rPr>
                      <w:rFonts w:ascii="Times New Roman" w:hAnsi="Times New Roman" w:cs="Times New Roman"/>
                      <w:color w:val="000000" w:themeColor="text1"/>
                      <w:sz w:val="21"/>
                      <w:highlight w:val="none"/>
                      <w14:textFill>
                        <w14:solidFill>
                          <w14:schemeClr w14:val="tx1"/>
                        </w14:solidFill>
                      </w14:textFill>
                    </w:rPr>
                  </w:pPr>
                  <w:r>
                    <w:rPr>
                      <w:rFonts w:ascii="Times New Roman" w:hAnsi="Times New Roman" w:cs="Times New Roman"/>
                      <w:color w:val="000000" w:themeColor="text1"/>
                      <w:sz w:val="21"/>
                      <w:highlight w:val="none"/>
                      <w14:textFill>
                        <w14:solidFill>
                          <w14:schemeClr w14:val="tx1"/>
                        </w14:solidFill>
                      </w14:textFill>
                    </w:rPr>
                    <w:t>工艺</w:t>
                  </w:r>
                </w:p>
              </w:tc>
              <w:tc>
                <w:tcPr>
                  <w:tcW w:w="1121" w:type="dxa"/>
                  <w:tcBorders>
                    <w:tl2br w:val="nil"/>
                    <w:tr2bl w:val="nil"/>
                  </w:tcBorders>
                  <w:vAlign w:val="center"/>
                </w:tcPr>
                <w:p w14:paraId="666ADB9E">
                  <w:pPr>
                    <w:pStyle w:val="96"/>
                    <w:spacing w:line="240" w:lineRule="auto"/>
                    <w:jc w:val="center"/>
                    <w:rPr>
                      <w:rFonts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处理能力</w:t>
                  </w:r>
                </w:p>
              </w:tc>
              <w:tc>
                <w:tcPr>
                  <w:tcW w:w="1352" w:type="dxa"/>
                  <w:tcBorders>
                    <w:tl2br w:val="nil"/>
                    <w:tr2bl w:val="nil"/>
                  </w:tcBorders>
                  <w:vAlign w:val="center"/>
                </w:tcPr>
                <w:p w14:paraId="10E14BBF">
                  <w:pPr>
                    <w:pStyle w:val="96"/>
                    <w:spacing w:line="240" w:lineRule="auto"/>
                    <w:jc w:val="center"/>
                    <w:rPr>
                      <w:rFonts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治理</w:t>
                  </w:r>
                  <w:r>
                    <w:rPr>
                      <w:rFonts w:ascii="Times New Roman" w:hAnsi="Times New Roman" w:cs="Times New Roman"/>
                      <w:color w:val="000000" w:themeColor="text1"/>
                      <w:sz w:val="21"/>
                      <w:highlight w:val="none"/>
                      <w14:textFill>
                        <w14:solidFill>
                          <w14:schemeClr w14:val="tx1"/>
                        </w14:solidFill>
                      </w14:textFill>
                    </w:rPr>
                    <w:t>效率%</w:t>
                  </w:r>
                </w:p>
              </w:tc>
              <w:tc>
                <w:tcPr>
                  <w:tcW w:w="1159" w:type="dxa"/>
                  <w:vMerge w:val="continue"/>
                  <w:tcBorders>
                    <w:tl2br w:val="nil"/>
                    <w:tr2bl w:val="nil"/>
                  </w:tcBorders>
                  <w:vAlign w:val="center"/>
                </w:tcPr>
                <w:p w14:paraId="05EB5E87">
                  <w:pPr>
                    <w:pStyle w:val="96"/>
                    <w:spacing w:line="240" w:lineRule="auto"/>
                    <w:jc w:val="center"/>
                    <w:rPr>
                      <w:rFonts w:ascii="Times New Roman" w:hAnsi="Times New Roman" w:cs="Times New Roman"/>
                      <w:color w:val="000000" w:themeColor="text1"/>
                      <w:sz w:val="21"/>
                      <w:highlight w:val="none"/>
                      <w14:textFill>
                        <w14:solidFill>
                          <w14:schemeClr w14:val="tx1"/>
                        </w14:solidFill>
                      </w14:textFill>
                    </w:rPr>
                  </w:pPr>
                </w:p>
              </w:tc>
            </w:tr>
            <w:tr w14:paraId="015114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4" w:type="dxa"/>
                  <w:vMerge w:val="restart"/>
                  <w:tcBorders>
                    <w:tl2br w:val="nil"/>
                    <w:tr2bl w:val="nil"/>
                  </w:tcBorders>
                  <w:vAlign w:val="center"/>
                </w:tcPr>
                <w:p w14:paraId="4D52AC23">
                  <w:pPr>
                    <w:pStyle w:val="96"/>
                    <w:spacing w:line="240" w:lineRule="auto"/>
                    <w:jc w:val="cente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生活污水</w:t>
                  </w:r>
                  <w:r>
                    <w:rPr>
                      <w:rFonts w:hint="eastAsia" w:ascii="Times New Roman" w:hAnsi="Times New Roman" w:cs="Times New Roman"/>
                      <w:color w:val="000000" w:themeColor="text1"/>
                      <w:sz w:val="21"/>
                      <w:highlight w:val="none"/>
                      <w:lang w:val="en-US" w:eastAsia="zh-CN"/>
                      <w14:textFill>
                        <w14:solidFill>
                          <w14:schemeClr w14:val="tx1"/>
                        </w14:solidFill>
                      </w14:textFill>
                    </w:rPr>
                    <w:t>化粪池</w:t>
                  </w:r>
                </w:p>
              </w:tc>
              <w:tc>
                <w:tcPr>
                  <w:tcW w:w="1027" w:type="dxa"/>
                  <w:vMerge w:val="restart"/>
                  <w:tcBorders>
                    <w:tl2br w:val="nil"/>
                    <w:tr2bl w:val="nil"/>
                  </w:tcBorders>
                  <w:vAlign w:val="center"/>
                </w:tcPr>
                <w:p w14:paraId="2E4FE406">
                  <w:pPr>
                    <w:pStyle w:val="96"/>
                    <w:spacing w:line="240" w:lineRule="auto"/>
                    <w:jc w:val="center"/>
                    <w:rPr>
                      <w:rFonts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职工日常生活</w:t>
                  </w:r>
                </w:p>
              </w:tc>
              <w:tc>
                <w:tcPr>
                  <w:tcW w:w="1219" w:type="dxa"/>
                  <w:vMerge w:val="restart"/>
                  <w:tcBorders>
                    <w:tl2br w:val="nil"/>
                    <w:tr2bl w:val="nil"/>
                  </w:tcBorders>
                  <w:vAlign w:val="center"/>
                </w:tcPr>
                <w:p w14:paraId="0A677AD3">
                  <w:pPr>
                    <w:pStyle w:val="96"/>
                    <w:spacing w:line="240" w:lineRule="auto"/>
                    <w:jc w:val="center"/>
                    <w:rPr>
                      <w:rFonts w:hint="eastAsia" w:ascii="Times New Roman" w:hAnsi="Times New Roman" w:eastAsia="宋体" w:cs="Times New Roman"/>
                      <w:color w:val="000000" w:themeColor="text1"/>
                      <w:sz w:val="21"/>
                      <w:highlight w:val="none"/>
                      <w:lang w:eastAsia="zh-CN"/>
                      <w14:textFill>
                        <w14:solidFill>
                          <w14:schemeClr w14:val="tx1"/>
                        </w14:solidFill>
                      </w14:textFill>
                    </w:rPr>
                  </w:pPr>
                  <w:r>
                    <w:rPr>
                      <w:rFonts w:hint="eastAsia" w:ascii="Times New Roman" w:hAnsi="Times New Roman" w:cs="Times New Roman"/>
                      <w:color w:val="000000" w:themeColor="text1"/>
                      <w:sz w:val="21"/>
                      <w:highlight w:val="none"/>
                      <w:lang w:val="en-US" w:eastAsia="zh-CN"/>
                      <w14:textFill>
                        <w14:solidFill>
                          <w14:schemeClr w14:val="tx1"/>
                        </w14:solidFill>
                      </w14:textFill>
                    </w:rPr>
                    <w:t>300</w:t>
                  </w:r>
                  <w:r>
                    <w:rPr>
                      <w:rFonts w:hint="eastAsia" w:ascii="Times New Roman" w:hAnsi="Times New Roman" w:cs="Times New Roman"/>
                      <w:color w:val="000000" w:themeColor="text1"/>
                      <w:sz w:val="21"/>
                      <w:highlight w:val="none"/>
                      <w14:textFill>
                        <w14:solidFill>
                          <w14:schemeClr w14:val="tx1"/>
                        </w14:solidFill>
                      </w14:textFill>
                    </w:rPr>
                    <w:t>t/a</w:t>
                  </w:r>
                  <w:r>
                    <w:rPr>
                      <w:rFonts w:hint="eastAsia" w:ascii="Times New Roman" w:hAnsi="Times New Roman" w:cs="Times New Roman"/>
                      <w:color w:val="000000" w:themeColor="text1"/>
                      <w:sz w:val="21"/>
                      <w:highlight w:val="none"/>
                      <w:lang w:eastAsia="zh-CN"/>
                      <w14:textFill>
                        <w14:solidFill>
                          <w14:schemeClr w14:val="tx1"/>
                        </w14:solidFill>
                      </w14:textFill>
                    </w:rPr>
                    <w:t>（</w:t>
                  </w:r>
                  <w:r>
                    <w:rPr>
                      <w:rFonts w:hint="eastAsia" w:ascii="Times New Roman" w:hAnsi="Times New Roman" w:cs="Times New Roman"/>
                      <w:color w:val="000000" w:themeColor="text1"/>
                      <w:sz w:val="21"/>
                      <w:highlight w:val="none"/>
                      <w:lang w:val="en-US" w:eastAsia="zh-CN"/>
                      <w14:textFill>
                        <w14:solidFill>
                          <w14:schemeClr w14:val="tx1"/>
                        </w14:solidFill>
                      </w14:textFill>
                    </w:rPr>
                    <w:t>1t/d</w:t>
                  </w:r>
                  <w:r>
                    <w:rPr>
                      <w:rFonts w:hint="eastAsia" w:ascii="Times New Roman" w:hAnsi="Times New Roman" w:cs="Times New Roman"/>
                      <w:color w:val="000000" w:themeColor="text1"/>
                      <w:sz w:val="21"/>
                      <w:highlight w:val="none"/>
                      <w:lang w:eastAsia="zh-CN"/>
                      <w14:textFill>
                        <w14:solidFill>
                          <w14:schemeClr w14:val="tx1"/>
                        </w14:solidFill>
                      </w14:textFill>
                    </w:rPr>
                    <w:t>）</w:t>
                  </w:r>
                </w:p>
              </w:tc>
              <w:tc>
                <w:tcPr>
                  <w:tcW w:w="1017" w:type="dxa"/>
                  <w:tcBorders>
                    <w:tl2br w:val="nil"/>
                    <w:tr2bl w:val="nil"/>
                  </w:tcBorders>
                  <w:vAlign w:val="center"/>
                </w:tcPr>
                <w:p w14:paraId="554A1122">
                  <w:pPr>
                    <w:pStyle w:val="96"/>
                    <w:spacing w:line="240" w:lineRule="auto"/>
                    <w:jc w:val="center"/>
                    <w:rPr>
                      <w:rFonts w:ascii="Times New Roman" w:hAnsi="Times New Roman" w:cs="Times New Roman"/>
                      <w:color w:val="000000" w:themeColor="text1"/>
                      <w:sz w:val="21"/>
                      <w:highlight w:val="none"/>
                      <w14:textFill>
                        <w14:solidFill>
                          <w14:schemeClr w14:val="tx1"/>
                        </w14:solidFill>
                      </w14:textFill>
                    </w:rPr>
                  </w:pPr>
                  <w:r>
                    <w:rPr>
                      <w:rFonts w:ascii="Times New Roman" w:hAnsi="Times New Roman" w:cs="Times New Roman"/>
                      <w:color w:val="000000" w:themeColor="text1"/>
                      <w:sz w:val="21"/>
                      <w:highlight w:val="none"/>
                      <w:lang w:val="zh-CN"/>
                      <w14:textFill>
                        <w14:solidFill>
                          <w14:schemeClr w14:val="tx1"/>
                        </w14:solidFill>
                      </w14:textFill>
                    </w:rPr>
                    <w:t>COD</w:t>
                  </w:r>
                </w:p>
              </w:tc>
              <w:tc>
                <w:tcPr>
                  <w:tcW w:w="1275" w:type="dxa"/>
                  <w:vMerge w:val="restart"/>
                  <w:tcBorders>
                    <w:tl2br w:val="nil"/>
                    <w:tr2bl w:val="nil"/>
                  </w:tcBorders>
                  <w:vAlign w:val="center"/>
                </w:tcPr>
                <w:p w14:paraId="3482CC12">
                  <w:pPr>
                    <w:pStyle w:val="96"/>
                    <w:spacing w:line="240" w:lineRule="auto"/>
                    <w:jc w:val="center"/>
                    <w:rPr>
                      <w:rFonts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化粪池</w:t>
                  </w:r>
                </w:p>
              </w:tc>
              <w:tc>
                <w:tcPr>
                  <w:tcW w:w="1121" w:type="dxa"/>
                  <w:vMerge w:val="restart"/>
                  <w:tcBorders>
                    <w:tl2br w:val="nil"/>
                    <w:tr2bl w:val="nil"/>
                  </w:tcBorders>
                  <w:vAlign w:val="center"/>
                </w:tcPr>
                <w:p w14:paraId="193BA28F">
                  <w:pPr>
                    <w:pStyle w:val="96"/>
                    <w:spacing w:line="240" w:lineRule="auto"/>
                    <w:jc w:val="center"/>
                    <w:rPr>
                      <w:rFonts w:ascii="Times New Roman" w:hAnsi="Times New Roman" w:cs="Times New Roman"/>
                      <w:color w:val="000000" w:themeColor="text1"/>
                      <w:sz w:val="21"/>
                      <w:highlight w:val="none"/>
                      <w14:textFill>
                        <w14:solidFill>
                          <w14:schemeClr w14:val="tx1"/>
                        </w14:solidFill>
                      </w14:textFill>
                    </w:rPr>
                  </w:pPr>
                  <w:r>
                    <w:rPr>
                      <w:rFonts w:ascii="Times New Roman" w:hAnsi="Times New Roman" w:cs="Times New Roman"/>
                      <w:color w:val="000000" w:themeColor="text1"/>
                      <w:sz w:val="21"/>
                      <w:highlight w:val="none"/>
                      <w14:textFill>
                        <w14:solidFill>
                          <w14:schemeClr w14:val="tx1"/>
                        </w14:solidFill>
                      </w14:textFill>
                    </w:rPr>
                    <w:t>容积</w:t>
                  </w:r>
                  <w:r>
                    <w:rPr>
                      <w:rFonts w:hint="eastAsia" w:ascii="Times New Roman" w:hAnsi="Times New Roman" w:cs="Times New Roman"/>
                      <w:color w:val="000000" w:themeColor="text1"/>
                      <w:sz w:val="21"/>
                      <w:highlight w:val="none"/>
                      <w:lang w:val="en-US" w:eastAsia="zh-CN"/>
                      <w14:textFill>
                        <w14:solidFill>
                          <w14:schemeClr w14:val="tx1"/>
                        </w14:solidFill>
                      </w14:textFill>
                    </w:rPr>
                    <w:t>20</w:t>
                  </w:r>
                  <w:r>
                    <w:rPr>
                      <w:rFonts w:ascii="Times New Roman" w:hAnsi="Times New Roman" w:cs="Times New Roman"/>
                      <w:color w:val="000000" w:themeColor="text1"/>
                      <w:sz w:val="21"/>
                      <w:highlight w:val="none"/>
                      <w14:textFill>
                        <w14:solidFill>
                          <w14:schemeClr w14:val="tx1"/>
                        </w14:solidFill>
                      </w14:textFill>
                    </w:rPr>
                    <w:t>m</w:t>
                  </w:r>
                  <w:r>
                    <w:rPr>
                      <w:rFonts w:ascii="Times New Roman" w:hAnsi="Times New Roman" w:cs="Times New Roman"/>
                      <w:color w:val="000000" w:themeColor="text1"/>
                      <w:sz w:val="21"/>
                      <w:highlight w:val="none"/>
                      <w:vertAlign w:val="superscript"/>
                      <w14:textFill>
                        <w14:solidFill>
                          <w14:schemeClr w14:val="tx1"/>
                        </w14:solidFill>
                      </w14:textFill>
                    </w:rPr>
                    <w:t>3</w:t>
                  </w:r>
                </w:p>
              </w:tc>
              <w:tc>
                <w:tcPr>
                  <w:tcW w:w="1352" w:type="dxa"/>
                  <w:tcBorders>
                    <w:tl2br w:val="nil"/>
                    <w:tr2bl w:val="nil"/>
                  </w:tcBorders>
                  <w:vAlign w:val="center"/>
                </w:tcPr>
                <w:p w14:paraId="403ADFA8">
                  <w:pPr>
                    <w:pStyle w:val="96"/>
                    <w:spacing w:line="240" w:lineRule="auto"/>
                    <w:jc w:val="center"/>
                    <w:rPr>
                      <w:rFonts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15</w:t>
                  </w:r>
                </w:p>
              </w:tc>
              <w:tc>
                <w:tcPr>
                  <w:tcW w:w="1159" w:type="dxa"/>
                  <w:vMerge w:val="restart"/>
                  <w:tcBorders>
                    <w:tl2br w:val="nil"/>
                    <w:tr2bl w:val="nil"/>
                  </w:tcBorders>
                  <w:vAlign w:val="center"/>
                </w:tcPr>
                <w:p w14:paraId="5A05A5C6">
                  <w:pPr>
                    <w:pStyle w:val="96"/>
                    <w:spacing w:line="240" w:lineRule="auto"/>
                    <w:jc w:val="center"/>
                    <w:rPr>
                      <w:rFonts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是</w:t>
                  </w:r>
                </w:p>
              </w:tc>
            </w:tr>
            <w:tr w14:paraId="34B1B8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4" w:type="dxa"/>
                  <w:vMerge w:val="continue"/>
                  <w:tcBorders>
                    <w:tl2br w:val="nil"/>
                    <w:tr2bl w:val="nil"/>
                  </w:tcBorders>
                  <w:vAlign w:val="center"/>
                </w:tcPr>
                <w:p w14:paraId="1D35C692">
                  <w:pPr>
                    <w:pStyle w:val="96"/>
                    <w:spacing w:line="240" w:lineRule="auto"/>
                    <w:jc w:val="center"/>
                    <w:rPr>
                      <w:rFonts w:ascii="Times New Roman" w:hAnsi="Times New Roman" w:cs="Times New Roman"/>
                      <w:color w:val="000000" w:themeColor="text1"/>
                      <w:sz w:val="21"/>
                      <w:highlight w:val="none"/>
                      <w14:textFill>
                        <w14:solidFill>
                          <w14:schemeClr w14:val="tx1"/>
                        </w14:solidFill>
                      </w14:textFill>
                    </w:rPr>
                  </w:pPr>
                </w:p>
              </w:tc>
              <w:tc>
                <w:tcPr>
                  <w:tcW w:w="1027" w:type="dxa"/>
                  <w:vMerge w:val="continue"/>
                  <w:tcBorders>
                    <w:tl2br w:val="nil"/>
                    <w:tr2bl w:val="nil"/>
                  </w:tcBorders>
                  <w:vAlign w:val="center"/>
                </w:tcPr>
                <w:p w14:paraId="40F85DAD">
                  <w:pPr>
                    <w:pStyle w:val="96"/>
                    <w:spacing w:line="240" w:lineRule="auto"/>
                    <w:jc w:val="center"/>
                    <w:rPr>
                      <w:rFonts w:ascii="Times New Roman" w:hAnsi="Times New Roman" w:cs="Times New Roman"/>
                      <w:color w:val="000000" w:themeColor="text1"/>
                      <w:sz w:val="21"/>
                      <w:highlight w:val="none"/>
                      <w14:textFill>
                        <w14:solidFill>
                          <w14:schemeClr w14:val="tx1"/>
                        </w14:solidFill>
                      </w14:textFill>
                    </w:rPr>
                  </w:pPr>
                </w:p>
              </w:tc>
              <w:tc>
                <w:tcPr>
                  <w:tcW w:w="1219" w:type="dxa"/>
                  <w:vMerge w:val="continue"/>
                  <w:tcBorders>
                    <w:tl2br w:val="nil"/>
                    <w:tr2bl w:val="nil"/>
                  </w:tcBorders>
                  <w:vAlign w:val="center"/>
                </w:tcPr>
                <w:p w14:paraId="1B418066">
                  <w:pPr>
                    <w:pStyle w:val="96"/>
                    <w:spacing w:line="240" w:lineRule="auto"/>
                    <w:jc w:val="center"/>
                    <w:rPr>
                      <w:rFonts w:ascii="Times New Roman" w:hAnsi="Times New Roman" w:cs="Times New Roman"/>
                      <w:color w:val="000000" w:themeColor="text1"/>
                      <w:sz w:val="21"/>
                      <w:highlight w:val="none"/>
                      <w14:textFill>
                        <w14:solidFill>
                          <w14:schemeClr w14:val="tx1"/>
                        </w14:solidFill>
                      </w14:textFill>
                    </w:rPr>
                  </w:pPr>
                </w:p>
              </w:tc>
              <w:tc>
                <w:tcPr>
                  <w:tcW w:w="1017" w:type="dxa"/>
                  <w:tcBorders>
                    <w:tl2br w:val="nil"/>
                    <w:tr2bl w:val="nil"/>
                  </w:tcBorders>
                  <w:vAlign w:val="center"/>
                </w:tcPr>
                <w:p w14:paraId="74EF4258">
                  <w:pPr>
                    <w:pStyle w:val="96"/>
                    <w:spacing w:line="240" w:lineRule="auto"/>
                    <w:jc w:val="center"/>
                    <w:rPr>
                      <w:rFonts w:ascii="Times New Roman" w:hAnsi="Times New Roman" w:cs="Times New Roman"/>
                      <w:color w:val="000000" w:themeColor="text1"/>
                      <w:sz w:val="21"/>
                      <w:highlight w:val="none"/>
                      <w14:textFill>
                        <w14:solidFill>
                          <w14:schemeClr w14:val="tx1"/>
                        </w14:solidFill>
                      </w14:textFill>
                    </w:rPr>
                  </w:pPr>
                  <w:r>
                    <w:rPr>
                      <w:rFonts w:ascii="Times New Roman" w:hAnsi="Times New Roman" w:cs="Times New Roman"/>
                      <w:color w:val="000000" w:themeColor="text1"/>
                      <w:sz w:val="21"/>
                      <w:highlight w:val="none"/>
                      <w14:textFill>
                        <w14:solidFill>
                          <w14:schemeClr w14:val="tx1"/>
                        </w14:solidFill>
                      </w14:textFill>
                    </w:rPr>
                    <w:t>BOD</w:t>
                  </w:r>
                  <w:r>
                    <w:rPr>
                      <w:rFonts w:ascii="Times New Roman" w:hAnsi="Times New Roman" w:cs="Times New Roman"/>
                      <w:color w:val="000000" w:themeColor="text1"/>
                      <w:sz w:val="21"/>
                      <w:highlight w:val="none"/>
                      <w:vertAlign w:val="subscript"/>
                      <w14:textFill>
                        <w14:solidFill>
                          <w14:schemeClr w14:val="tx1"/>
                        </w14:solidFill>
                      </w14:textFill>
                    </w:rPr>
                    <w:t>5</w:t>
                  </w:r>
                </w:p>
              </w:tc>
              <w:tc>
                <w:tcPr>
                  <w:tcW w:w="1275" w:type="dxa"/>
                  <w:vMerge w:val="continue"/>
                  <w:tcBorders>
                    <w:tl2br w:val="nil"/>
                    <w:tr2bl w:val="nil"/>
                  </w:tcBorders>
                  <w:vAlign w:val="center"/>
                </w:tcPr>
                <w:p w14:paraId="0981B910">
                  <w:pPr>
                    <w:pStyle w:val="96"/>
                    <w:spacing w:line="240" w:lineRule="auto"/>
                    <w:jc w:val="center"/>
                    <w:rPr>
                      <w:rFonts w:ascii="Times New Roman" w:hAnsi="Times New Roman" w:cs="Times New Roman"/>
                      <w:color w:val="000000" w:themeColor="text1"/>
                      <w:sz w:val="21"/>
                      <w:highlight w:val="none"/>
                      <w14:textFill>
                        <w14:solidFill>
                          <w14:schemeClr w14:val="tx1"/>
                        </w14:solidFill>
                      </w14:textFill>
                    </w:rPr>
                  </w:pPr>
                </w:p>
              </w:tc>
              <w:tc>
                <w:tcPr>
                  <w:tcW w:w="1121" w:type="dxa"/>
                  <w:vMerge w:val="continue"/>
                  <w:tcBorders>
                    <w:tl2br w:val="nil"/>
                    <w:tr2bl w:val="nil"/>
                  </w:tcBorders>
                  <w:vAlign w:val="center"/>
                </w:tcPr>
                <w:p w14:paraId="0383C365">
                  <w:pPr>
                    <w:pStyle w:val="96"/>
                    <w:spacing w:line="240" w:lineRule="auto"/>
                    <w:jc w:val="center"/>
                    <w:rPr>
                      <w:rFonts w:ascii="Times New Roman" w:hAnsi="Times New Roman" w:cs="Times New Roman"/>
                      <w:color w:val="000000" w:themeColor="text1"/>
                      <w:sz w:val="21"/>
                      <w:highlight w:val="none"/>
                      <w14:textFill>
                        <w14:solidFill>
                          <w14:schemeClr w14:val="tx1"/>
                        </w14:solidFill>
                      </w14:textFill>
                    </w:rPr>
                  </w:pPr>
                </w:p>
              </w:tc>
              <w:tc>
                <w:tcPr>
                  <w:tcW w:w="1352" w:type="dxa"/>
                  <w:tcBorders>
                    <w:tl2br w:val="nil"/>
                    <w:tr2bl w:val="nil"/>
                  </w:tcBorders>
                  <w:vAlign w:val="center"/>
                </w:tcPr>
                <w:p w14:paraId="6E3502D1">
                  <w:pPr>
                    <w:pStyle w:val="96"/>
                    <w:spacing w:line="240" w:lineRule="auto"/>
                    <w:jc w:val="center"/>
                    <w:rPr>
                      <w:rFonts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9</w:t>
                  </w:r>
                </w:p>
              </w:tc>
              <w:tc>
                <w:tcPr>
                  <w:tcW w:w="1159" w:type="dxa"/>
                  <w:vMerge w:val="continue"/>
                  <w:tcBorders>
                    <w:tl2br w:val="nil"/>
                    <w:tr2bl w:val="nil"/>
                  </w:tcBorders>
                  <w:vAlign w:val="center"/>
                </w:tcPr>
                <w:p w14:paraId="09ECF408">
                  <w:pPr>
                    <w:pStyle w:val="96"/>
                    <w:spacing w:line="240" w:lineRule="auto"/>
                    <w:jc w:val="center"/>
                    <w:rPr>
                      <w:rFonts w:ascii="Times New Roman" w:hAnsi="Times New Roman" w:cs="Times New Roman"/>
                      <w:color w:val="000000" w:themeColor="text1"/>
                      <w:sz w:val="21"/>
                      <w:highlight w:val="none"/>
                      <w14:textFill>
                        <w14:solidFill>
                          <w14:schemeClr w14:val="tx1"/>
                        </w14:solidFill>
                      </w14:textFill>
                    </w:rPr>
                  </w:pPr>
                </w:p>
              </w:tc>
            </w:tr>
            <w:tr w14:paraId="119E20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4" w:type="dxa"/>
                  <w:vMerge w:val="continue"/>
                  <w:tcBorders>
                    <w:tl2br w:val="nil"/>
                    <w:tr2bl w:val="nil"/>
                  </w:tcBorders>
                  <w:vAlign w:val="center"/>
                </w:tcPr>
                <w:p w14:paraId="54351C0B">
                  <w:pPr>
                    <w:pStyle w:val="96"/>
                    <w:spacing w:line="240" w:lineRule="auto"/>
                    <w:jc w:val="center"/>
                    <w:rPr>
                      <w:rFonts w:ascii="Times New Roman" w:hAnsi="Times New Roman" w:cs="Times New Roman"/>
                      <w:color w:val="000000" w:themeColor="text1"/>
                      <w:sz w:val="21"/>
                      <w:highlight w:val="none"/>
                      <w14:textFill>
                        <w14:solidFill>
                          <w14:schemeClr w14:val="tx1"/>
                        </w14:solidFill>
                      </w14:textFill>
                    </w:rPr>
                  </w:pPr>
                </w:p>
              </w:tc>
              <w:tc>
                <w:tcPr>
                  <w:tcW w:w="1027" w:type="dxa"/>
                  <w:vMerge w:val="continue"/>
                  <w:tcBorders>
                    <w:tl2br w:val="nil"/>
                    <w:tr2bl w:val="nil"/>
                  </w:tcBorders>
                  <w:vAlign w:val="center"/>
                </w:tcPr>
                <w:p w14:paraId="204969B6">
                  <w:pPr>
                    <w:pStyle w:val="96"/>
                    <w:spacing w:line="240" w:lineRule="auto"/>
                    <w:jc w:val="center"/>
                    <w:rPr>
                      <w:rFonts w:ascii="Times New Roman" w:hAnsi="Times New Roman" w:cs="Times New Roman"/>
                      <w:color w:val="000000" w:themeColor="text1"/>
                      <w:sz w:val="21"/>
                      <w:highlight w:val="none"/>
                      <w14:textFill>
                        <w14:solidFill>
                          <w14:schemeClr w14:val="tx1"/>
                        </w14:solidFill>
                      </w14:textFill>
                    </w:rPr>
                  </w:pPr>
                </w:p>
              </w:tc>
              <w:tc>
                <w:tcPr>
                  <w:tcW w:w="1219" w:type="dxa"/>
                  <w:vMerge w:val="continue"/>
                  <w:tcBorders>
                    <w:tl2br w:val="nil"/>
                    <w:tr2bl w:val="nil"/>
                  </w:tcBorders>
                  <w:vAlign w:val="center"/>
                </w:tcPr>
                <w:p w14:paraId="69D0146B">
                  <w:pPr>
                    <w:pStyle w:val="96"/>
                    <w:spacing w:line="240" w:lineRule="auto"/>
                    <w:jc w:val="center"/>
                    <w:rPr>
                      <w:rFonts w:ascii="Times New Roman" w:hAnsi="Times New Roman" w:cs="Times New Roman"/>
                      <w:color w:val="000000" w:themeColor="text1"/>
                      <w:sz w:val="21"/>
                      <w:highlight w:val="none"/>
                      <w14:textFill>
                        <w14:solidFill>
                          <w14:schemeClr w14:val="tx1"/>
                        </w14:solidFill>
                      </w14:textFill>
                    </w:rPr>
                  </w:pPr>
                </w:p>
              </w:tc>
              <w:tc>
                <w:tcPr>
                  <w:tcW w:w="1017" w:type="dxa"/>
                  <w:tcBorders>
                    <w:tl2br w:val="nil"/>
                    <w:tr2bl w:val="nil"/>
                  </w:tcBorders>
                  <w:vAlign w:val="center"/>
                </w:tcPr>
                <w:p w14:paraId="782B28D5">
                  <w:pPr>
                    <w:pStyle w:val="96"/>
                    <w:spacing w:line="240" w:lineRule="auto"/>
                    <w:jc w:val="center"/>
                    <w:rPr>
                      <w:rFonts w:ascii="Times New Roman" w:hAnsi="Times New Roman" w:cs="Times New Roman"/>
                      <w:color w:val="000000" w:themeColor="text1"/>
                      <w:sz w:val="21"/>
                      <w:highlight w:val="none"/>
                      <w14:textFill>
                        <w14:solidFill>
                          <w14:schemeClr w14:val="tx1"/>
                        </w14:solidFill>
                      </w14:textFill>
                    </w:rPr>
                  </w:pPr>
                  <w:r>
                    <w:rPr>
                      <w:rFonts w:ascii="Times New Roman" w:hAnsi="Times New Roman" w:cs="Times New Roman"/>
                      <w:color w:val="000000" w:themeColor="text1"/>
                      <w:sz w:val="21"/>
                      <w:highlight w:val="none"/>
                      <w14:textFill>
                        <w14:solidFill>
                          <w14:schemeClr w14:val="tx1"/>
                        </w14:solidFill>
                      </w14:textFill>
                    </w:rPr>
                    <w:t>SS</w:t>
                  </w:r>
                </w:p>
              </w:tc>
              <w:tc>
                <w:tcPr>
                  <w:tcW w:w="1275" w:type="dxa"/>
                  <w:vMerge w:val="continue"/>
                  <w:tcBorders>
                    <w:tl2br w:val="nil"/>
                    <w:tr2bl w:val="nil"/>
                  </w:tcBorders>
                  <w:vAlign w:val="center"/>
                </w:tcPr>
                <w:p w14:paraId="29027F19">
                  <w:pPr>
                    <w:pStyle w:val="96"/>
                    <w:spacing w:line="240" w:lineRule="auto"/>
                    <w:jc w:val="center"/>
                    <w:rPr>
                      <w:rFonts w:ascii="Times New Roman" w:hAnsi="Times New Roman" w:cs="Times New Roman"/>
                      <w:color w:val="000000" w:themeColor="text1"/>
                      <w:sz w:val="21"/>
                      <w:highlight w:val="none"/>
                      <w14:textFill>
                        <w14:solidFill>
                          <w14:schemeClr w14:val="tx1"/>
                        </w14:solidFill>
                      </w14:textFill>
                    </w:rPr>
                  </w:pPr>
                </w:p>
              </w:tc>
              <w:tc>
                <w:tcPr>
                  <w:tcW w:w="1121" w:type="dxa"/>
                  <w:vMerge w:val="continue"/>
                  <w:tcBorders>
                    <w:tl2br w:val="nil"/>
                    <w:tr2bl w:val="nil"/>
                  </w:tcBorders>
                  <w:vAlign w:val="center"/>
                </w:tcPr>
                <w:p w14:paraId="1CDFAE83">
                  <w:pPr>
                    <w:pStyle w:val="96"/>
                    <w:spacing w:line="240" w:lineRule="auto"/>
                    <w:jc w:val="center"/>
                    <w:rPr>
                      <w:rFonts w:ascii="Times New Roman" w:hAnsi="Times New Roman" w:cs="Times New Roman"/>
                      <w:color w:val="000000" w:themeColor="text1"/>
                      <w:sz w:val="21"/>
                      <w:highlight w:val="none"/>
                      <w14:textFill>
                        <w14:solidFill>
                          <w14:schemeClr w14:val="tx1"/>
                        </w14:solidFill>
                      </w14:textFill>
                    </w:rPr>
                  </w:pPr>
                </w:p>
              </w:tc>
              <w:tc>
                <w:tcPr>
                  <w:tcW w:w="1352" w:type="dxa"/>
                  <w:tcBorders>
                    <w:tl2br w:val="nil"/>
                    <w:tr2bl w:val="nil"/>
                  </w:tcBorders>
                  <w:vAlign w:val="center"/>
                </w:tcPr>
                <w:p w14:paraId="07C4035B">
                  <w:pPr>
                    <w:pStyle w:val="96"/>
                    <w:spacing w:line="240" w:lineRule="auto"/>
                    <w:jc w:val="center"/>
                    <w:rPr>
                      <w:rFonts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30</w:t>
                  </w:r>
                </w:p>
              </w:tc>
              <w:tc>
                <w:tcPr>
                  <w:tcW w:w="1159" w:type="dxa"/>
                  <w:vMerge w:val="continue"/>
                  <w:tcBorders>
                    <w:tl2br w:val="nil"/>
                    <w:tr2bl w:val="nil"/>
                  </w:tcBorders>
                  <w:vAlign w:val="center"/>
                </w:tcPr>
                <w:p w14:paraId="5316D8A1">
                  <w:pPr>
                    <w:pStyle w:val="96"/>
                    <w:spacing w:line="240" w:lineRule="auto"/>
                    <w:jc w:val="center"/>
                    <w:rPr>
                      <w:rFonts w:ascii="Times New Roman" w:hAnsi="Times New Roman" w:cs="Times New Roman"/>
                      <w:color w:val="000000" w:themeColor="text1"/>
                      <w:sz w:val="21"/>
                      <w:highlight w:val="none"/>
                      <w14:textFill>
                        <w14:solidFill>
                          <w14:schemeClr w14:val="tx1"/>
                        </w14:solidFill>
                      </w14:textFill>
                    </w:rPr>
                  </w:pPr>
                </w:p>
              </w:tc>
            </w:tr>
            <w:tr w14:paraId="7E004B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4" w:type="dxa"/>
                  <w:vMerge w:val="continue"/>
                  <w:tcBorders>
                    <w:tl2br w:val="nil"/>
                    <w:tr2bl w:val="nil"/>
                  </w:tcBorders>
                  <w:vAlign w:val="center"/>
                </w:tcPr>
                <w:p w14:paraId="39807566">
                  <w:pPr>
                    <w:pStyle w:val="96"/>
                    <w:spacing w:line="240" w:lineRule="auto"/>
                    <w:jc w:val="center"/>
                    <w:rPr>
                      <w:rFonts w:ascii="Times New Roman" w:hAnsi="Times New Roman" w:cs="Times New Roman"/>
                      <w:color w:val="000000" w:themeColor="text1"/>
                      <w:sz w:val="21"/>
                      <w:highlight w:val="none"/>
                      <w14:textFill>
                        <w14:solidFill>
                          <w14:schemeClr w14:val="tx1"/>
                        </w14:solidFill>
                      </w14:textFill>
                    </w:rPr>
                  </w:pPr>
                </w:p>
              </w:tc>
              <w:tc>
                <w:tcPr>
                  <w:tcW w:w="1027" w:type="dxa"/>
                  <w:vMerge w:val="continue"/>
                  <w:tcBorders>
                    <w:tl2br w:val="nil"/>
                    <w:tr2bl w:val="nil"/>
                  </w:tcBorders>
                  <w:vAlign w:val="center"/>
                </w:tcPr>
                <w:p w14:paraId="0409EA1D">
                  <w:pPr>
                    <w:pStyle w:val="96"/>
                    <w:spacing w:line="240" w:lineRule="auto"/>
                    <w:jc w:val="center"/>
                    <w:rPr>
                      <w:rFonts w:ascii="Times New Roman" w:hAnsi="Times New Roman" w:cs="Times New Roman"/>
                      <w:color w:val="000000" w:themeColor="text1"/>
                      <w:sz w:val="21"/>
                      <w:highlight w:val="none"/>
                      <w14:textFill>
                        <w14:solidFill>
                          <w14:schemeClr w14:val="tx1"/>
                        </w14:solidFill>
                      </w14:textFill>
                    </w:rPr>
                  </w:pPr>
                </w:p>
              </w:tc>
              <w:tc>
                <w:tcPr>
                  <w:tcW w:w="1219" w:type="dxa"/>
                  <w:vMerge w:val="continue"/>
                  <w:tcBorders>
                    <w:tl2br w:val="nil"/>
                    <w:tr2bl w:val="nil"/>
                  </w:tcBorders>
                  <w:vAlign w:val="center"/>
                </w:tcPr>
                <w:p w14:paraId="16E7DBBF">
                  <w:pPr>
                    <w:pStyle w:val="96"/>
                    <w:spacing w:line="240" w:lineRule="auto"/>
                    <w:jc w:val="center"/>
                    <w:rPr>
                      <w:rFonts w:ascii="Times New Roman" w:hAnsi="Times New Roman" w:cs="Times New Roman"/>
                      <w:color w:val="000000" w:themeColor="text1"/>
                      <w:sz w:val="21"/>
                      <w:highlight w:val="none"/>
                      <w14:textFill>
                        <w14:solidFill>
                          <w14:schemeClr w14:val="tx1"/>
                        </w14:solidFill>
                      </w14:textFill>
                    </w:rPr>
                  </w:pPr>
                </w:p>
              </w:tc>
              <w:tc>
                <w:tcPr>
                  <w:tcW w:w="1017" w:type="dxa"/>
                  <w:tcBorders>
                    <w:tl2br w:val="nil"/>
                    <w:tr2bl w:val="nil"/>
                  </w:tcBorders>
                  <w:vAlign w:val="center"/>
                </w:tcPr>
                <w:p w14:paraId="5C670C3C">
                  <w:pPr>
                    <w:pStyle w:val="96"/>
                    <w:spacing w:line="240" w:lineRule="auto"/>
                    <w:jc w:val="center"/>
                    <w:rPr>
                      <w:rFonts w:ascii="Times New Roman" w:hAnsi="Times New Roman" w:cs="Times New Roman"/>
                      <w:color w:val="000000" w:themeColor="text1"/>
                      <w:sz w:val="21"/>
                      <w:highlight w:val="none"/>
                      <w14:textFill>
                        <w14:solidFill>
                          <w14:schemeClr w14:val="tx1"/>
                        </w14:solidFill>
                      </w14:textFill>
                    </w:rPr>
                  </w:pPr>
                  <w:r>
                    <w:rPr>
                      <w:rFonts w:ascii="Times New Roman" w:hAnsi="Times New Roman" w:cs="Times New Roman"/>
                      <w:color w:val="000000" w:themeColor="text1"/>
                      <w:sz w:val="21"/>
                      <w:highlight w:val="none"/>
                      <w14:textFill>
                        <w14:solidFill>
                          <w14:schemeClr w14:val="tx1"/>
                        </w14:solidFill>
                      </w14:textFill>
                    </w:rPr>
                    <w:t>氨氮</w:t>
                  </w:r>
                </w:p>
              </w:tc>
              <w:tc>
                <w:tcPr>
                  <w:tcW w:w="1275" w:type="dxa"/>
                  <w:vMerge w:val="continue"/>
                  <w:tcBorders>
                    <w:tl2br w:val="nil"/>
                    <w:tr2bl w:val="nil"/>
                  </w:tcBorders>
                  <w:vAlign w:val="center"/>
                </w:tcPr>
                <w:p w14:paraId="040F6561">
                  <w:pPr>
                    <w:pStyle w:val="96"/>
                    <w:spacing w:line="240" w:lineRule="auto"/>
                    <w:jc w:val="center"/>
                    <w:rPr>
                      <w:rFonts w:ascii="Times New Roman" w:hAnsi="Times New Roman" w:cs="Times New Roman"/>
                      <w:color w:val="000000" w:themeColor="text1"/>
                      <w:sz w:val="21"/>
                      <w:highlight w:val="none"/>
                      <w14:textFill>
                        <w14:solidFill>
                          <w14:schemeClr w14:val="tx1"/>
                        </w14:solidFill>
                      </w14:textFill>
                    </w:rPr>
                  </w:pPr>
                </w:p>
              </w:tc>
              <w:tc>
                <w:tcPr>
                  <w:tcW w:w="1121" w:type="dxa"/>
                  <w:vMerge w:val="continue"/>
                  <w:tcBorders>
                    <w:tl2br w:val="nil"/>
                    <w:tr2bl w:val="nil"/>
                  </w:tcBorders>
                  <w:vAlign w:val="center"/>
                </w:tcPr>
                <w:p w14:paraId="4F81863B">
                  <w:pPr>
                    <w:pStyle w:val="96"/>
                    <w:spacing w:line="240" w:lineRule="auto"/>
                    <w:jc w:val="center"/>
                    <w:rPr>
                      <w:rFonts w:ascii="Times New Roman" w:hAnsi="Times New Roman" w:cs="Times New Roman"/>
                      <w:color w:val="000000" w:themeColor="text1"/>
                      <w:sz w:val="21"/>
                      <w:highlight w:val="none"/>
                      <w14:textFill>
                        <w14:solidFill>
                          <w14:schemeClr w14:val="tx1"/>
                        </w14:solidFill>
                      </w14:textFill>
                    </w:rPr>
                  </w:pPr>
                </w:p>
              </w:tc>
              <w:tc>
                <w:tcPr>
                  <w:tcW w:w="1352" w:type="dxa"/>
                  <w:tcBorders>
                    <w:tl2br w:val="nil"/>
                    <w:tr2bl w:val="nil"/>
                  </w:tcBorders>
                  <w:vAlign w:val="center"/>
                </w:tcPr>
                <w:p w14:paraId="4DC1D86B">
                  <w:pPr>
                    <w:pStyle w:val="96"/>
                    <w:spacing w:line="240" w:lineRule="auto"/>
                    <w:jc w:val="center"/>
                    <w:rPr>
                      <w:rFonts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3</w:t>
                  </w:r>
                </w:p>
              </w:tc>
              <w:tc>
                <w:tcPr>
                  <w:tcW w:w="1159" w:type="dxa"/>
                  <w:vMerge w:val="continue"/>
                  <w:tcBorders>
                    <w:tl2br w:val="nil"/>
                    <w:tr2bl w:val="nil"/>
                  </w:tcBorders>
                  <w:vAlign w:val="center"/>
                </w:tcPr>
                <w:p w14:paraId="6921D2F2">
                  <w:pPr>
                    <w:pStyle w:val="96"/>
                    <w:spacing w:line="240" w:lineRule="auto"/>
                    <w:jc w:val="center"/>
                    <w:rPr>
                      <w:rFonts w:ascii="Times New Roman" w:hAnsi="Times New Roman" w:cs="Times New Roman"/>
                      <w:color w:val="000000" w:themeColor="text1"/>
                      <w:sz w:val="21"/>
                      <w:highlight w:val="none"/>
                      <w14:textFill>
                        <w14:solidFill>
                          <w14:schemeClr w14:val="tx1"/>
                        </w14:solidFill>
                      </w14:textFill>
                    </w:rPr>
                  </w:pPr>
                </w:p>
              </w:tc>
            </w:tr>
          </w:tbl>
          <w:p w14:paraId="26823FF2">
            <w:pPr>
              <w:pStyle w:val="42"/>
              <w:keepNext/>
              <w:keepLines/>
              <w:pageBreakBefore w:val="0"/>
              <w:widowControl w:val="0"/>
              <w:numPr>
                <w:ilvl w:val="7"/>
                <w:numId w:val="1"/>
              </w:numPr>
              <w:kinsoku/>
              <w:wordWrap/>
              <w:overflowPunct/>
              <w:topLinePunct w:val="0"/>
              <w:autoSpaceDE/>
              <w:autoSpaceDN/>
              <w:bidi w:val="0"/>
              <w:adjustRightInd/>
              <w:snapToGrid/>
              <w:spacing w:before="157" w:beforeLines="50" w:after="0"/>
              <w:ind w:left="630" w:leftChars="0" w:firstLine="0" w:firstLineChars="0"/>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bookmarkStart w:id="51" w:name="_Ref27296"/>
            <w:r>
              <w:rPr>
                <w:rFonts w:hint="eastAsia" w:ascii="Times New Roman" w:hAnsi="Times New Roman" w:eastAsia="宋体" w:cs="Times New Roman"/>
                <w:color w:val="000000" w:themeColor="text1"/>
                <w:highlight w:val="none"/>
                <w:lang w:val="en-US" w:eastAsia="zh-CN"/>
                <w14:textFill>
                  <w14:solidFill>
                    <w14:schemeClr w14:val="tx1"/>
                  </w14:solidFill>
                </w14:textFill>
              </w:rPr>
              <w:t>项目废水源核算一览表</w:t>
            </w:r>
            <w:bookmarkEnd w:id="51"/>
          </w:p>
          <w:tbl>
            <w:tblPr>
              <w:tblStyle w:val="32"/>
              <w:tblW w:w="872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119"/>
              <w:gridCol w:w="1013"/>
              <w:gridCol w:w="1093"/>
              <w:gridCol w:w="959"/>
              <w:gridCol w:w="1058"/>
              <w:gridCol w:w="962"/>
              <w:gridCol w:w="617"/>
              <w:gridCol w:w="958"/>
              <w:gridCol w:w="945"/>
            </w:tblGrid>
            <w:tr w14:paraId="3DD680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119" w:type="dxa"/>
                  <w:vMerge w:val="restart"/>
                  <w:tcBorders>
                    <w:tl2br w:val="nil"/>
                    <w:tr2bl w:val="nil"/>
                  </w:tcBorders>
                  <w:vAlign w:val="center"/>
                </w:tcPr>
                <w:p w14:paraId="4560C5A9">
                  <w:pPr>
                    <w:pStyle w:val="96"/>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highlight w:val="none"/>
                      <w14:textFill>
                        <w14:solidFill>
                          <w14:schemeClr w14:val="tx1"/>
                        </w14:solidFill>
                      </w14:textFill>
                    </w:rPr>
                  </w:pPr>
                  <w:r>
                    <w:rPr>
                      <w:rFonts w:ascii="Times New Roman" w:hAnsi="Times New Roman" w:cs="Times New Roman"/>
                      <w:color w:val="000000" w:themeColor="text1"/>
                      <w:sz w:val="21"/>
                      <w:highlight w:val="none"/>
                      <w14:textFill>
                        <w14:solidFill>
                          <w14:schemeClr w14:val="tx1"/>
                        </w14:solidFill>
                      </w14:textFill>
                    </w:rPr>
                    <w:t>类别</w:t>
                  </w:r>
                </w:p>
              </w:tc>
              <w:tc>
                <w:tcPr>
                  <w:tcW w:w="1013" w:type="dxa"/>
                  <w:vMerge w:val="restart"/>
                  <w:tcBorders>
                    <w:tl2br w:val="nil"/>
                    <w:tr2bl w:val="nil"/>
                  </w:tcBorders>
                  <w:vAlign w:val="center"/>
                </w:tcPr>
                <w:p w14:paraId="2B99D768">
                  <w:pPr>
                    <w:pStyle w:val="96"/>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highlight w:val="none"/>
                      <w14:textFill>
                        <w14:solidFill>
                          <w14:schemeClr w14:val="tx1"/>
                        </w14:solidFill>
                      </w14:textFill>
                    </w:rPr>
                  </w:pPr>
                  <w:r>
                    <w:rPr>
                      <w:rFonts w:ascii="Times New Roman" w:hAnsi="Times New Roman" w:cs="Times New Roman"/>
                      <w:color w:val="000000" w:themeColor="text1"/>
                      <w:sz w:val="21"/>
                      <w:highlight w:val="none"/>
                      <w14:textFill>
                        <w14:solidFill>
                          <w14:schemeClr w14:val="tx1"/>
                        </w14:solidFill>
                      </w14:textFill>
                    </w:rPr>
                    <w:t>污染物种类</w:t>
                  </w:r>
                </w:p>
              </w:tc>
              <w:tc>
                <w:tcPr>
                  <w:tcW w:w="2052" w:type="dxa"/>
                  <w:gridSpan w:val="2"/>
                  <w:tcBorders>
                    <w:tl2br w:val="nil"/>
                    <w:tr2bl w:val="nil"/>
                  </w:tcBorders>
                  <w:vAlign w:val="center"/>
                </w:tcPr>
                <w:p w14:paraId="3B65E46D">
                  <w:pPr>
                    <w:pStyle w:val="96"/>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highlight w:val="none"/>
                      <w14:textFill>
                        <w14:solidFill>
                          <w14:schemeClr w14:val="tx1"/>
                        </w14:solidFill>
                      </w14:textFill>
                    </w:rPr>
                  </w:pPr>
                  <w:r>
                    <w:rPr>
                      <w:rFonts w:ascii="Times New Roman" w:hAnsi="Times New Roman" w:cs="Times New Roman"/>
                      <w:color w:val="000000" w:themeColor="text1"/>
                      <w:sz w:val="21"/>
                      <w:highlight w:val="none"/>
                      <w14:textFill>
                        <w14:solidFill>
                          <w14:schemeClr w14:val="tx1"/>
                        </w14:solidFill>
                      </w14:textFill>
                    </w:rPr>
                    <w:t>污染物产生情况</w:t>
                  </w:r>
                </w:p>
              </w:tc>
              <w:tc>
                <w:tcPr>
                  <w:tcW w:w="2020" w:type="dxa"/>
                  <w:gridSpan w:val="2"/>
                  <w:tcBorders>
                    <w:tl2br w:val="nil"/>
                    <w:tr2bl w:val="nil"/>
                  </w:tcBorders>
                  <w:vAlign w:val="center"/>
                </w:tcPr>
                <w:p w14:paraId="688268E7">
                  <w:pPr>
                    <w:pStyle w:val="96"/>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highlight w:val="none"/>
                      <w14:textFill>
                        <w14:solidFill>
                          <w14:schemeClr w14:val="tx1"/>
                        </w14:solidFill>
                      </w14:textFill>
                    </w:rPr>
                  </w:pPr>
                  <w:r>
                    <w:rPr>
                      <w:rFonts w:ascii="Times New Roman" w:hAnsi="Times New Roman" w:cs="Times New Roman"/>
                      <w:color w:val="000000" w:themeColor="text1"/>
                      <w:sz w:val="21"/>
                      <w:highlight w:val="none"/>
                      <w14:textFill>
                        <w14:solidFill>
                          <w14:schemeClr w14:val="tx1"/>
                        </w14:solidFill>
                      </w14:textFill>
                    </w:rPr>
                    <w:t>污染物排放情况</w:t>
                  </w:r>
                </w:p>
              </w:tc>
              <w:tc>
                <w:tcPr>
                  <w:tcW w:w="617" w:type="dxa"/>
                  <w:vMerge w:val="restart"/>
                  <w:tcBorders>
                    <w:tl2br w:val="nil"/>
                    <w:tr2bl w:val="nil"/>
                  </w:tcBorders>
                  <w:vAlign w:val="center"/>
                </w:tcPr>
                <w:p w14:paraId="14539A8B">
                  <w:pPr>
                    <w:pStyle w:val="96"/>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highlight w:val="none"/>
                      <w14:textFill>
                        <w14:solidFill>
                          <w14:schemeClr w14:val="tx1"/>
                        </w14:solidFill>
                      </w14:textFill>
                    </w:rPr>
                  </w:pPr>
                  <w:r>
                    <w:rPr>
                      <w:rFonts w:ascii="Times New Roman" w:hAnsi="Times New Roman" w:cs="Times New Roman"/>
                      <w:color w:val="000000" w:themeColor="text1"/>
                      <w:sz w:val="21"/>
                      <w:highlight w:val="none"/>
                      <w14:textFill>
                        <w14:solidFill>
                          <w14:schemeClr w14:val="tx1"/>
                        </w14:solidFill>
                      </w14:textFill>
                    </w:rPr>
                    <w:t>排放方式</w:t>
                  </w:r>
                </w:p>
              </w:tc>
              <w:tc>
                <w:tcPr>
                  <w:tcW w:w="958" w:type="dxa"/>
                  <w:vMerge w:val="restart"/>
                  <w:tcBorders>
                    <w:tl2br w:val="nil"/>
                    <w:tr2bl w:val="nil"/>
                  </w:tcBorders>
                  <w:vAlign w:val="center"/>
                </w:tcPr>
                <w:p w14:paraId="7F890786">
                  <w:pPr>
                    <w:pStyle w:val="96"/>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highlight w:val="none"/>
                      <w14:textFill>
                        <w14:solidFill>
                          <w14:schemeClr w14:val="tx1"/>
                        </w14:solidFill>
                      </w14:textFill>
                    </w:rPr>
                  </w:pPr>
                  <w:r>
                    <w:rPr>
                      <w:rFonts w:ascii="Times New Roman" w:hAnsi="Times New Roman" w:cs="Times New Roman"/>
                      <w:color w:val="000000" w:themeColor="text1"/>
                      <w:sz w:val="21"/>
                      <w:highlight w:val="none"/>
                      <w14:textFill>
                        <w14:solidFill>
                          <w14:schemeClr w14:val="tx1"/>
                        </w14:solidFill>
                      </w14:textFill>
                    </w:rPr>
                    <w:t>排放去向</w:t>
                  </w:r>
                </w:p>
              </w:tc>
              <w:tc>
                <w:tcPr>
                  <w:tcW w:w="945" w:type="dxa"/>
                  <w:vMerge w:val="restart"/>
                  <w:tcBorders>
                    <w:tl2br w:val="nil"/>
                    <w:tr2bl w:val="nil"/>
                  </w:tcBorders>
                  <w:vAlign w:val="center"/>
                </w:tcPr>
                <w:p w14:paraId="752EEB7B">
                  <w:pPr>
                    <w:pStyle w:val="96"/>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highlight w:val="none"/>
                      <w14:textFill>
                        <w14:solidFill>
                          <w14:schemeClr w14:val="tx1"/>
                        </w14:solidFill>
                      </w14:textFill>
                    </w:rPr>
                  </w:pPr>
                  <w:r>
                    <w:rPr>
                      <w:rFonts w:ascii="Times New Roman" w:hAnsi="Times New Roman" w:cs="Times New Roman"/>
                      <w:color w:val="000000" w:themeColor="text1"/>
                      <w:sz w:val="21"/>
                      <w:highlight w:val="none"/>
                      <w14:textFill>
                        <w14:solidFill>
                          <w14:schemeClr w14:val="tx1"/>
                        </w14:solidFill>
                      </w14:textFill>
                    </w:rPr>
                    <w:t>排放标准mg/</w:t>
                  </w:r>
                  <w:r>
                    <w:rPr>
                      <w:rFonts w:hint="eastAsia" w:ascii="Times New Roman" w:hAnsi="Times New Roman" w:cs="Times New Roman"/>
                      <w:color w:val="000000" w:themeColor="text1"/>
                      <w:sz w:val="21"/>
                      <w:highlight w:val="none"/>
                      <w14:textFill>
                        <w14:solidFill>
                          <w14:schemeClr w14:val="tx1"/>
                        </w14:solidFill>
                      </w14:textFill>
                    </w:rPr>
                    <w:t>L</w:t>
                  </w:r>
                </w:p>
              </w:tc>
            </w:tr>
            <w:tr w14:paraId="7C819B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119" w:type="dxa"/>
                  <w:vMerge w:val="continue"/>
                  <w:tcBorders>
                    <w:tl2br w:val="nil"/>
                    <w:tr2bl w:val="nil"/>
                  </w:tcBorders>
                  <w:vAlign w:val="center"/>
                </w:tcPr>
                <w:p w14:paraId="7D3B21DF">
                  <w:pPr>
                    <w:pStyle w:val="96"/>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highlight w:val="none"/>
                      <w14:textFill>
                        <w14:solidFill>
                          <w14:schemeClr w14:val="tx1"/>
                        </w14:solidFill>
                      </w14:textFill>
                    </w:rPr>
                  </w:pPr>
                </w:p>
              </w:tc>
              <w:tc>
                <w:tcPr>
                  <w:tcW w:w="1013" w:type="dxa"/>
                  <w:vMerge w:val="continue"/>
                  <w:tcBorders>
                    <w:tl2br w:val="nil"/>
                    <w:tr2bl w:val="nil"/>
                  </w:tcBorders>
                  <w:vAlign w:val="center"/>
                </w:tcPr>
                <w:p w14:paraId="73CD68E4">
                  <w:pPr>
                    <w:pStyle w:val="96"/>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highlight w:val="none"/>
                      <w14:textFill>
                        <w14:solidFill>
                          <w14:schemeClr w14:val="tx1"/>
                        </w14:solidFill>
                      </w14:textFill>
                    </w:rPr>
                  </w:pPr>
                </w:p>
              </w:tc>
              <w:tc>
                <w:tcPr>
                  <w:tcW w:w="1093" w:type="dxa"/>
                  <w:tcBorders>
                    <w:tl2br w:val="nil"/>
                    <w:tr2bl w:val="nil"/>
                  </w:tcBorders>
                  <w:vAlign w:val="center"/>
                </w:tcPr>
                <w:p w14:paraId="11FC074F">
                  <w:pPr>
                    <w:pStyle w:val="96"/>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highlight w:val="none"/>
                      <w14:textFill>
                        <w14:solidFill>
                          <w14:schemeClr w14:val="tx1"/>
                        </w14:solidFill>
                      </w14:textFill>
                    </w:rPr>
                  </w:pPr>
                  <w:r>
                    <w:rPr>
                      <w:rFonts w:ascii="Times New Roman" w:hAnsi="Times New Roman" w:cs="Times New Roman"/>
                      <w:color w:val="000000" w:themeColor="text1"/>
                      <w:sz w:val="21"/>
                      <w:highlight w:val="none"/>
                      <w14:textFill>
                        <w14:solidFill>
                          <w14:schemeClr w14:val="tx1"/>
                        </w14:solidFill>
                      </w14:textFill>
                    </w:rPr>
                    <w:t>产生浓度mg/</w:t>
                  </w:r>
                  <w:r>
                    <w:rPr>
                      <w:rFonts w:hint="eastAsia" w:ascii="Times New Roman" w:hAnsi="Times New Roman" w:cs="Times New Roman"/>
                      <w:color w:val="000000" w:themeColor="text1"/>
                      <w:sz w:val="21"/>
                      <w:highlight w:val="none"/>
                      <w14:textFill>
                        <w14:solidFill>
                          <w14:schemeClr w14:val="tx1"/>
                        </w14:solidFill>
                      </w14:textFill>
                    </w:rPr>
                    <w:t>L</w:t>
                  </w:r>
                </w:p>
              </w:tc>
              <w:tc>
                <w:tcPr>
                  <w:tcW w:w="959" w:type="dxa"/>
                  <w:tcBorders>
                    <w:tl2br w:val="nil"/>
                    <w:tr2bl w:val="nil"/>
                  </w:tcBorders>
                  <w:vAlign w:val="center"/>
                </w:tcPr>
                <w:p w14:paraId="3C28400C">
                  <w:pPr>
                    <w:pStyle w:val="96"/>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highlight w:val="none"/>
                      <w14:textFill>
                        <w14:solidFill>
                          <w14:schemeClr w14:val="tx1"/>
                        </w14:solidFill>
                      </w14:textFill>
                    </w:rPr>
                  </w:pPr>
                  <w:r>
                    <w:rPr>
                      <w:rFonts w:ascii="Times New Roman" w:hAnsi="Times New Roman" w:cs="Times New Roman"/>
                      <w:color w:val="000000" w:themeColor="text1"/>
                      <w:sz w:val="21"/>
                      <w:highlight w:val="none"/>
                      <w14:textFill>
                        <w14:solidFill>
                          <w14:schemeClr w14:val="tx1"/>
                        </w14:solidFill>
                      </w14:textFill>
                    </w:rPr>
                    <w:t>产生量t/a</w:t>
                  </w:r>
                </w:p>
              </w:tc>
              <w:tc>
                <w:tcPr>
                  <w:tcW w:w="1058" w:type="dxa"/>
                  <w:tcBorders>
                    <w:tl2br w:val="nil"/>
                    <w:tr2bl w:val="nil"/>
                  </w:tcBorders>
                  <w:vAlign w:val="center"/>
                </w:tcPr>
                <w:p w14:paraId="02AC2E5A">
                  <w:pPr>
                    <w:pStyle w:val="96"/>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highlight w:val="none"/>
                      <w14:textFill>
                        <w14:solidFill>
                          <w14:schemeClr w14:val="tx1"/>
                        </w14:solidFill>
                      </w14:textFill>
                    </w:rPr>
                  </w:pPr>
                  <w:r>
                    <w:rPr>
                      <w:rFonts w:ascii="Times New Roman" w:hAnsi="Times New Roman" w:cs="Times New Roman"/>
                      <w:color w:val="000000" w:themeColor="text1"/>
                      <w:sz w:val="21"/>
                      <w:highlight w:val="none"/>
                      <w14:textFill>
                        <w14:solidFill>
                          <w14:schemeClr w14:val="tx1"/>
                        </w14:solidFill>
                      </w14:textFill>
                    </w:rPr>
                    <w:t>排放浓度mg/</w:t>
                  </w:r>
                  <w:r>
                    <w:rPr>
                      <w:rFonts w:hint="eastAsia" w:ascii="Times New Roman" w:hAnsi="Times New Roman" w:cs="Times New Roman"/>
                      <w:color w:val="000000" w:themeColor="text1"/>
                      <w:sz w:val="21"/>
                      <w:highlight w:val="none"/>
                      <w14:textFill>
                        <w14:solidFill>
                          <w14:schemeClr w14:val="tx1"/>
                        </w14:solidFill>
                      </w14:textFill>
                    </w:rPr>
                    <w:t>L</w:t>
                  </w:r>
                </w:p>
              </w:tc>
              <w:tc>
                <w:tcPr>
                  <w:tcW w:w="962" w:type="dxa"/>
                  <w:tcBorders>
                    <w:tl2br w:val="nil"/>
                    <w:tr2bl w:val="nil"/>
                  </w:tcBorders>
                  <w:vAlign w:val="center"/>
                </w:tcPr>
                <w:p w14:paraId="5A91D5E7">
                  <w:pPr>
                    <w:pStyle w:val="96"/>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highlight w:val="none"/>
                      <w14:textFill>
                        <w14:solidFill>
                          <w14:schemeClr w14:val="tx1"/>
                        </w14:solidFill>
                      </w14:textFill>
                    </w:rPr>
                  </w:pPr>
                  <w:r>
                    <w:rPr>
                      <w:rFonts w:ascii="Times New Roman" w:hAnsi="Times New Roman" w:cs="Times New Roman"/>
                      <w:color w:val="000000" w:themeColor="text1"/>
                      <w:sz w:val="21"/>
                      <w:highlight w:val="none"/>
                      <w14:textFill>
                        <w14:solidFill>
                          <w14:schemeClr w14:val="tx1"/>
                        </w14:solidFill>
                      </w14:textFill>
                    </w:rPr>
                    <w:t>排放量t/a</w:t>
                  </w:r>
                </w:p>
              </w:tc>
              <w:tc>
                <w:tcPr>
                  <w:tcW w:w="617" w:type="dxa"/>
                  <w:vMerge w:val="continue"/>
                  <w:tcBorders>
                    <w:tl2br w:val="nil"/>
                    <w:tr2bl w:val="nil"/>
                  </w:tcBorders>
                  <w:vAlign w:val="center"/>
                </w:tcPr>
                <w:p w14:paraId="6439063A">
                  <w:pPr>
                    <w:pStyle w:val="96"/>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highlight w:val="none"/>
                      <w14:textFill>
                        <w14:solidFill>
                          <w14:schemeClr w14:val="tx1"/>
                        </w14:solidFill>
                      </w14:textFill>
                    </w:rPr>
                  </w:pPr>
                </w:p>
              </w:tc>
              <w:tc>
                <w:tcPr>
                  <w:tcW w:w="958" w:type="dxa"/>
                  <w:vMerge w:val="continue"/>
                  <w:tcBorders>
                    <w:tl2br w:val="nil"/>
                    <w:tr2bl w:val="nil"/>
                  </w:tcBorders>
                  <w:vAlign w:val="center"/>
                </w:tcPr>
                <w:p w14:paraId="0A2AD23F">
                  <w:pPr>
                    <w:pStyle w:val="96"/>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highlight w:val="none"/>
                      <w14:textFill>
                        <w14:solidFill>
                          <w14:schemeClr w14:val="tx1"/>
                        </w14:solidFill>
                      </w14:textFill>
                    </w:rPr>
                  </w:pPr>
                </w:p>
              </w:tc>
              <w:tc>
                <w:tcPr>
                  <w:tcW w:w="945" w:type="dxa"/>
                  <w:vMerge w:val="continue"/>
                  <w:tcBorders>
                    <w:tl2br w:val="nil"/>
                    <w:tr2bl w:val="nil"/>
                  </w:tcBorders>
                  <w:vAlign w:val="center"/>
                </w:tcPr>
                <w:p w14:paraId="4620AFC9">
                  <w:pPr>
                    <w:pStyle w:val="96"/>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highlight w:val="none"/>
                      <w14:textFill>
                        <w14:solidFill>
                          <w14:schemeClr w14:val="tx1"/>
                        </w14:solidFill>
                      </w14:textFill>
                    </w:rPr>
                  </w:pPr>
                </w:p>
              </w:tc>
            </w:tr>
            <w:tr w14:paraId="28EA86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1119" w:type="dxa"/>
                  <w:vMerge w:val="restart"/>
                  <w:vAlign w:val="center"/>
                </w:tcPr>
                <w:p w14:paraId="43ADAD99">
                  <w:pPr>
                    <w:pStyle w:val="96"/>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highlight w:val="none"/>
                      <w14:textFill>
                        <w14:solidFill>
                          <w14:schemeClr w14:val="tx1"/>
                        </w14:solidFill>
                      </w14:textFill>
                    </w:rPr>
                  </w:pPr>
                  <w:r>
                    <w:rPr>
                      <w:rFonts w:ascii="Times New Roman" w:hAnsi="Times New Roman" w:cs="Times New Roman"/>
                      <w:color w:val="000000" w:themeColor="text1"/>
                      <w:sz w:val="21"/>
                      <w:highlight w:val="none"/>
                      <w14:textFill>
                        <w14:solidFill>
                          <w14:schemeClr w14:val="tx1"/>
                        </w14:solidFill>
                      </w14:textFill>
                    </w:rPr>
                    <w:t>生活污水</w:t>
                  </w:r>
                </w:p>
              </w:tc>
              <w:tc>
                <w:tcPr>
                  <w:tcW w:w="1013" w:type="dxa"/>
                  <w:vAlign w:val="center"/>
                </w:tcPr>
                <w:p w14:paraId="471925BB">
                  <w:pPr>
                    <w:pStyle w:val="96"/>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highlight w:val="none"/>
                      <w14:textFill>
                        <w14:solidFill>
                          <w14:schemeClr w14:val="tx1"/>
                        </w14:solidFill>
                      </w14:textFill>
                    </w:rPr>
                  </w:pPr>
                  <w:r>
                    <w:rPr>
                      <w:rFonts w:ascii="Times New Roman" w:hAnsi="Times New Roman" w:cs="Times New Roman"/>
                      <w:color w:val="000000" w:themeColor="text1"/>
                      <w:sz w:val="21"/>
                      <w:highlight w:val="none"/>
                      <w:lang w:val="zh-CN"/>
                      <w14:textFill>
                        <w14:solidFill>
                          <w14:schemeClr w14:val="tx1"/>
                        </w14:solidFill>
                      </w14:textFill>
                    </w:rPr>
                    <w:t>COD</w:t>
                  </w:r>
                </w:p>
              </w:tc>
              <w:tc>
                <w:tcPr>
                  <w:tcW w:w="1093" w:type="dxa"/>
                  <w:vAlign w:val="center"/>
                </w:tcPr>
                <w:p w14:paraId="1A4BC949">
                  <w:pPr>
                    <w:pStyle w:val="96"/>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宋体" w:cs="Times New Roman"/>
                      <w:color w:val="000000" w:themeColor="text1"/>
                      <w:sz w:val="21"/>
                      <w:highlight w:val="none"/>
                      <w:lang w:val="zh-CN"/>
                      <w14:textFill>
                        <w14:solidFill>
                          <w14:schemeClr w14:val="tx1"/>
                        </w14:solidFill>
                      </w14:textFill>
                    </w:rPr>
                  </w:pP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400</w:t>
                  </w:r>
                </w:p>
              </w:tc>
              <w:tc>
                <w:tcPr>
                  <w:tcW w:w="959" w:type="dxa"/>
                  <w:vAlign w:val="center"/>
                </w:tcPr>
                <w:p w14:paraId="64F5452D">
                  <w:pPr>
                    <w:pStyle w:val="96"/>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lang w:val="en-US" w:eastAsia="zh-CN"/>
                      <w14:textFill>
                        <w14:solidFill>
                          <w14:schemeClr w14:val="tx1"/>
                        </w14:solidFill>
                      </w14:textFill>
                    </w:rPr>
                    <w:t>0.12</w:t>
                  </w:r>
                </w:p>
              </w:tc>
              <w:tc>
                <w:tcPr>
                  <w:tcW w:w="1058" w:type="dxa"/>
                  <w:vAlign w:val="center"/>
                </w:tcPr>
                <w:p w14:paraId="5F69E668">
                  <w:pPr>
                    <w:pStyle w:val="96"/>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宋体" w:cs="Times New Roman"/>
                      <w:color w:val="000000" w:themeColor="text1"/>
                      <w:sz w:val="21"/>
                      <w:highlight w:val="none"/>
                      <w:lang w:val="zh-CN"/>
                      <w14:textFill>
                        <w14:solidFill>
                          <w14:schemeClr w14:val="tx1"/>
                        </w14:solidFill>
                      </w14:textFill>
                    </w:rPr>
                  </w:pP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340</w:t>
                  </w:r>
                </w:p>
              </w:tc>
              <w:tc>
                <w:tcPr>
                  <w:tcW w:w="962" w:type="dxa"/>
                  <w:vAlign w:val="center"/>
                </w:tcPr>
                <w:p w14:paraId="76B49E6D">
                  <w:pPr>
                    <w:pStyle w:val="96"/>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lang w:val="en-US" w:eastAsia="zh-CN"/>
                      <w14:textFill>
                        <w14:solidFill>
                          <w14:schemeClr w14:val="tx1"/>
                        </w14:solidFill>
                      </w14:textFill>
                    </w:rPr>
                    <w:t>0.102</w:t>
                  </w:r>
                </w:p>
              </w:tc>
              <w:tc>
                <w:tcPr>
                  <w:tcW w:w="617" w:type="dxa"/>
                  <w:vMerge w:val="restart"/>
                  <w:vAlign w:val="center"/>
                </w:tcPr>
                <w:p w14:paraId="0F9072D4">
                  <w:pPr>
                    <w:pStyle w:val="96"/>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highlight w:val="none"/>
                      <w14:textFill>
                        <w14:solidFill>
                          <w14:schemeClr w14:val="tx1"/>
                        </w14:solidFill>
                      </w14:textFill>
                    </w:rPr>
                  </w:pPr>
                  <w:r>
                    <w:rPr>
                      <w:rFonts w:ascii="Times New Roman" w:hAnsi="Times New Roman" w:cs="Times New Roman"/>
                      <w:color w:val="000000" w:themeColor="text1"/>
                      <w:sz w:val="21"/>
                      <w:highlight w:val="none"/>
                      <w14:textFill>
                        <w14:solidFill>
                          <w14:schemeClr w14:val="tx1"/>
                        </w14:solidFill>
                      </w14:textFill>
                    </w:rPr>
                    <w:t>间接排放</w:t>
                  </w:r>
                </w:p>
              </w:tc>
              <w:tc>
                <w:tcPr>
                  <w:tcW w:w="958" w:type="dxa"/>
                  <w:vMerge w:val="restart"/>
                  <w:vAlign w:val="center"/>
                </w:tcPr>
                <w:p w14:paraId="10A720B9">
                  <w:pPr>
                    <w:pStyle w:val="96"/>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000000" w:themeColor="text1"/>
                      <w:sz w:val="21"/>
                      <w:highlight w:val="none"/>
                      <w:lang w:eastAsia="zh-CN"/>
                      <w14:textFill>
                        <w14:solidFill>
                          <w14:schemeClr w14:val="tx1"/>
                        </w14:solidFill>
                      </w14:textFill>
                    </w:rPr>
                  </w:pPr>
                  <w:r>
                    <w:rPr>
                      <w:rFonts w:hint="eastAsia" w:ascii="Times New Roman" w:hAnsi="Times New Roman" w:cs="Times New Roman"/>
                      <w:color w:val="000000" w:themeColor="text1"/>
                      <w:sz w:val="21"/>
                      <w:highlight w:val="none"/>
                      <w:lang w:eastAsia="zh-CN"/>
                      <w14:textFill>
                        <w14:solidFill>
                          <w14:schemeClr w14:val="tx1"/>
                        </w14:solidFill>
                      </w14:textFill>
                    </w:rPr>
                    <w:t>闽清县白金工业园区污水处理厂</w:t>
                  </w:r>
                </w:p>
              </w:tc>
              <w:tc>
                <w:tcPr>
                  <w:tcW w:w="945" w:type="dxa"/>
                  <w:vAlign w:val="center"/>
                </w:tcPr>
                <w:p w14:paraId="0AEE90DD">
                  <w:pPr>
                    <w:keepNext w:val="0"/>
                    <w:keepLines w:val="0"/>
                    <w:pageBreakBefore w:val="0"/>
                    <w:kinsoku/>
                    <w:wordWrap/>
                    <w:overflowPunct/>
                    <w:topLinePunct w:val="0"/>
                    <w:autoSpaceDE/>
                    <w:autoSpaceDN/>
                    <w:bidi w:val="0"/>
                    <w:adjustRightInd w:val="0"/>
                    <w:snapToGrid w:val="0"/>
                    <w:jc w:val="center"/>
                    <w:rPr>
                      <w:rFonts w:hint="default" w:eastAsia="宋体"/>
                      <w:snapToGrid w:val="0"/>
                      <w:color w:val="000000" w:themeColor="text1"/>
                      <w:spacing w:val="4"/>
                      <w:kern w:val="0"/>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500</w:t>
                  </w:r>
                </w:p>
              </w:tc>
            </w:tr>
            <w:tr w14:paraId="1B1D64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1119" w:type="dxa"/>
                  <w:vMerge w:val="continue"/>
                  <w:tcBorders>
                    <w:tl2br w:val="nil"/>
                    <w:tr2bl w:val="nil"/>
                  </w:tcBorders>
                  <w:vAlign w:val="center"/>
                </w:tcPr>
                <w:p w14:paraId="474E2B70">
                  <w:pPr>
                    <w:pStyle w:val="96"/>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highlight w:val="none"/>
                      <w14:textFill>
                        <w14:solidFill>
                          <w14:schemeClr w14:val="tx1"/>
                        </w14:solidFill>
                      </w14:textFill>
                    </w:rPr>
                  </w:pPr>
                </w:p>
              </w:tc>
              <w:tc>
                <w:tcPr>
                  <w:tcW w:w="1013" w:type="dxa"/>
                  <w:tcBorders>
                    <w:tl2br w:val="nil"/>
                    <w:tr2bl w:val="nil"/>
                  </w:tcBorders>
                  <w:vAlign w:val="center"/>
                </w:tcPr>
                <w:p w14:paraId="0474442C">
                  <w:pPr>
                    <w:pStyle w:val="96"/>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highlight w:val="none"/>
                      <w14:textFill>
                        <w14:solidFill>
                          <w14:schemeClr w14:val="tx1"/>
                        </w14:solidFill>
                      </w14:textFill>
                    </w:rPr>
                  </w:pPr>
                  <w:r>
                    <w:rPr>
                      <w:rFonts w:ascii="Times New Roman" w:hAnsi="Times New Roman" w:cs="Times New Roman"/>
                      <w:color w:val="000000" w:themeColor="text1"/>
                      <w:sz w:val="21"/>
                      <w:highlight w:val="none"/>
                      <w14:textFill>
                        <w14:solidFill>
                          <w14:schemeClr w14:val="tx1"/>
                        </w14:solidFill>
                      </w14:textFill>
                    </w:rPr>
                    <w:t>BOD</w:t>
                  </w:r>
                  <w:r>
                    <w:rPr>
                      <w:rFonts w:ascii="Times New Roman" w:hAnsi="Times New Roman" w:cs="Times New Roman"/>
                      <w:color w:val="000000" w:themeColor="text1"/>
                      <w:sz w:val="21"/>
                      <w:highlight w:val="none"/>
                      <w:vertAlign w:val="subscript"/>
                      <w14:textFill>
                        <w14:solidFill>
                          <w14:schemeClr w14:val="tx1"/>
                        </w14:solidFill>
                      </w14:textFill>
                    </w:rPr>
                    <w:t>5</w:t>
                  </w:r>
                </w:p>
              </w:tc>
              <w:tc>
                <w:tcPr>
                  <w:tcW w:w="1093" w:type="dxa"/>
                  <w:tcBorders>
                    <w:tl2br w:val="nil"/>
                    <w:tr2bl w:val="nil"/>
                  </w:tcBorders>
                  <w:vAlign w:val="center"/>
                </w:tcPr>
                <w:p w14:paraId="249BD730">
                  <w:pPr>
                    <w:pStyle w:val="96"/>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宋体" w:cs="Times New Roman"/>
                      <w:color w:val="000000" w:themeColor="text1"/>
                      <w:sz w:val="21"/>
                      <w:highlight w:val="none"/>
                      <w:lang w:val="zh-CN"/>
                      <w14:textFill>
                        <w14:solidFill>
                          <w14:schemeClr w14:val="tx1"/>
                        </w14:solidFill>
                      </w14:textFill>
                    </w:rPr>
                  </w:pP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200</w:t>
                  </w:r>
                </w:p>
              </w:tc>
              <w:tc>
                <w:tcPr>
                  <w:tcW w:w="959" w:type="dxa"/>
                  <w:tcBorders>
                    <w:tl2br w:val="nil"/>
                    <w:tr2bl w:val="nil"/>
                  </w:tcBorders>
                  <w:vAlign w:val="center"/>
                </w:tcPr>
                <w:p w14:paraId="208B9AFB">
                  <w:pPr>
                    <w:pStyle w:val="96"/>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lang w:val="en-US" w:eastAsia="zh-CN"/>
                      <w14:textFill>
                        <w14:solidFill>
                          <w14:schemeClr w14:val="tx1"/>
                        </w14:solidFill>
                      </w14:textFill>
                    </w:rPr>
                    <w:t>0.06</w:t>
                  </w:r>
                </w:p>
              </w:tc>
              <w:tc>
                <w:tcPr>
                  <w:tcW w:w="1058" w:type="dxa"/>
                  <w:tcBorders>
                    <w:tl2br w:val="nil"/>
                    <w:tr2bl w:val="nil"/>
                  </w:tcBorders>
                  <w:vAlign w:val="center"/>
                </w:tcPr>
                <w:p w14:paraId="60D975CF">
                  <w:pPr>
                    <w:pStyle w:val="96"/>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宋体" w:cs="Times New Roman"/>
                      <w:color w:val="000000" w:themeColor="text1"/>
                      <w:sz w:val="21"/>
                      <w:highlight w:val="none"/>
                      <w:lang w:val="zh-CN"/>
                      <w14:textFill>
                        <w14:solidFill>
                          <w14:schemeClr w14:val="tx1"/>
                        </w14:solidFill>
                      </w14:textFill>
                    </w:rPr>
                  </w:pP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182</w:t>
                  </w:r>
                </w:p>
              </w:tc>
              <w:tc>
                <w:tcPr>
                  <w:tcW w:w="962" w:type="dxa"/>
                  <w:tcBorders>
                    <w:tl2br w:val="nil"/>
                    <w:tr2bl w:val="nil"/>
                  </w:tcBorders>
                  <w:vAlign w:val="center"/>
                </w:tcPr>
                <w:p w14:paraId="4A305A95">
                  <w:pPr>
                    <w:pStyle w:val="96"/>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lang w:val="en-US" w:eastAsia="zh-CN"/>
                      <w14:textFill>
                        <w14:solidFill>
                          <w14:schemeClr w14:val="tx1"/>
                        </w14:solidFill>
                      </w14:textFill>
                    </w:rPr>
                    <w:t>0.0546</w:t>
                  </w:r>
                </w:p>
              </w:tc>
              <w:tc>
                <w:tcPr>
                  <w:tcW w:w="617" w:type="dxa"/>
                  <w:vMerge w:val="continue"/>
                  <w:tcBorders>
                    <w:tl2br w:val="nil"/>
                    <w:tr2bl w:val="nil"/>
                  </w:tcBorders>
                  <w:vAlign w:val="center"/>
                </w:tcPr>
                <w:p w14:paraId="09DAB183">
                  <w:pPr>
                    <w:pStyle w:val="96"/>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highlight w:val="none"/>
                      <w14:textFill>
                        <w14:solidFill>
                          <w14:schemeClr w14:val="tx1"/>
                        </w14:solidFill>
                      </w14:textFill>
                    </w:rPr>
                  </w:pPr>
                </w:p>
              </w:tc>
              <w:tc>
                <w:tcPr>
                  <w:tcW w:w="958" w:type="dxa"/>
                  <w:vMerge w:val="continue"/>
                  <w:tcBorders>
                    <w:tl2br w:val="nil"/>
                    <w:tr2bl w:val="nil"/>
                  </w:tcBorders>
                  <w:vAlign w:val="center"/>
                </w:tcPr>
                <w:p w14:paraId="7DED8F5E">
                  <w:pPr>
                    <w:pStyle w:val="96"/>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highlight w:val="none"/>
                      <w14:textFill>
                        <w14:solidFill>
                          <w14:schemeClr w14:val="tx1"/>
                        </w14:solidFill>
                      </w14:textFill>
                    </w:rPr>
                  </w:pPr>
                </w:p>
              </w:tc>
              <w:tc>
                <w:tcPr>
                  <w:tcW w:w="945" w:type="dxa"/>
                  <w:tcBorders>
                    <w:tl2br w:val="nil"/>
                    <w:tr2bl w:val="nil"/>
                  </w:tcBorders>
                  <w:vAlign w:val="center"/>
                </w:tcPr>
                <w:p w14:paraId="548E92B6">
                  <w:pPr>
                    <w:keepNext w:val="0"/>
                    <w:keepLines w:val="0"/>
                    <w:pageBreakBefore w:val="0"/>
                    <w:widowControl/>
                    <w:kinsoku/>
                    <w:wordWrap/>
                    <w:overflowPunct/>
                    <w:topLinePunct w:val="0"/>
                    <w:autoSpaceDE/>
                    <w:autoSpaceDN/>
                    <w:bidi w:val="0"/>
                    <w:adjustRightInd w:val="0"/>
                    <w:snapToGrid w:val="0"/>
                    <w:jc w:val="center"/>
                    <w:textAlignment w:val="center"/>
                    <w:rPr>
                      <w:snapToGrid w:val="0"/>
                      <w:color w:val="000000" w:themeColor="text1"/>
                      <w:spacing w:val="4"/>
                      <w:kern w:val="0"/>
                      <w:szCs w:val="21"/>
                      <w:highlight w:val="none"/>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3</w:t>
                  </w:r>
                  <w:r>
                    <w:rPr>
                      <w:color w:val="000000" w:themeColor="text1"/>
                      <w:kern w:val="0"/>
                      <w:szCs w:val="21"/>
                      <w:highlight w:val="none"/>
                      <w:lang w:bidi="ar"/>
                      <w14:textFill>
                        <w14:solidFill>
                          <w14:schemeClr w14:val="tx1"/>
                        </w14:solidFill>
                      </w14:textFill>
                    </w:rPr>
                    <w:t>00</w:t>
                  </w:r>
                </w:p>
              </w:tc>
            </w:tr>
            <w:tr w14:paraId="2AB3C5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1119" w:type="dxa"/>
                  <w:vMerge w:val="continue"/>
                  <w:tcBorders>
                    <w:tl2br w:val="nil"/>
                    <w:tr2bl w:val="nil"/>
                  </w:tcBorders>
                  <w:vAlign w:val="center"/>
                </w:tcPr>
                <w:p w14:paraId="255A0D51">
                  <w:pPr>
                    <w:pStyle w:val="96"/>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highlight w:val="none"/>
                      <w14:textFill>
                        <w14:solidFill>
                          <w14:schemeClr w14:val="tx1"/>
                        </w14:solidFill>
                      </w14:textFill>
                    </w:rPr>
                  </w:pPr>
                </w:p>
              </w:tc>
              <w:tc>
                <w:tcPr>
                  <w:tcW w:w="1013" w:type="dxa"/>
                  <w:tcBorders>
                    <w:tl2br w:val="nil"/>
                    <w:tr2bl w:val="nil"/>
                  </w:tcBorders>
                  <w:vAlign w:val="center"/>
                </w:tcPr>
                <w:p w14:paraId="0B5A9015">
                  <w:pPr>
                    <w:pStyle w:val="96"/>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highlight w:val="none"/>
                      <w14:textFill>
                        <w14:solidFill>
                          <w14:schemeClr w14:val="tx1"/>
                        </w14:solidFill>
                      </w14:textFill>
                    </w:rPr>
                  </w:pPr>
                  <w:r>
                    <w:rPr>
                      <w:rFonts w:ascii="Times New Roman" w:hAnsi="Times New Roman" w:cs="Times New Roman"/>
                      <w:color w:val="000000" w:themeColor="text1"/>
                      <w:sz w:val="21"/>
                      <w:highlight w:val="none"/>
                      <w14:textFill>
                        <w14:solidFill>
                          <w14:schemeClr w14:val="tx1"/>
                        </w14:solidFill>
                      </w14:textFill>
                    </w:rPr>
                    <w:t>SS</w:t>
                  </w:r>
                </w:p>
              </w:tc>
              <w:tc>
                <w:tcPr>
                  <w:tcW w:w="1093" w:type="dxa"/>
                  <w:tcBorders>
                    <w:tl2br w:val="nil"/>
                    <w:tr2bl w:val="nil"/>
                  </w:tcBorders>
                  <w:vAlign w:val="center"/>
                </w:tcPr>
                <w:p w14:paraId="3076ED94">
                  <w:pPr>
                    <w:pStyle w:val="96"/>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宋体" w:cs="Times New Roman"/>
                      <w:color w:val="000000" w:themeColor="text1"/>
                      <w:sz w:val="21"/>
                      <w:highlight w:val="none"/>
                      <w:lang w:val="zh-CN"/>
                      <w14:textFill>
                        <w14:solidFill>
                          <w14:schemeClr w14:val="tx1"/>
                        </w14:solidFill>
                      </w14:textFill>
                    </w:rPr>
                  </w:pP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220</w:t>
                  </w:r>
                </w:p>
              </w:tc>
              <w:tc>
                <w:tcPr>
                  <w:tcW w:w="959" w:type="dxa"/>
                  <w:tcBorders>
                    <w:tl2br w:val="nil"/>
                    <w:tr2bl w:val="nil"/>
                  </w:tcBorders>
                  <w:vAlign w:val="center"/>
                </w:tcPr>
                <w:p w14:paraId="169C86E1">
                  <w:pPr>
                    <w:pStyle w:val="96"/>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lang w:val="en-US" w:eastAsia="zh-CN"/>
                      <w14:textFill>
                        <w14:solidFill>
                          <w14:schemeClr w14:val="tx1"/>
                        </w14:solidFill>
                      </w14:textFill>
                    </w:rPr>
                    <w:t>0.066</w:t>
                  </w:r>
                </w:p>
              </w:tc>
              <w:tc>
                <w:tcPr>
                  <w:tcW w:w="1058" w:type="dxa"/>
                  <w:tcBorders>
                    <w:tl2br w:val="nil"/>
                    <w:tr2bl w:val="nil"/>
                  </w:tcBorders>
                  <w:vAlign w:val="center"/>
                </w:tcPr>
                <w:p w14:paraId="6529A059">
                  <w:pPr>
                    <w:pStyle w:val="96"/>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宋体" w:cs="Times New Roman"/>
                      <w:color w:val="000000" w:themeColor="text1"/>
                      <w:sz w:val="21"/>
                      <w:highlight w:val="none"/>
                      <w:lang w:val="zh-CN"/>
                      <w14:textFill>
                        <w14:solidFill>
                          <w14:schemeClr w14:val="tx1"/>
                        </w14:solidFill>
                      </w14:textFill>
                    </w:rPr>
                  </w:pP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154</w:t>
                  </w:r>
                </w:p>
              </w:tc>
              <w:tc>
                <w:tcPr>
                  <w:tcW w:w="962" w:type="dxa"/>
                  <w:tcBorders>
                    <w:tl2br w:val="nil"/>
                    <w:tr2bl w:val="nil"/>
                  </w:tcBorders>
                  <w:vAlign w:val="center"/>
                </w:tcPr>
                <w:p w14:paraId="7E29AFC7">
                  <w:pPr>
                    <w:pStyle w:val="96"/>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lang w:val="en-US" w:eastAsia="zh-CN"/>
                      <w14:textFill>
                        <w14:solidFill>
                          <w14:schemeClr w14:val="tx1"/>
                        </w14:solidFill>
                      </w14:textFill>
                    </w:rPr>
                    <w:t>0.0462</w:t>
                  </w:r>
                </w:p>
              </w:tc>
              <w:tc>
                <w:tcPr>
                  <w:tcW w:w="617" w:type="dxa"/>
                  <w:vMerge w:val="continue"/>
                  <w:tcBorders>
                    <w:tl2br w:val="nil"/>
                    <w:tr2bl w:val="nil"/>
                  </w:tcBorders>
                  <w:vAlign w:val="center"/>
                </w:tcPr>
                <w:p w14:paraId="271B9FE9">
                  <w:pPr>
                    <w:pStyle w:val="96"/>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highlight w:val="none"/>
                      <w14:textFill>
                        <w14:solidFill>
                          <w14:schemeClr w14:val="tx1"/>
                        </w14:solidFill>
                      </w14:textFill>
                    </w:rPr>
                  </w:pPr>
                </w:p>
              </w:tc>
              <w:tc>
                <w:tcPr>
                  <w:tcW w:w="958" w:type="dxa"/>
                  <w:vMerge w:val="continue"/>
                  <w:tcBorders>
                    <w:tl2br w:val="nil"/>
                    <w:tr2bl w:val="nil"/>
                  </w:tcBorders>
                  <w:vAlign w:val="center"/>
                </w:tcPr>
                <w:p w14:paraId="3C4D188C">
                  <w:pPr>
                    <w:pStyle w:val="96"/>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highlight w:val="none"/>
                      <w14:textFill>
                        <w14:solidFill>
                          <w14:schemeClr w14:val="tx1"/>
                        </w14:solidFill>
                      </w14:textFill>
                    </w:rPr>
                  </w:pPr>
                </w:p>
              </w:tc>
              <w:tc>
                <w:tcPr>
                  <w:tcW w:w="945" w:type="dxa"/>
                  <w:tcBorders>
                    <w:tl2br w:val="nil"/>
                    <w:tr2bl w:val="nil"/>
                  </w:tcBorders>
                  <w:vAlign w:val="center"/>
                </w:tcPr>
                <w:p w14:paraId="6988C9C5">
                  <w:pPr>
                    <w:keepNext w:val="0"/>
                    <w:keepLines w:val="0"/>
                    <w:pageBreakBefore w:val="0"/>
                    <w:widowControl/>
                    <w:kinsoku/>
                    <w:wordWrap/>
                    <w:overflowPunct/>
                    <w:topLinePunct w:val="0"/>
                    <w:autoSpaceDE/>
                    <w:autoSpaceDN/>
                    <w:bidi w:val="0"/>
                    <w:adjustRightInd w:val="0"/>
                    <w:snapToGrid w:val="0"/>
                    <w:jc w:val="center"/>
                    <w:textAlignment w:val="center"/>
                    <w:rPr>
                      <w:snapToGrid w:val="0"/>
                      <w:color w:val="000000" w:themeColor="text1"/>
                      <w:spacing w:val="4"/>
                      <w:kern w:val="0"/>
                      <w:szCs w:val="21"/>
                      <w:highlight w:val="none"/>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4</w:t>
                  </w:r>
                  <w:r>
                    <w:rPr>
                      <w:color w:val="000000" w:themeColor="text1"/>
                      <w:kern w:val="0"/>
                      <w:szCs w:val="21"/>
                      <w:highlight w:val="none"/>
                      <w:lang w:bidi="ar"/>
                      <w14:textFill>
                        <w14:solidFill>
                          <w14:schemeClr w14:val="tx1"/>
                        </w14:solidFill>
                      </w14:textFill>
                    </w:rPr>
                    <w:t>00</w:t>
                  </w:r>
                </w:p>
              </w:tc>
            </w:tr>
            <w:tr w14:paraId="266E64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97" w:hRule="exact"/>
                <w:jc w:val="center"/>
              </w:trPr>
              <w:tc>
                <w:tcPr>
                  <w:tcW w:w="1119" w:type="dxa"/>
                  <w:vMerge w:val="continue"/>
                  <w:tcBorders>
                    <w:tl2br w:val="nil"/>
                    <w:tr2bl w:val="nil"/>
                  </w:tcBorders>
                  <w:vAlign w:val="center"/>
                </w:tcPr>
                <w:p w14:paraId="1445926A">
                  <w:pPr>
                    <w:pStyle w:val="96"/>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highlight w:val="none"/>
                      <w14:textFill>
                        <w14:solidFill>
                          <w14:schemeClr w14:val="tx1"/>
                        </w14:solidFill>
                      </w14:textFill>
                    </w:rPr>
                  </w:pPr>
                </w:p>
              </w:tc>
              <w:tc>
                <w:tcPr>
                  <w:tcW w:w="1013" w:type="dxa"/>
                  <w:tcBorders>
                    <w:tl2br w:val="nil"/>
                    <w:tr2bl w:val="nil"/>
                  </w:tcBorders>
                  <w:vAlign w:val="center"/>
                </w:tcPr>
                <w:p w14:paraId="20CB5906">
                  <w:pPr>
                    <w:pStyle w:val="96"/>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highlight w:val="none"/>
                      <w14:textFill>
                        <w14:solidFill>
                          <w14:schemeClr w14:val="tx1"/>
                        </w14:solidFill>
                      </w14:textFill>
                    </w:rPr>
                  </w:pPr>
                  <w:r>
                    <w:rPr>
                      <w:rFonts w:ascii="Times New Roman" w:hAnsi="Times New Roman" w:cs="Times New Roman"/>
                      <w:color w:val="000000" w:themeColor="text1"/>
                      <w:sz w:val="21"/>
                      <w:highlight w:val="none"/>
                      <w14:textFill>
                        <w14:solidFill>
                          <w14:schemeClr w14:val="tx1"/>
                        </w14:solidFill>
                      </w14:textFill>
                    </w:rPr>
                    <w:t>氨氮</w:t>
                  </w:r>
                </w:p>
              </w:tc>
              <w:tc>
                <w:tcPr>
                  <w:tcW w:w="1093" w:type="dxa"/>
                  <w:tcBorders>
                    <w:tl2br w:val="nil"/>
                    <w:tr2bl w:val="nil"/>
                  </w:tcBorders>
                  <w:vAlign w:val="center"/>
                </w:tcPr>
                <w:p w14:paraId="10CD34CB">
                  <w:pPr>
                    <w:pStyle w:val="96"/>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宋体" w:cs="Times New Roman"/>
                      <w:color w:val="000000" w:themeColor="text1"/>
                      <w:sz w:val="21"/>
                      <w:highlight w:val="none"/>
                      <w:lang w:val="zh-CN"/>
                      <w14:textFill>
                        <w14:solidFill>
                          <w14:schemeClr w14:val="tx1"/>
                        </w14:solidFill>
                      </w14:textFill>
                    </w:rPr>
                  </w:pP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35</w:t>
                  </w:r>
                </w:p>
              </w:tc>
              <w:tc>
                <w:tcPr>
                  <w:tcW w:w="959" w:type="dxa"/>
                  <w:tcBorders>
                    <w:tl2br w:val="nil"/>
                    <w:tr2bl w:val="nil"/>
                  </w:tcBorders>
                  <w:vAlign w:val="center"/>
                </w:tcPr>
                <w:p w14:paraId="181066B1">
                  <w:pPr>
                    <w:pStyle w:val="96"/>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lang w:val="en-US" w:eastAsia="zh-CN"/>
                      <w14:textFill>
                        <w14:solidFill>
                          <w14:schemeClr w14:val="tx1"/>
                        </w14:solidFill>
                      </w14:textFill>
                    </w:rPr>
                    <w:t>0.0105</w:t>
                  </w:r>
                </w:p>
              </w:tc>
              <w:tc>
                <w:tcPr>
                  <w:tcW w:w="1058" w:type="dxa"/>
                  <w:tcBorders>
                    <w:tl2br w:val="nil"/>
                    <w:tr2bl w:val="nil"/>
                  </w:tcBorders>
                  <w:vAlign w:val="center"/>
                </w:tcPr>
                <w:p w14:paraId="7F510BDD">
                  <w:pPr>
                    <w:pStyle w:val="96"/>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宋体" w:cs="Times New Roman"/>
                      <w:color w:val="000000" w:themeColor="text1"/>
                      <w:sz w:val="21"/>
                      <w:highlight w:val="none"/>
                      <w:lang w:val="zh-CN"/>
                      <w14:textFill>
                        <w14:solidFill>
                          <w14:schemeClr w14:val="tx1"/>
                        </w14:solidFill>
                      </w14:textFill>
                    </w:rPr>
                  </w:pP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34</w:t>
                  </w:r>
                </w:p>
              </w:tc>
              <w:tc>
                <w:tcPr>
                  <w:tcW w:w="962" w:type="dxa"/>
                  <w:tcBorders>
                    <w:tl2br w:val="nil"/>
                    <w:tr2bl w:val="nil"/>
                  </w:tcBorders>
                  <w:vAlign w:val="center"/>
                </w:tcPr>
                <w:p w14:paraId="6BDEEDA5">
                  <w:pPr>
                    <w:pStyle w:val="96"/>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lang w:val="en-US" w:eastAsia="zh-CN"/>
                      <w14:textFill>
                        <w14:solidFill>
                          <w14:schemeClr w14:val="tx1"/>
                        </w14:solidFill>
                      </w14:textFill>
                    </w:rPr>
                    <w:t>0.0102</w:t>
                  </w:r>
                </w:p>
              </w:tc>
              <w:tc>
                <w:tcPr>
                  <w:tcW w:w="617" w:type="dxa"/>
                  <w:vMerge w:val="continue"/>
                  <w:tcBorders>
                    <w:tl2br w:val="nil"/>
                    <w:tr2bl w:val="nil"/>
                  </w:tcBorders>
                  <w:vAlign w:val="center"/>
                </w:tcPr>
                <w:p w14:paraId="4E9CBB49">
                  <w:pPr>
                    <w:pStyle w:val="96"/>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highlight w:val="none"/>
                      <w14:textFill>
                        <w14:solidFill>
                          <w14:schemeClr w14:val="tx1"/>
                        </w14:solidFill>
                      </w14:textFill>
                    </w:rPr>
                  </w:pPr>
                </w:p>
              </w:tc>
              <w:tc>
                <w:tcPr>
                  <w:tcW w:w="958" w:type="dxa"/>
                  <w:vMerge w:val="continue"/>
                  <w:tcBorders>
                    <w:tl2br w:val="nil"/>
                    <w:tr2bl w:val="nil"/>
                  </w:tcBorders>
                  <w:vAlign w:val="center"/>
                </w:tcPr>
                <w:p w14:paraId="3C6D6B06">
                  <w:pPr>
                    <w:pStyle w:val="96"/>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highlight w:val="none"/>
                      <w14:textFill>
                        <w14:solidFill>
                          <w14:schemeClr w14:val="tx1"/>
                        </w14:solidFill>
                      </w14:textFill>
                    </w:rPr>
                  </w:pPr>
                </w:p>
              </w:tc>
              <w:tc>
                <w:tcPr>
                  <w:tcW w:w="945" w:type="dxa"/>
                  <w:tcBorders>
                    <w:tl2br w:val="nil"/>
                    <w:tr2bl w:val="nil"/>
                  </w:tcBorders>
                  <w:vAlign w:val="center"/>
                </w:tcPr>
                <w:p w14:paraId="56FB993C">
                  <w:pPr>
                    <w:keepNext w:val="0"/>
                    <w:keepLines w:val="0"/>
                    <w:pageBreakBefore w:val="0"/>
                    <w:widowControl/>
                    <w:kinsoku/>
                    <w:wordWrap/>
                    <w:overflowPunct/>
                    <w:topLinePunct w:val="0"/>
                    <w:autoSpaceDE/>
                    <w:autoSpaceDN/>
                    <w:bidi w:val="0"/>
                    <w:adjustRightInd w:val="0"/>
                    <w:snapToGrid w:val="0"/>
                    <w:jc w:val="center"/>
                    <w:textAlignment w:val="center"/>
                    <w:rPr>
                      <w:rFonts w:hint="default" w:eastAsia="宋体"/>
                      <w:snapToGrid w:val="0"/>
                      <w:color w:val="000000" w:themeColor="text1"/>
                      <w:spacing w:val="4"/>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45</w:t>
                  </w:r>
                </w:p>
              </w:tc>
            </w:tr>
          </w:tbl>
          <w:p w14:paraId="4F9551C8">
            <w:pPr>
              <w:pStyle w:val="42"/>
              <w:keepNext/>
              <w:keepLines/>
              <w:pageBreakBefore w:val="0"/>
              <w:widowControl w:val="0"/>
              <w:numPr>
                <w:ilvl w:val="7"/>
                <w:numId w:val="1"/>
              </w:numPr>
              <w:kinsoku/>
              <w:wordWrap/>
              <w:overflowPunct/>
              <w:topLinePunct w:val="0"/>
              <w:autoSpaceDE/>
              <w:autoSpaceDN/>
              <w:bidi w:val="0"/>
              <w:adjustRightInd/>
              <w:snapToGrid/>
              <w:spacing w:before="157" w:beforeLines="50" w:after="0"/>
              <w:ind w:left="630" w:leftChars="0" w:firstLine="0" w:firstLineChars="0"/>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项目排放口基本情况及监测计划一览表</w:t>
            </w:r>
          </w:p>
          <w:tbl>
            <w:tblPr>
              <w:tblStyle w:val="33"/>
              <w:tblW w:w="872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667"/>
              <w:gridCol w:w="661"/>
              <w:gridCol w:w="1731"/>
              <w:gridCol w:w="1634"/>
              <w:gridCol w:w="636"/>
              <w:gridCol w:w="1633"/>
              <w:gridCol w:w="834"/>
            </w:tblGrid>
            <w:tr w14:paraId="296BB4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941" w:type="dxa"/>
                  <w:vMerge w:val="restart"/>
                  <w:tcBorders>
                    <w:tl2br w:val="nil"/>
                    <w:tr2bl w:val="nil"/>
                  </w:tcBorders>
                  <w:vAlign w:val="center"/>
                </w:tcPr>
                <w:p w14:paraId="257EB204">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编号</w:t>
                  </w:r>
                </w:p>
              </w:tc>
              <w:tc>
                <w:tcPr>
                  <w:tcW w:w="721" w:type="dxa"/>
                  <w:vMerge w:val="restart"/>
                  <w:tcBorders>
                    <w:tl2br w:val="nil"/>
                    <w:tr2bl w:val="nil"/>
                  </w:tcBorders>
                  <w:vAlign w:val="center"/>
                </w:tcPr>
                <w:p w14:paraId="3C9FFFE1">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名称</w:t>
                  </w:r>
                </w:p>
              </w:tc>
              <w:tc>
                <w:tcPr>
                  <w:tcW w:w="716" w:type="dxa"/>
                  <w:vMerge w:val="restart"/>
                  <w:tcBorders>
                    <w:tl2br w:val="nil"/>
                    <w:tr2bl w:val="nil"/>
                  </w:tcBorders>
                  <w:vAlign w:val="center"/>
                </w:tcPr>
                <w:p w14:paraId="5B060039">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类型</w:t>
                  </w:r>
                </w:p>
              </w:tc>
              <w:tc>
                <w:tcPr>
                  <w:tcW w:w="2959" w:type="dxa"/>
                  <w:gridSpan w:val="2"/>
                  <w:tcBorders>
                    <w:tl2br w:val="nil"/>
                    <w:tr2bl w:val="nil"/>
                  </w:tcBorders>
                  <w:vAlign w:val="center"/>
                </w:tcPr>
                <w:p w14:paraId="64141675">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地理坐标</w:t>
                  </w:r>
                </w:p>
              </w:tc>
              <w:tc>
                <w:tcPr>
                  <w:tcW w:w="685" w:type="dxa"/>
                  <w:vMerge w:val="restart"/>
                  <w:tcBorders>
                    <w:tl2br w:val="nil"/>
                    <w:tr2bl w:val="nil"/>
                  </w:tcBorders>
                  <w:vAlign w:val="center"/>
                </w:tcPr>
                <w:p w14:paraId="34B083A6">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排放规律</w:t>
                  </w:r>
                </w:p>
              </w:tc>
              <w:tc>
                <w:tcPr>
                  <w:tcW w:w="1776" w:type="dxa"/>
                  <w:vMerge w:val="restart"/>
                  <w:tcBorders>
                    <w:tl2br w:val="nil"/>
                    <w:tr2bl w:val="nil"/>
                  </w:tcBorders>
                  <w:vAlign w:val="center"/>
                </w:tcPr>
                <w:p w14:paraId="639250FA">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监测因子</w:t>
                  </w:r>
                </w:p>
              </w:tc>
              <w:tc>
                <w:tcPr>
                  <w:tcW w:w="928" w:type="dxa"/>
                  <w:vMerge w:val="restart"/>
                  <w:tcBorders>
                    <w:tl2br w:val="nil"/>
                    <w:tr2bl w:val="nil"/>
                  </w:tcBorders>
                  <w:vAlign w:val="center"/>
                </w:tcPr>
                <w:p w14:paraId="60F6CB7C">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监测频次</w:t>
                  </w:r>
                </w:p>
              </w:tc>
            </w:tr>
            <w:tr w14:paraId="6FD8D3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941" w:type="dxa"/>
                  <w:vMerge w:val="continue"/>
                  <w:tcBorders>
                    <w:tl2br w:val="nil"/>
                    <w:tr2bl w:val="nil"/>
                  </w:tcBorders>
                  <w:vAlign w:val="center"/>
                </w:tcPr>
                <w:p w14:paraId="47C871A7">
                  <w:pPr>
                    <w:jc w:val="center"/>
                    <w:rPr>
                      <w:color w:val="000000" w:themeColor="text1"/>
                      <w:szCs w:val="21"/>
                      <w:highlight w:val="none"/>
                      <w14:textFill>
                        <w14:solidFill>
                          <w14:schemeClr w14:val="tx1"/>
                        </w14:solidFill>
                      </w14:textFill>
                    </w:rPr>
                  </w:pPr>
                </w:p>
              </w:tc>
              <w:tc>
                <w:tcPr>
                  <w:tcW w:w="721" w:type="dxa"/>
                  <w:vMerge w:val="continue"/>
                  <w:tcBorders>
                    <w:tl2br w:val="nil"/>
                    <w:tr2bl w:val="nil"/>
                  </w:tcBorders>
                  <w:vAlign w:val="center"/>
                </w:tcPr>
                <w:p w14:paraId="4B9A251F">
                  <w:pPr>
                    <w:jc w:val="center"/>
                    <w:rPr>
                      <w:color w:val="000000" w:themeColor="text1"/>
                      <w:szCs w:val="21"/>
                      <w:highlight w:val="none"/>
                      <w14:textFill>
                        <w14:solidFill>
                          <w14:schemeClr w14:val="tx1"/>
                        </w14:solidFill>
                      </w14:textFill>
                    </w:rPr>
                  </w:pPr>
                </w:p>
              </w:tc>
              <w:tc>
                <w:tcPr>
                  <w:tcW w:w="716" w:type="dxa"/>
                  <w:vMerge w:val="continue"/>
                  <w:tcBorders>
                    <w:tl2br w:val="nil"/>
                    <w:tr2bl w:val="nil"/>
                  </w:tcBorders>
                  <w:vAlign w:val="center"/>
                </w:tcPr>
                <w:p w14:paraId="75E3327A">
                  <w:pPr>
                    <w:jc w:val="center"/>
                    <w:rPr>
                      <w:color w:val="000000" w:themeColor="text1"/>
                      <w:szCs w:val="21"/>
                      <w:highlight w:val="none"/>
                      <w14:textFill>
                        <w14:solidFill>
                          <w14:schemeClr w14:val="tx1"/>
                        </w14:solidFill>
                      </w14:textFill>
                    </w:rPr>
                  </w:pPr>
                </w:p>
              </w:tc>
              <w:tc>
                <w:tcPr>
                  <w:tcW w:w="1545" w:type="dxa"/>
                  <w:tcBorders>
                    <w:tl2br w:val="nil"/>
                    <w:tr2bl w:val="nil"/>
                  </w:tcBorders>
                  <w:vAlign w:val="center"/>
                </w:tcPr>
                <w:p w14:paraId="612CAF7A">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E</w:t>
                  </w:r>
                </w:p>
              </w:tc>
              <w:tc>
                <w:tcPr>
                  <w:tcW w:w="1414" w:type="dxa"/>
                  <w:tcBorders>
                    <w:tl2br w:val="nil"/>
                    <w:tr2bl w:val="nil"/>
                  </w:tcBorders>
                  <w:vAlign w:val="center"/>
                </w:tcPr>
                <w:p w14:paraId="40198A64">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N</w:t>
                  </w:r>
                </w:p>
              </w:tc>
              <w:tc>
                <w:tcPr>
                  <w:tcW w:w="685" w:type="dxa"/>
                  <w:vMerge w:val="continue"/>
                  <w:tcBorders>
                    <w:tl2br w:val="nil"/>
                    <w:tr2bl w:val="nil"/>
                  </w:tcBorders>
                  <w:vAlign w:val="center"/>
                </w:tcPr>
                <w:p w14:paraId="382BDE6F">
                  <w:pPr>
                    <w:jc w:val="center"/>
                    <w:rPr>
                      <w:color w:val="000000" w:themeColor="text1"/>
                      <w:szCs w:val="21"/>
                      <w:highlight w:val="none"/>
                      <w14:textFill>
                        <w14:solidFill>
                          <w14:schemeClr w14:val="tx1"/>
                        </w14:solidFill>
                      </w14:textFill>
                    </w:rPr>
                  </w:pPr>
                </w:p>
              </w:tc>
              <w:tc>
                <w:tcPr>
                  <w:tcW w:w="1776" w:type="dxa"/>
                  <w:vMerge w:val="continue"/>
                  <w:tcBorders>
                    <w:tl2br w:val="nil"/>
                    <w:tr2bl w:val="nil"/>
                  </w:tcBorders>
                  <w:vAlign w:val="center"/>
                </w:tcPr>
                <w:p w14:paraId="7CC1FC09">
                  <w:pPr>
                    <w:jc w:val="center"/>
                    <w:rPr>
                      <w:color w:val="000000" w:themeColor="text1"/>
                      <w:szCs w:val="21"/>
                      <w:highlight w:val="none"/>
                      <w14:textFill>
                        <w14:solidFill>
                          <w14:schemeClr w14:val="tx1"/>
                        </w14:solidFill>
                      </w14:textFill>
                    </w:rPr>
                  </w:pPr>
                </w:p>
              </w:tc>
              <w:tc>
                <w:tcPr>
                  <w:tcW w:w="928" w:type="dxa"/>
                  <w:vMerge w:val="continue"/>
                  <w:tcBorders>
                    <w:tl2br w:val="nil"/>
                    <w:tr2bl w:val="nil"/>
                  </w:tcBorders>
                  <w:vAlign w:val="center"/>
                </w:tcPr>
                <w:p w14:paraId="19537721">
                  <w:pPr>
                    <w:jc w:val="center"/>
                    <w:rPr>
                      <w:color w:val="000000" w:themeColor="text1"/>
                      <w:szCs w:val="21"/>
                      <w:highlight w:val="none"/>
                      <w14:textFill>
                        <w14:solidFill>
                          <w14:schemeClr w14:val="tx1"/>
                        </w14:solidFill>
                      </w14:textFill>
                    </w:rPr>
                  </w:pPr>
                </w:p>
              </w:tc>
            </w:tr>
            <w:tr w14:paraId="3D7F80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12" w:hRule="atLeast"/>
                <w:jc w:val="center"/>
              </w:trPr>
              <w:tc>
                <w:tcPr>
                  <w:tcW w:w="941" w:type="dxa"/>
                  <w:tcBorders>
                    <w:tl2br w:val="nil"/>
                    <w:tr2bl w:val="nil"/>
                  </w:tcBorders>
                  <w:vAlign w:val="center"/>
                </w:tcPr>
                <w:p w14:paraId="3C9E7E6B">
                  <w:pPr>
                    <w:pStyle w:val="16"/>
                    <w:adjustRightInd w:val="0"/>
                    <w:snapToGrid w:val="0"/>
                    <w:jc w:val="center"/>
                    <w:rPr>
                      <w:rFonts w:hint="eastAsia" w:ascii="Times New Roman" w:hAnsi="Times New Roman" w:eastAsia="宋体"/>
                      <w:color w:val="000000" w:themeColor="text1"/>
                      <w:szCs w:val="21"/>
                      <w:highlight w:val="none"/>
                      <w:lang w:eastAsia="zh-CN"/>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DW00</w:t>
                  </w:r>
                  <w:r>
                    <w:rPr>
                      <w:rFonts w:hint="eastAsia" w:ascii="Times New Roman" w:hAnsi="Times New Roman"/>
                      <w:color w:val="000000" w:themeColor="text1"/>
                      <w:szCs w:val="21"/>
                      <w:highlight w:val="none"/>
                      <w:lang w:val="en-US" w:eastAsia="zh-CN"/>
                      <w14:textFill>
                        <w14:solidFill>
                          <w14:schemeClr w14:val="tx1"/>
                        </w14:solidFill>
                      </w14:textFill>
                    </w:rPr>
                    <w:t>1</w:t>
                  </w:r>
                </w:p>
              </w:tc>
              <w:tc>
                <w:tcPr>
                  <w:tcW w:w="721" w:type="dxa"/>
                  <w:tcBorders>
                    <w:tl2br w:val="nil"/>
                    <w:tr2bl w:val="nil"/>
                  </w:tcBorders>
                  <w:vAlign w:val="center"/>
                </w:tcPr>
                <w:p w14:paraId="2A79C0D2">
                  <w:pPr>
                    <w:pStyle w:val="96"/>
                    <w:spacing w:line="240" w:lineRule="auto"/>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生</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活污水排放</w:t>
                  </w:r>
                  <w:r>
                    <w:rPr>
                      <w:rFonts w:hint="eastAsia" w:ascii="Times New Roman" w:hAnsi="Times New Roman" w:cs="Times New Roman"/>
                      <w:color w:val="000000" w:themeColor="text1"/>
                      <w:sz w:val="21"/>
                      <w:highlight w:val="none"/>
                      <w:lang w:val="en-US" w:eastAsia="zh-CN"/>
                      <w14:textFill>
                        <w14:solidFill>
                          <w14:schemeClr w14:val="tx1"/>
                        </w14:solidFill>
                      </w14:textFill>
                    </w:rPr>
                    <w:t>口</w:t>
                  </w:r>
                </w:p>
              </w:tc>
              <w:tc>
                <w:tcPr>
                  <w:tcW w:w="716" w:type="dxa"/>
                  <w:tcBorders>
                    <w:tl2br w:val="nil"/>
                    <w:tr2bl w:val="nil"/>
                  </w:tcBorders>
                  <w:vAlign w:val="center"/>
                </w:tcPr>
                <w:p w14:paraId="03B2C153">
                  <w:pPr>
                    <w:pStyle w:val="16"/>
                    <w:adjustRightInd w:val="0"/>
                    <w:snapToGrid w:val="0"/>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一般排放口</w:t>
                  </w:r>
                </w:p>
              </w:tc>
              <w:tc>
                <w:tcPr>
                  <w:tcW w:w="1545" w:type="dxa"/>
                  <w:tcBorders>
                    <w:tl2br w:val="nil"/>
                    <w:tr2bl w:val="nil"/>
                  </w:tcBorders>
                  <w:vAlign w:val="center"/>
                </w:tcPr>
                <w:p w14:paraId="226B32C9">
                  <w:pPr>
                    <w:pStyle w:val="16"/>
                    <w:adjustRightInd w:val="0"/>
                    <w:snapToGrid w:val="0"/>
                    <w:jc w:val="center"/>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118.676234212°</w:t>
                  </w:r>
                </w:p>
              </w:tc>
              <w:tc>
                <w:tcPr>
                  <w:tcW w:w="1414" w:type="dxa"/>
                  <w:tcBorders>
                    <w:tl2br w:val="nil"/>
                    <w:tr2bl w:val="nil"/>
                  </w:tcBorders>
                  <w:vAlign w:val="center"/>
                </w:tcPr>
                <w:p w14:paraId="55CD062E">
                  <w:pPr>
                    <w:pStyle w:val="16"/>
                    <w:adjustRightInd w:val="0"/>
                    <w:snapToGrid w:val="0"/>
                    <w:jc w:val="center"/>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26.102192917°</w:t>
                  </w:r>
                </w:p>
              </w:tc>
              <w:tc>
                <w:tcPr>
                  <w:tcW w:w="685" w:type="dxa"/>
                  <w:tcBorders>
                    <w:tl2br w:val="nil"/>
                    <w:tr2bl w:val="nil"/>
                  </w:tcBorders>
                  <w:vAlign w:val="center"/>
                </w:tcPr>
                <w:p w14:paraId="17953011">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间歇排放</w:t>
                  </w:r>
                </w:p>
              </w:tc>
              <w:tc>
                <w:tcPr>
                  <w:tcW w:w="1776" w:type="dxa"/>
                  <w:tcBorders>
                    <w:tl2br w:val="nil"/>
                    <w:tr2bl w:val="nil"/>
                  </w:tcBorders>
                  <w:vAlign w:val="center"/>
                </w:tcPr>
                <w:p w14:paraId="67CF90DA">
                  <w:pPr>
                    <w:pStyle w:val="99"/>
                    <w:adjustRightInd w:val="0"/>
                    <w:snapToGrid w:val="0"/>
                    <w:spacing w:line="240" w:lineRule="auto"/>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pH、COD、BOD</w:t>
                  </w:r>
                  <w:r>
                    <w:rPr>
                      <w:rFonts w:ascii="Times New Roman" w:hAnsi="Times New Roman"/>
                      <w:color w:val="000000" w:themeColor="text1"/>
                      <w:sz w:val="21"/>
                      <w:szCs w:val="21"/>
                      <w:highlight w:val="none"/>
                      <w:vertAlign w:val="subscript"/>
                      <w14:textFill>
                        <w14:solidFill>
                          <w14:schemeClr w14:val="tx1"/>
                        </w14:solidFill>
                      </w14:textFill>
                    </w:rPr>
                    <w:t>5</w:t>
                  </w:r>
                  <w:r>
                    <w:rPr>
                      <w:rFonts w:ascii="Times New Roman" w:hAnsi="Times New Roman"/>
                      <w:color w:val="000000" w:themeColor="text1"/>
                      <w:sz w:val="21"/>
                      <w:szCs w:val="21"/>
                      <w:highlight w:val="none"/>
                      <w14:textFill>
                        <w14:solidFill>
                          <w14:schemeClr w14:val="tx1"/>
                        </w14:solidFill>
                      </w14:textFill>
                    </w:rPr>
                    <w:t>、NH</w:t>
                  </w:r>
                  <w:r>
                    <w:rPr>
                      <w:rFonts w:ascii="Times New Roman" w:hAnsi="Times New Roman"/>
                      <w:color w:val="000000" w:themeColor="text1"/>
                      <w:sz w:val="21"/>
                      <w:szCs w:val="21"/>
                      <w:highlight w:val="none"/>
                      <w:vertAlign w:val="subscript"/>
                      <w14:textFill>
                        <w14:solidFill>
                          <w14:schemeClr w14:val="tx1"/>
                        </w14:solidFill>
                      </w14:textFill>
                    </w:rPr>
                    <w:t>3</w:t>
                  </w:r>
                  <w:r>
                    <w:rPr>
                      <w:rFonts w:ascii="Times New Roman" w:hAnsi="Times New Roman"/>
                      <w:color w:val="000000" w:themeColor="text1"/>
                      <w:sz w:val="21"/>
                      <w:szCs w:val="21"/>
                      <w:highlight w:val="none"/>
                      <w14:textFill>
                        <w14:solidFill>
                          <w14:schemeClr w14:val="tx1"/>
                        </w14:solidFill>
                      </w14:textFill>
                    </w:rPr>
                    <w:t>-N、SS</w:t>
                  </w:r>
                </w:p>
              </w:tc>
              <w:tc>
                <w:tcPr>
                  <w:tcW w:w="928" w:type="dxa"/>
                  <w:tcBorders>
                    <w:tl2br w:val="nil"/>
                    <w:tr2bl w:val="nil"/>
                  </w:tcBorders>
                  <w:vAlign w:val="center"/>
                </w:tcPr>
                <w:p w14:paraId="7D161F96">
                  <w:pPr>
                    <w:pStyle w:val="99"/>
                    <w:adjustRightInd w:val="0"/>
                    <w:snapToGrid w:val="0"/>
                    <w:spacing w:line="240" w:lineRule="auto"/>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1次/年</w:t>
                  </w:r>
                </w:p>
              </w:tc>
            </w:tr>
          </w:tbl>
          <w:p w14:paraId="24F74999">
            <w:pPr>
              <w:pStyle w:val="5"/>
              <w:numPr>
                <w:ilvl w:val="3"/>
                <w:numId w:val="15"/>
              </w:numPr>
              <w:tabs>
                <w:tab w:val="left" w:pos="0"/>
              </w:tabs>
              <w:bidi w:val="0"/>
              <w:ind w:left="864" w:leftChars="0" w:hanging="864" w:firstLineChars="0"/>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t>生活污水</w:t>
            </w:r>
          </w:p>
          <w:p w14:paraId="1D56C3AD">
            <w:pPr>
              <w:pStyle w:val="44"/>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本项目生活污水产生量为生活用水的80%，则生活污水产生量为</w:t>
            </w:r>
            <w:r>
              <w:rPr>
                <w:rFonts w:hint="eastAsia"/>
                <w:color w:val="000000" w:themeColor="text1"/>
                <w:highlight w:val="none"/>
                <w:lang w:val="en-US" w:eastAsia="zh-CN"/>
                <w14:textFill>
                  <w14:solidFill>
                    <w14:schemeClr w14:val="tx1"/>
                  </w14:solidFill>
                </w14:textFill>
              </w:rPr>
              <w:t>300</w:t>
            </w:r>
            <w:r>
              <w:rPr>
                <w:color w:val="000000" w:themeColor="text1"/>
                <w:highlight w:val="none"/>
                <w14:textFill>
                  <w14:solidFill>
                    <w14:schemeClr w14:val="tx1"/>
                  </w14:solidFill>
                </w14:textFill>
              </w:rPr>
              <w:t>t/a(</w:t>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t>t/d)，</w:t>
            </w:r>
            <w:r>
              <w:rPr>
                <w:rFonts w:hint="eastAsia"/>
                <w:color w:val="000000" w:themeColor="text1"/>
                <w:highlight w:val="none"/>
                <w14:textFill>
                  <w14:solidFill>
                    <w14:schemeClr w14:val="tx1"/>
                  </w14:solidFill>
                </w14:textFill>
              </w:rPr>
              <w:t>参考</w:t>
            </w:r>
            <w:r>
              <w:rPr>
                <w:color w:val="000000" w:themeColor="text1"/>
                <w:highlight w:val="none"/>
                <w14:textFill>
                  <w14:solidFill>
                    <w14:schemeClr w14:val="tx1"/>
                  </w14:solidFill>
                </w14:textFill>
              </w:rPr>
              <w:t>根据《给排水设计手册》(第五册城镇排水)典型生活污水水质示例，本环评项目生活污水中主要污染指标浓度取值为COD400mg/L、BOD</w:t>
            </w:r>
            <w:r>
              <w:rPr>
                <w:color w:val="000000" w:themeColor="text1"/>
                <w:highlight w:val="none"/>
                <w:vertAlign w:val="subscript"/>
                <w14:textFill>
                  <w14:solidFill>
                    <w14:schemeClr w14:val="tx1"/>
                  </w14:solidFill>
                </w14:textFill>
              </w:rPr>
              <w:t>5</w:t>
            </w:r>
            <w:r>
              <w:rPr>
                <w:color w:val="000000" w:themeColor="text1"/>
                <w:highlight w:val="none"/>
                <w14:textFill>
                  <w14:solidFill>
                    <w14:schemeClr w14:val="tx1"/>
                  </w14:solidFill>
                </w14:textFill>
              </w:rPr>
              <w:t>200mg/L、SS</w:t>
            </w:r>
            <w:r>
              <w:rPr>
                <w:rFonts w:hint="eastAsia"/>
                <w:color w:val="000000" w:themeColor="text1"/>
                <w:highlight w:val="none"/>
                <w:lang w:eastAsia="zh-CN"/>
                <w14:textFill>
                  <w14:solidFill>
                    <w14:schemeClr w14:val="tx1"/>
                  </w14:solidFill>
                </w14:textFill>
              </w:rPr>
              <w:t>200m</w:t>
            </w:r>
            <w:r>
              <w:rPr>
                <w:color w:val="000000" w:themeColor="text1"/>
                <w:highlight w:val="none"/>
                <w14:textFill>
                  <w14:solidFill>
                    <w14:schemeClr w14:val="tx1"/>
                  </w14:solidFill>
                </w14:textFill>
              </w:rPr>
              <w:t>g/L、氨氮35mg/L，生活污水经化粪池处理</w:t>
            </w:r>
            <w:r>
              <w:rPr>
                <w:rFonts w:hint="eastAsia"/>
                <w:color w:val="000000" w:themeColor="text1"/>
                <w:highlight w:val="none"/>
                <w:lang w:eastAsia="zh-CN"/>
                <w14:textFill>
                  <w14:solidFill>
                    <w14:schemeClr w14:val="tx1"/>
                  </w14:solidFill>
                </w14:textFill>
              </w:rPr>
              <w:t>达到</w:t>
            </w:r>
            <w:r>
              <w:rPr>
                <w:color w:val="000000" w:themeColor="text1"/>
                <w:highlight w:val="none"/>
                <w14:textFill>
                  <w14:solidFill>
                    <w14:schemeClr w14:val="tx1"/>
                  </w14:solidFill>
                </w14:textFill>
              </w:rPr>
              <w:t>《污水综合排放标准》（GB8978-1996）表4中三级标准（其中氨氮执行《污水排入城镇下水道水质标准》（</w:t>
            </w:r>
            <w:r>
              <w:rPr>
                <w:rFonts w:hint="eastAsia"/>
                <w:color w:val="000000" w:themeColor="text1"/>
                <w:highlight w:val="none"/>
                <w:lang w:eastAsia="zh-CN"/>
                <w14:textFill>
                  <w14:solidFill>
                    <w14:schemeClr w14:val="tx1"/>
                  </w14:solidFill>
                </w14:textFill>
              </w:rPr>
              <w:t>GB/T 31962-2015</w:t>
            </w:r>
            <w:r>
              <w:rPr>
                <w:color w:val="000000" w:themeColor="text1"/>
                <w:highlight w:val="none"/>
                <w14:textFill>
                  <w14:solidFill>
                    <w14:schemeClr w14:val="tx1"/>
                  </w14:solidFill>
                </w14:textFill>
              </w:rPr>
              <w:t>）表1的B等级标准）后接入</w:t>
            </w:r>
            <w:r>
              <w:rPr>
                <w:rFonts w:hint="eastAsia"/>
                <w:color w:val="000000" w:themeColor="text1"/>
                <w:highlight w:val="none"/>
                <w14:textFill>
                  <w14:solidFill>
                    <w14:schemeClr w14:val="tx1"/>
                  </w14:solidFill>
                </w14:textFill>
              </w:rPr>
              <w:t>市</w:t>
            </w:r>
            <w:r>
              <w:rPr>
                <w:color w:val="000000" w:themeColor="text1"/>
                <w:highlight w:val="none"/>
                <w14:textFill>
                  <w14:solidFill>
                    <w14:schemeClr w14:val="tx1"/>
                  </w14:solidFill>
                </w14:textFill>
              </w:rPr>
              <w:t>政污水管网，排入</w:t>
            </w:r>
            <w:r>
              <w:rPr>
                <w:rFonts w:hint="eastAsia"/>
                <w:color w:val="000000" w:themeColor="text1"/>
                <w:highlight w:val="none"/>
                <w:lang w:eastAsia="zh-CN"/>
                <w14:textFill>
                  <w14:solidFill>
                    <w14:schemeClr w14:val="tx1"/>
                  </w14:solidFill>
                </w14:textFill>
              </w:rPr>
              <w:t>闽清县白金工业园区污水处理厂</w:t>
            </w:r>
            <w:r>
              <w:rPr>
                <w:color w:val="000000" w:themeColor="text1"/>
                <w:highlight w:val="none"/>
                <w14:textFill>
                  <w14:solidFill>
                    <w14:schemeClr w14:val="tx1"/>
                  </w14:solidFill>
                </w14:textFill>
              </w:rPr>
              <w:t>处理后</w:t>
            </w:r>
            <w:r>
              <w:rPr>
                <w:rFonts w:hint="eastAsia"/>
                <w:color w:val="000000" w:themeColor="text1"/>
                <w:highlight w:val="none"/>
                <w:lang w:val="en-US" w:eastAsia="zh-CN"/>
                <w14:textFill>
                  <w14:solidFill>
                    <w14:schemeClr w14:val="tx1"/>
                  </w14:solidFill>
                </w14:textFill>
              </w:rPr>
              <w:t>尾水</w:t>
            </w:r>
            <w:r>
              <w:rPr>
                <w:color w:val="000000" w:themeColor="text1"/>
                <w:highlight w:val="none"/>
                <w14:textFill>
                  <w14:solidFill>
                    <w14:schemeClr w14:val="tx1"/>
                  </w14:solidFill>
                </w14:textFill>
              </w:rPr>
              <w:t>排入</w:t>
            </w:r>
            <w:r>
              <w:rPr>
                <w:rFonts w:hint="eastAsia"/>
                <w:color w:val="000000" w:themeColor="text1"/>
                <w:highlight w:val="none"/>
                <w:lang w:val="en-US" w:eastAsia="zh-CN"/>
                <w14:textFill>
                  <w14:solidFill>
                    <w14:schemeClr w14:val="tx1"/>
                  </w14:solidFill>
                </w14:textFill>
              </w:rPr>
              <w:t>梅溪</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参考环评手册中《常用污水处理设备及去除率》，化粪池</w:t>
            </w:r>
            <w:r>
              <w:rPr>
                <w:color w:val="000000" w:themeColor="text1"/>
                <w:highlight w:val="none"/>
                <w14:textFill>
                  <w14:solidFill>
                    <w14:schemeClr w14:val="tx1"/>
                  </w14:solidFill>
                </w14:textFill>
              </w:rPr>
              <w:t>对生活污水的处理效率一般为COD：15%、BOD</w:t>
            </w:r>
            <w:r>
              <w:rPr>
                <w:color w:val="000000" w:themeColor="text1"/>
                <w:highlight w:val="none"/>
                <w:vertAlign w:val="subscript"/>
                <w14:textFill>
                  <w14:solidFill>
                    <w14:schemeClr w14:val="tx1"/>
                  </w14:solidFill>
                </w14:textFill>
              </w:rPr>
              <w:t>5</w:t>
            </w:r>
            <w:r>
              <w:rPr>
                <w:color w:val="000000" w:themeColor="text1"/>
                <w:highlight w:val="none"/>
                <w14:textFill>
                  <w14:solidFill>
                    <w14:schemeClr w14:val="tx1"/>
                  </w14:solidFill>
                </w14:textFill>
              </w:rPr>
              <w:t>：9%、SS：30%、氨氮：3%，则生活污水产生量及排放量见</w:t>
            </w:r>
            <w:r>
              <w:rPr>
                <w:rFonts w:hint="eastAsia"/>
                <w:color w:val="000000" w:themeColor="text1"/>
                <w:highlight w:val="none"/>
                <w14:textFill>
                  <w14:solidFill>
                    <w14:schemeClr w14:val="tx1"/>
                  </w14:solidFill>
                </w14:textFill>
              </w:rPr>
              <w:t>表</w:t>
            </w:r>
            <w:r>
              <w:rPr>
                <w:rFonts w:hint="eastAsia"/>
                <w:color w:val="000000" w:themeColor="text1"/>
                <w:highlight w:val="none"/>
                <w:lang w:val="en-US" w:eastAsia="zh-CN"/>
                <w14:textFill>
                  <w14:solidFill>
                    <w14:schemeClr w14:val="tx1"/>
                  </w14:solidFill>
                </w14:textFill>
              </w:rPr>
              <w:t>4.3-1、</w:t>
            </w:r>
            <w:r>
              <w:rPr>
                <w:rFonts w:hint="eastAsia"/>
                <w:color w:val="000000" w:themeColor="text1"/>
                <w:highlight w:val="none"/>
                <w14:textFill>
                  <w14:solidFill>
                    <w14:schemeClr w14:val="tx1"/>
                  </w14:solidFill>
                </w14:textFill>
              </w:rPr>
              <w:t>表</w:t>
            </w:r>
            <w:r>
              <w:rPr>
                <w:rFonts w:hint="eastAsia"/>
                <w:color w:val="000000" w:themeColor="text1"/>
                <w:highlight w:val="none"/>
                <w:lang w:val="en-US" w:eastAsia="zh-CN"/>
                <w14:textFill>
                  <w14:solidFill>
                    <w14:schemeClr w14:val="tx1"/>
                  </w14:solidFill>
                </w14:textFill>
              </w:rPr>
              <w:t>4.3-2</w:t>
            </w:r>
            <w:r>
              <w:rPr>
                <w:color w:val="000000" w:themeColor="text1"/>
                <w:highlight w:val="none"/>
                <w14:textFill>
                  <w14:solidFill>
                    <w14:schemeClr w14:val="tx1"/>
                  </w14:solidFill>
                </w14:textFill>
              </w:rPr>
              <w:t>。</w:t>
            </w:r>
          </w:p>
          <w:p w14:paraId="7150751A">
            <w:pPr>
              <w:pStyle w:val="5"/>
              <w:numPr>
                <w:ilvl w:val="3"/>
                <w:numId w:val="15"/>
              </w:numPr>
              <w:tabs>
                <w:tab w:val="left" w:pos="0"/>
              </w:tabs>
              <w:bidi w:val="0"/>
              <w:ind w:left="864" w:leftChars="0" w:hanging="864" w:firstLineChars="0"/>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t>生产废水</w:t>
            </w:r>
          </w:p>
          <w:p w14:paraId="50DBD8D1">
            <w:pPr>
              <w:pStyle w:val="44"/>
              <w:ind w:firstLine="480"/>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w:t>
            </w:r>
            <w:r>
              <w:rPr>
                <w:rFonts w:hint="eastAsia"/>
                <w:color w:val="000000" w:themeColor="text1"/>
                <w:highlight w:val="none"/>
                <w:lang w:val="en-US" w:eastAsia="zh-CN"/>
                <w14:textFill>
                  <w14:solidFill>
                    <w14:schemeClr w14:val="tx1"/>
                  </w14:solidFill>
                </w14:textFill>
              </w:rPr>
              <w:t>项目</w:t>
            </w:r>
            <w:r>
              <w:rPr>
                <w:color w:val="000000" w:themeColor="text1"/>
                <w14:textFill>
                  <w14:solidFill>
                    <w14:schemeClr w14:val="tx1"/>
                  </w14:solidFill>
                </w14:textFill>
              </w:rPr>
              <w:t>运营期</w:t>
            </w:r>
            <w:r>
              <w:rPr>
                <w:rFonts w:hint="eastAsia"/>
                <w:color w:val="000000" w:themeColor="text1"/>
                <w:lang w:val="en-US" w:eastAsia="zh-CN"/>
                <w14:textFill>
                  <w14:solidFill>
                    <w14:schemeClr w14:val="tx1"/>
                  </w14:solidFill>
                </w14:textFill>
              </w:rPr>
              <w:t>不涉及生产废水排放</w:t>
            </w:r>
            <w:r>
              <w:rPr>
                <w:rFonts w:hint="eastAsia"/>
                <w:color w:val="000000" w:themeColor="text1"/>
                <w:highlight w:val="none"/>
                <w14:textFill>
                  <w14:solidFill>
                    <w14:schemeClr w14:val="tx1"/>
                  </w14:solidFill>
                </w14:textFill>
              </w:rPr>
              <w:t>。本项目</w:t>
            </w:r>
            <w:r>
              <w:rPr>
                <w:rFonts w:hint="eastAsia"/>
                <w:color w:val="000000" w:themeColor="text1"/>
                <w:highlight w:val="none"/>
                <w:lang w:val="en-US" w:eastAsia="zh-CN"/>
                <w14:textFill>
                  <w14:solidFill>
                    <w14:schemeClr w14:val="tx1"/>
                  </w14:solidFill>
                </w14:textFill>
              </w:rPr>
              <w:t>清洗水经沉淀池处理后回用搅拌；</w:t>
            </w:r>
            <w:r>
              <w:rPr>
                <w:rFonts w:hint="eastAsia"/>
                <w:color w:val="000000" w:themeColor="text1"/>
                <w:highlight w:val="none"/>
                <w14:textFill>
                  <w14:solidFill>
                    <w14:schemeClr w14:val="tx1"/>
                  </w14:solidFill>
                </w14:textFill>
              </w:rPr>
              <w:t>搅拌用水全部</w:t>
            </w:r>
            <w:r>
              <w:rPr>
                <w:rFonts w:hint="eastAsia"/>
                <w:color w:val="000000" w:themeColor="text1"/>
                <w:highlight w:val="none"/>
                <w:lang w:val="en-US" w:eastAsia="zh-CN"/>
                <w14:textFill>
                  <w14:solidFill>
                    <w14:schemeClr w14:val="tx1"/>
                  </w14:solidFill>
                </w14:textFill>
              </w:rPr>
              <w:t>随产品带走</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蒸养冷凝水</w:t>
            </w:r>
            <w:r>
              <w:rPr>
                <w:rFonts w:hint="eastAsia"/>
                <w:color w:val="000000" w:themeColor="text1"/>
                <w:highlight w:val="none"/>
                <w:lang w:val="zh-TW" w:eastAsia="zh-TW"/>
                <w14:textFill>
                  <w14:solidFill>
                    <w14:schemeClr w14:val="tx1"/>
                  </w14:solidFill>
                </w14:textFill>
              </w:rPr>
              <w:t>经管道送至静养</w:t>
            </w:r>
            <w:r>
              <w:rPr>
                <w:rFonts w:hint="eastAsia"/>
                <w:color w:val="000000" w:themeColor="text1"/>
                <w:highlight w:val="none"/>
                <w:lang w:val="zh-TW"/>
                <w14:textFill>
                  <w14:solidFill>
                    <w14:schemeClr w14:val="tx1"/>
                  </w14:solidFill>
                </w14:textFill>
              </w:rPr>
              <w:t>室或者回收到锅炉房预热水</w:t>
            </w:r>
            <w:r>
              <w:rPr>
                <w:rFonts w:hint="eastAsia"/>
                <w:color w:val="000000" w:themeColor="text1"/>
                <w:highlight w:val="none"/>
                <w:lang w:val="zh-TW"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因此项目无生产废水外排。</w:t>
            </w:r>
          </w:p>
          <w:p w14:paraId="3B571385">
            <w:pPr>
              <w:pStyle w:val="4"/>
              <w:numPr>
                <w:ilvl w:val="2"/>
                <w:numId w:val="1"/>
              </w:numPr>
              <w:bidi w:val="0"/>
              <w:ind w:left="720" w:leftChars="0" w:hanging="720" w:firstLineChars="0"/>
              <w:rPr>
                <w:rFonts w:hint="eastAsia"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依托污水处理厂的可行性分析</w:t>
            </w:r>
          </w:p>
          <w:p w14:paraId="03F21E3E">
            <w:pPr>
              <w:pStyle w:val="44"/>
              <w:numPr>
                <w:ilvl w:val="0"/>
                <w:numId w:val="0"/>
              </w:numPr>
              <w:ind w:firstLine="480" w:firstLineChars="200"/>
              <w:rPr>
                <w:rFonts w:hint="eastAsia" w:eastAsia="宋体"/>
                <w:color w:val="000000" w:themeColor="text1"/>
                <w:highlight w:val="none"/>
                <w:lang w:eastAsia="zh-CN"/>
                <w14:textFill>
                  <w14:solidFill>
                    <w14:schemeClr w14:val="tx1"/>
                  </w14:solidFill>
                </w14:textFill>
              </w:rPr>
            </w:pPr>
            <w:bookmarkStart w:id="52" w:name="_Ref12541"/>
            <w:r>
              <w:rPr>
                <w:rFonts w:hint="eastAsia"/>
                <w:color w:val="000000" w:themeColor="text1"/>
                <w:highlight w:val="none"/>
                <w14:textFill>
                  <w14:solidFill>
                    <w14:schemeClr w14:val="tx1"/>
                  </w14:solidFill>
                </w14:textFill>
              </w:rPr>
              <w:t>厂区生活污水</w:t>
            </w:r>
            <w:r>
              <w:rPr>
                <w:rFonts w:hint="eastAsia"/>
                <w:color w:val="000000" w:themeColor="text1"/>
                <w:highlight w:val="none"/>
                <w:lang w:eastAsia="zh-CN"/>
                <w14:textFill>
                  <w14:solidFill>
                    <w14:schemeClr w14:val="tx1"/>
                  </w14:solidFill>
                </w14:textFill>
              </w:rPr>
              <w:t>：</w:t>
            </w:r>
          </w:p>
          <w:p w14:paraId="3E84BC4B">
            <w:pPr>
              <w:pStyle w:val="44"/>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=1\*GB3\*MERGEFORMAT</w:instrText>
            </w:r>
            <w:r>
              <w:rPr>
                <w:rFonts w:hint="eastAsia"/>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①</w:t>
            </w:r>
            <w:r>
              <w:rPr>
                <w:rFonts w:hint="eastAsia"/>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t>管网衔接可行性分析</w:t>
            </w:r>
          </w:p>
          <w:p w14:paraId="5C2A3ABE">
            <w:pPr>
              <w:pStyle w:val="44"/>
              <w:ind w:firstLine="480"/>
              <w:rPr>
                <w:color w:val="000000" w:themeColor="text1"/>
                <w:highlight w:val="none"/>
                <w14:textFill>
                  <w14:solidFill>
                    <w14:schemeClr w14:val="tx1"/>
                  </w14:solidFill>
                </w14:textFill>
              </w:rPr>
            </w:pPr>
            <w:r>
              <w:rPr>
                <w:color w:val="auto"/>
                <w:spacing w:val="1"/>
                <w:sz w:val="24"/>
                <w:szCs w:val="24"/>
              </w:rPr>
              <w:t>根据调查，闽清白金工业园区污水处理厂收纳的污水包括白中镇和池园镇集中区生活污水、坂东镇生活污水、白金工业园区企业生活废水及预处理达标的工业废水、白洋工业园区企业生活污水等，本项目属于闽清白金工业园区污水处理厂的服务范围，</w:t>
            </w:r>
            <w:r>
              <w:rPr>
                <w:color w:val="000000" w:themeColor="text1"/>
                <w:highlight w:val="none"/>
                <w14:textFill>
                  <w14:solidFill>
                    <w14:schemeClr w14:val="tx1"/>
                  </w14:solidFill>
                </w14:textFill>
              </w:rPr>
              <w:t>目前市政污水管网已经铺设完成并已经投入正常运行，因此本项目产生的生活污水</w:t>
            </w:r>
            <w:r>
              <w:rPr>
                <w:rFonts w:hint="eastAsia"/>
                <w:color w:val="000000" w:themeColor="text1"/>
                <w:highlight w:val="none"/>
                <w14:textFill>
                  <w14:solidFill>
                    <w14:schemeClr w14:val="tx1"/>
                  </w14:solidFill>
                </w14:textFill>
              </w:rPr>
              <w:t>经预处理达标后</w:t>
            </w:r>
            <w:r>
              <w:rPr>
                <w:color w:val="000000" w:themeColor="text1"/>
                <w:highlight w:val="none"/>
                <w14:textFill>
                  <w14:solidFill>
                    <w14:schemeClr w14:val="tx1"/>
                  </w14:solidFill>
                </w14:textFill>
              </w:rPr>
              <w:t>纳入市政污水管网是可行的。</w:t>
            </w:r>
          </w:p>
          <w:p w14:paraId="77D139C6">
            <w:pPr>
              <w:pStyle w:val="44"/>
              <w:ind w:firstLine="480"/>
              <w:rPr>
                <w:rFonts w:cs="宋体"/>
                <w:color w:val="000000" w:themeColor="text1"/>
                <w:szCs w:val="28"/>
                <w:highlight w:val="none"/>
                <w:lang w:val="zh-CN" w:bidi="ar"/>
                <w14:textFill>
                  <w14:solidFill>
                    <w14:schemeClr w14:val="tx1"/>
                  </w14:solidFill>
                </w14:textFill>
              </w:rPr>
            </w:pP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=2\*GB3\*MERGEFORMAT</w:instrText>
            </w:r>
            <w:r>
              <w:rPr>
                <w:rFonts w:hint="eastAsia"/>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②</w:t>
            </w:r>
            <w:r>
              <w:rPr>
                <w:rFonts w:hint="eastAsia"/>
                <w:color w:val="000000" w:themeColor="text1"/>
                <w:highlight w:val="none"/>
                <w14:textFill>
                  <w14:solidFill>
                    <w14:schemeClr w14:val="tx1"/>
                  </w14:solidFill>
                </w14:textFill>
              </w:rPr>
              <w:fldChar w:fldCharType="end"/>
            </w:r>
            <w:r>
              <w:rPr>
                <w:rFonts w:hint="eastAsia" w:cs="宋体"/>
                <w:color w:val="000000" w:themeColor="text1"/>
                <w:szCs w:val="28"/>
                <w:highlight w:val="none"/>
                <w:lang w:bidi="ar"/>
                <w14:textFill>
                  <w14:solidFill>
                    <w14:schemeClr w14:val="tx1"/>
                  </w14:solidFill>
                </w14:textFill>
              </w:rPr>
              <w:t>纳入</w:t>
            </w:r>
            <w:r>
              <w:rPr>
                <w:rFonts w:hint="eastAsia" w:cs="宋体"/>
                <w:color w:val="000000" w:themeColor="text1"/>
                <w:szCs w:val="28"/>
                <w:highlight w:val="none"/>
                <w:lang w:eastAsia="zh-CN" w:bidi="ar"/>
                <w14:textFill>
                  <w14:solidFill>
                    <w14:schemeClr w14:val="tx1"/>
                  </w14:solidFill>
                </w14:textFill>
              </w:rPr>
              <w:t>闽清县白金工业园区污水处理厂</w:t>
            </w:r>
            <w:r>
              <w:rPr>
                <w:rFonts w:hint="eastAsia" w:cs="宋体"/>
                <w:color w:val="000000" w:themeColor="text1"/>
                <w:szCs w:val="28"/>
                <w:highlight w:val="none"/>
                <w:lang w:val="zh-CN" w:bidi="ar"/>
                <w14:textFill>
                  <w14:solidFill>
                    <w14:schemeClr w14:val="tx1"/>
                  </w14:solidFill>
                </w14:textFill>
              </w:rPr>
              <w:t>水</w:t>
            </w:r>
            <w:r>
              <w:rPr>
                <w:rFonts w:hint="eastAsia" w:cs="宋体"/>
                <w:color w:val="000000" w:themeColor="text1"/>
                <w:szCs w:val="28"/>
                <w:highlight w:val="none"/>
                <w:lang w:bidi="ar"/>
                <w14:textFill>
                  <w14:solidFill>
                    <w14:schemeClr w14:val="tx1"/>
                  </w14:solidFill>
                </w14:textFill>
              </w:rPr>
              <w:t>量可行性</w:t>
            </w:r>
            <w:r>
              <w:rPr>
                <w:rFonts w:hint="eastAsia" w:cs="宋体"/>
                <w:color w:val="000000" w:themeColor="text1"/>
                <w:szCs w:val="28"/>
                <w:highlight w:val="none"/>
                <w:lang w:val="zh-CN" w:bidi="ar"/>
                <w14:textFill>
                  <w14:solidFill>
                    <w14:schemeClr w14:val="tx1"/>
                  </w14:solidFill>
                </w14:textFill>
              </w:rPr>
              <w:t>分析</w:t>
            </w:r>
          </w:p>
          <w:p w14:paraId="0C6EE21A">
            <w:pPr>
              <w:keepNext w:val="0"/>
              <w:keepLines w:val="0"/>
              <w:suppressLineNumbers w:val="0"/>
              <w:spacing w:before="0" w:beforeAutospacing="0" w:after="0" w:afterAutospacing="0" w:line="360" w:lineRule="auto"/>
              <w:ind w:left="0" w:right="0" w:firstLine="480" w:firstLineChars="200"/>
              <w:rPr>
                <w:rFonts w:hint="default" w:eastAsia="宋体"/>
                <w:color w:val="000000" w:themeColor="text1"/>
                <w:sz w:val="24"/>
                <w:szCs w:val="24"/>
                <w:highlight w:val="none"/>
                <w:lang w:val="en-US" w:eastAsia="zh-CN" w:bidi="ar"/>
                <w14:textFill>
                  <w14:solidFill>
                    <w14:schemeClr w14:val="tx1"/>
                  </w14:solidFill>
                </w14:textFill>
              </w:rPr>
            </w:pPr>
            <w:r>
              <w:rPr>
                <w:rFonts w:hint="eastAsia"/>
                <w:color w:val="000000" w:themeColor="text1"/>
                <w:sz w:val="24"/>
                <w:szCs w:val="24"/>
                <w:highlight w:val="none"/>
                <w:lang w:val="zh-CN" w:bidi="ar"/>
                <w14:textFill>
                  <w14:solidFill>
                    <w14:schemeClr w14:val="tx1"/>
                  </w14:solidFill>
                </w14:textFill>
              </w:rPr>
              <w:t>闽清白金工业园区污水处理厂近期设计总处理规模为1.0万t/d，根据调查，目前实际处理规模为0.6万m</w:t>
            </w:r>
            <w:r>
              <w:rPr>
                <w:rFonts w:hint="eastAsia"/>
                <w:color w:val="000000" w:themeColor="text1"/>
                <w:sz w:val="24"/>
                <w:szCs w:val="24"/>
                <w:highlight w:val="none"/>
                <w:vertAlign w:val="superscript"/>
                <w:lang w:val="zh-CN" w:bidi="ar"/>
                <w14:textFill>
                  <w14:solidFill>
                    <w14:schemeClr w14:val="tx1"/>
                  </w14:solidFill>
                </w14:textFill>
              </w:rPr>
              <w:t>3</w:t>
            </w:r>
            <w:r>
              <w:rPr>
                <w:rFonts w:hint="eastAsia"/>
                <w:color w:val="000000" w:themeColor="text1"/>
                <w:sz w:val="24"/>
                <w:szCs w:val="24"/>
                <w:highlight w:val="none"/>
                <w:lang w:val="zh-CN" w:bidi="ar"/>
                <w14:textFill>
                  <w14:solidFill>
                    <w14:schemeClr w14:val="tx1"/>
                  </w14:solidFill>
                </w14:textFill>
              </w:rPr>
              <w:t>/d，本项目污水排放量为1t/d，占污水处理厂剩余处理规模的0.025%，污水处理厂采用“曝气沉砂池+改进型Carrousel-2000氧化沟+二沉池”处理工艺，属于城镇污水处理厂通用工艺，因此，从处理能力及处理工艺分析，闽清白金工业园区污水处理厂可接纳项目废水排放量，不会对污水处理厂水量负荷造成冲击。</w:t>
            </w:r>
            <w:r>
              <w:rPr>
                <w:rFonts w:ascii="Times New Roman" w:hAnsi="Times New Roman" w:eastAsia="宋体"/>
                <w:spacing w:val="2"/>
                <w:sz w:val="24"/>
                <w:szCs w:val="24"/>
              </w:rPr>
              <w:t>污水处理厂工程设计采用“曝气沉砂池</w:t>
            </w:r>
            <w:r>
              <w:rPr>
                <w:rFonts w:ascii="Times New Roman" w:hAnsi="Times New Roman" w:eastAsia="宋体" w:cs="Times New Roman"/>
                <w:spacing w:val="2"/>
                <w:sz w:val="24"/>
                <w:szCs w:val="24"/>
              </w:rPr>
              <w:t>+</w:t>
            </w:r>
            <w:r>
              <w:rPr>
                <w:rFonts w:ascii="Times New Roman" w:hAnsi="Times New Roman" w:eastAsia="宋体"/>
                <w:spacing w:val="2"/>
                <w:sz w:val="24"/>
                <w:szCs w:val="24"/>
              </w:rPr>
              <w:t>改进型</w:t>
            </w:r>
            <w:r>
              <w:rPr>
                <w:rFonts w:ascii="Times New Roman" w:hAnsi="Times New Roman" w:eastAsia="宋体" w:cs="Times New Roman"/>
                <w:sz w:val="24"/>
                <w:szCs w:val="24"/>
              </w:rPr>
              <w:t>Carrousel</w:t>
            </w:r>
            <w:r>
              <w:rPr>
                <w:rFonts w:ascii="Times New Roman" w:hAnsi="Times New Roman" w:eastAsia="宋体" w:cs="Times New Roman"/>
                <w:spacing w:val="2"/>
                <w:sz w:val="24"/>
                <w:szCs w:val="24"/>
              </w:rPr>
              <w:t>-2000</w:t>
            </w:r>
            <w:r>
              <w:rPr>
                <w:rFonts w:ascii="Times New Roman" w:hAnsi="Times New Roman" w:eastAsia="宋体"/>
                <w:spacing w:val="2"/>
                <w:sz w:val="24"/>
                <w:szCs w:val="24"/>
              </w:rPr>
              <w:t>氧化沟</w:t>
            </w:r>
            <w:r>
              <w:rPr>
                <w:rFonts w:ascii="Times New Roman" w:hAnsi="Times New Roman" w:eastAsia="宋体" w:cs="Times New Roman"/>
                <w:spacing w:val="2"/>
                <w:sz w:val="24"/>
                <w:szCs w:val="24"/>
              </w:rPr>
              <w:t>+</w:t>
            </w:r>
            <w:r>
              <w:rPr>
                <w:rFonts w:ascii="Times New Roman" w:hAnsi="Times New Roman" w:eastAsia="宋体"/>
                <w:spacing w:val="-2"/>
                <w:sz w:val="24"/>
                <w:szCs w:val="24"/>
              </w:rPr>
              <w:t>二沉池”为主体的生化污水处理工艺，项目污水处</w:t>
            </w:r>
            <w:r>
              <w:rPr>
                <w:rFonts w:ascii="Times New Roman" w:hAnsi="Times New Roman" w:eastAsia="宋体"/>
                <w:spacing w:val="-3"/>
                <w:sz w:val="24"/>
                <w:szCs w:val="24"/>
              </w:rPr>
              <w:t>理工艺流程详见图</w:t>
            </w:r>
            <w:r>
              <w:rPr>
                <w:rFonts w:hint="eastAsia" w:ascii="Times New Roman" w:hAnsi="Times New Roman" w:eastAsia="宋体"/>
                <w:spacing w:val="-3"/>
                <w:sz w:val="24"/>
                <w:szCs w:val="24"/>
                <w:lang w:val="en-US" w:eastAsia="zh-CN"/>
              </w:rPr>
              <w:t>4.3-2。</w:t>
            </w:r>
          </w:p>
          <w:p w14:paraId="4FD87D14">
            <w:pPr>
              <w:keepNext w:val="0"/>
              <w:keepLines w:val="0"/>
              <w:suppressLineNumbers w:val="0"/>
              <w:spacing w:before="0" w:beforeAutospacing="0" w:after="0" w:afterAutospacing="0" w:line="360" w:lineRule="auto"/>
              <w:ind w:left="0" w:right="0" w:firstLine="420" w:firstLineChars="200"/>
              <w:rPr>
                <w:rFonts w:hint="eastAsia"/>
                <w:color w:val="000000" w:themeColor="text1"/>
                <w:sz w:val="24"/>
                <w:szCs w:val="24"/>
                <w:highlight w:val="none"/>
                <w:lang w:val="zh-CN" w:bidi="ar"/>
                <w14:textFill>
                  <w14:solidFill>
                    <w14:schemeClr w14:val="tx1"/>
                  </w14:solidFill>
                </w14:textFill>
              </w:rPr>
            </w:pPr>
            <w:r>
              <w:rPr>
                <w:position w:val="-81"/>
              </w:rPr>
              <w:drawing>
                <wp:inline distT="0" distB="0" distL="0" distR="0">
                  <wp:extent cx="5064125" cy="2572385"/>
                  <wp:effectExtent l="0" t="0" r="3175" b="18415"/>
                  <wp:docPr id="64" name="IM 14"/>
                  <wp:cNvGraphicFramePr/>
                  <a:graphic xmlns:a="http://schemas.openxmlformats.org/drawingml/2006/main">
                    <a:graphicData uri="http://schemas.openxmlformats.org/drawingml/2006/picture">
                      <pic:pic xmlns:pic="http://schemas.openxmlformats.org/drawingml/2006/picture">
                        <pic:nvPicPr>
                          <pic:cNvPr id="64" name="IM 14"/>
                          <pic:cNvPicPr/>
                        </pic:nvPicPr>
                        <pic:blipFill>
                          <a:blip r:embed="rId16"/>
                          <a:stretch>
                            <a:fillRect/>
                          </a:stretch>
                        </pic:blipFill>
                        <pic:spPr>
                          <a:xfrm>
                            <a:off x="0" y="0"/>
                            <a:ext cx="5064252" cy="2572385"/>
                          </a:xfrm>
                          <a:prstGeom prst="rect">
                            <a:avLst/>
                          </a:prstGeom>
                        </pic:spPr>
                      </pic:pic>
                    </a:graphicData>
                  </a:graphic>
                </wp:inline>
              </w:drawing>
            </w:r>
          </w:p>
          <w:p w14:paraId="7233A0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center"/>
              <w:textAlignment w:val="auto"/>
              <w:rPr>
                <w:rFonts w:hint="eastAsia" w:cs="Times New Roman"/>
                <w:b/>
                <w:bCs/>
                <w:color w:val="000000" w:themeColor="text1"/>
                <w:kern w:val="2"/>
                <w:sz w:val="24"/>
                <w:szCs w:val="20"/>
                <w:highlight w:val="none"/>
                <w:lang w:val="zh-CN" w:eastAsia="zh-CN" w:bidi="ar-SA"/>
                <w14:textFill>
                  <w14:solidFill>
                    <w14:schemeClr w14:val="tx1"/>
                  </w14:solidFill>
                </w14:textFill>
              </w:rPr>
            </w:pPr>
            <w:r>
              <w:rPr>
                <w:rFonts w:hint="eastAsia" w:cs="Times New Roman"/>
                <w:b/>
                <w:bCs/>
                <w:color w:val="000000" w:themeColor="text1"/>
                <w:kern w:val="2"/>
                <w:sz w:val="24"/>
                <w:szCs w:val="20"/>
                <w:highlight w:val="none"/>
                <w:lang w:val="en-US" w:eastAsia="zh-CN" w:bidi="ar-SA"/>
                <w14:textFill>
                  <w14:solidFill>
                    <w14:schemeClr w14:val="tx1"/>
                  </w14:solidFill>
                </w14:textFill>
              </w:rPr>
              <w:t>图4.3-2污水处理厂处理工艺流程图</w:t>
            </w:r>
          </w:p>
          <w:p w14:paraId="3347F89E">
            <w:pPr>
              <w:pStyle w:val="44"/>
              <w:ind w:firstLine="480"/>
              <w:rPr>
                <w:color w:val="000000" w:themeColor="text1"/>
                <w:sz w:val="24"/>
                <w:szCs w:val="24"/>
                <w:highlight w:val="none"/>
                <w:lang w:val="zh-CN"/>
                <w14:textFill>
                  <w14:solidFill>
                    <w14:schemeClr w14:val="tx1"/>
                  </w14:solidFill>
                </w14:textFill>
              </w:rPr>
            </w:pPr>
            <w:r>
              <w:rPr>
                <w:rFonts w:hint="eastAsia"/>
                <w:color w:val="000000" w:themeColor="text1"/>
                <w:sz w:val="24"/>
                <w:szCs w:val="24"/>
                <w:highlight w:val="none"/>
                <w14:textFill>
                  <w14:solidFill>
                    <w14:schemeClr w14:val="tx1"/>
                  </w14:solidFill>
                </w14:textFill>
              </w:rPr>
              <w:fldChar w:fldCharType="begin"/>
            </w:r>
            <w:r>
              <w:rPr>
                <w:rFonts w:hint="eastAsia"/>
                <w:color w:val="000000" w:themeColor="text1"/>
                <w:sz w:val="24"/>
                <w:szCs w:val="24"/>
                <w:highlight w:val="none"/>
                <w14:textFill>
                  <w14:solidFill>
                    <w14:schemeClr w14:val="tx1"/>
                  </w14:solidFill>
                </w14:textFill>
              </w:rPr>
              <w:instrText xml:space="preserve"> = 3 \* GB3 \* MERGEFORMAT </w:instrText>
            </w:r>
            <w:r>
              <w:rPr>
                <w:rFonts w:hint="eastAsia"/>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③</w:t>
            </w:r>
            <w:r>
              <w:rPr>
                <w:rFonts w:hint="eastAsia"/>
                <w:color w:val="000000" w:themeColor="text1"/>
                <w:sz w:val="24"/>
                <w:szCs w:val="24"/>
                <w:highlight w:val="none"/>
                <w14:textFill>
                  <w14:solidFill>
                    <w14:schemeClr w14:val="tx1"/>
                  </w14:solidFill>
                </w14:textFill>
              </w:rPr>
              <w:fldChar w:fldCharType="end"/>
            </w:r>
            <w:r>
              <w:rPr>
                <w:rFonts w:hint="eastAsia" w:cs="宋体"/>
                <w:color w:val="000000" w:themeColor="text1"/>
                <w:sz w:val="24"/>
                <w:szCs w:val="24"/>
                <w:highlight w:val="none"/>
                <w:lang w:bidi="ar"/>
                <w14:textFill>
                  <w14:solidFill>
                    <w14:schemeClr w14:val="tx1"/>
                  </w14:solidFill>
                </w14:textFill>
              </w:rPr>
              <w:t>纳入</w:t>
            </w:r>
            <w:r>
              <w:rPr>
                <w:rFonts w:hint="eastAsia" w:cs="宋体"/>
                <w:color w:val="000000" w:themeColor="text1"/>
                <w:sz w:val="24"/>
                <w:szCs w:val="24"/>
                <w:highlight w:val="none"/>
                <w:lang w:eastAsia="zh-CN" w:bidi="ar"/>
                <w14:textFill>
                  <w14:solidFill>
                    <w14:schemeClr w14:val="tx1"/>
                  </w14:solidFill>
                </w14:textFill>
              </w:rPr>
              <w:t>闽清县白金工业园区污水处理厂</w:t>
            </w:r>
            <w:r>
              <w:rPr>
                <w:rFonts w:hint="eastAsia" w:cs="宋体"/>
                <w:color w:val="000000" w:themeColor="text1"/>
                <w:sz w:val="24"/>
                <w:szCs w:val="24"/>
                <w:highlight w:val="none"/>
                <w:lang w:val="zh-CN" w:bidi="ar"/>
                <w14:textFill>
                  <w14:solidFill>
                    <w14:schemeClr w14:val="tx1"/>
                  </w14:solidFill>
                </w14:textFill>
              </w:rPr>
              <w:t>水质</w:t>
            </w:r>
            <w:r>
              <w:rPr>
                <w:rFonts w:hint="eastAsia" w:cs="宋体"/>
                <w:color w:val="000000" w:themeColor="text1"/>
                <w:sz w:val="24"/>
                <w:szCs w:val="24"/>
                <w:highlight w:val="none"/>
                <w:lang w:bidi="ar"/>
                <w14:textFill>
                  <w14:solidFill>
                    <w14:schemeClr w14:val="tx1"/>
                  </w14:solidFill>
                </w14:textFill>
              </w:rPr>
              <w:t>可行性</w:t>
            </w:r>
            <w:r>
              <w:rPr>
                <w:rFonts w:hint="eastAsia" w:cs="宋体"/>
                <w:color w:val="000000" w:themeColor="text1"/>
                <w:sz w:val="24"/>
                <w:szCs w:val="24"/>
                <w:highlight w:val="none"/>
                <w:lang w:val="zh-CN" w:bidi="ar"/>
                <w14:textFill>
                  <w14:solidFill>
                    <w14:schemeClr w14:val="tx1"/>
                  </w14:solidFill>
                </w14:textFill>
              </w:rPr>
              <w:t>分析</w:t>
            </w:r>
          </w:p>
          <w:p w14:paraId="500A1839">
            <w:pPr>
              <w:pStyle w:val="44"/>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闽清县白金工业园区污水处理厂</w:t>
            </w:r>
            <w:r>
              <w:rPr>
                <w:rFonts w:hint="eastAsia"/>
                <w:color w:val="000000" w:themeColor="text1"/>
                <w:highlight w:val="none"/>
                <w:lang w:val="en-US" w:eastAsia="zh-CN"/>
                <w14:textFill>
                  <w14:solidFill>
                    <w14:schemeClr w14:val="tx1"/>
                  </w14:solidFill>
                </w14:textFill>
              </w:rPr>
              <w:t>出水水质</w:t>
            </w:r>
            <w:r>
              <w:rPr>
                <w:rFonts w:hint="eastAsia"/>
                <w:color w:val="000000" w:themeColor="text1"/>
                <w:highlight w:val="none"/>
                <w:lang w:eastAsia="zh-CN"/>
                <w14:textFill>
                  <w14:solidFill>
                    <w14:schemeClr w14:val="tx1"/>
                  </w14:solidFill>
                </w14:textFill>
              </w:rPr>
              <w:t>执行《城镇污水处理厂污染物排放标准》（GB18918-2002）一级</w:t>
            </w:r>
            <w:r>
              <w:rPr>
                <w:rFonts w:hint="eastAsia"/>
                <w:color w:val="000000" w:themeColor="text1"/>
                <w:highlight w:val="none"/>
                <w:lang w:val="en-US" w:eastAsia="zh-CN"/>
                <w14:textFill>
                  <w14:solidFill>
                    <w14:schemeClr w14:val="tx1"/>
                  </w14:solidFill>
                </w14:textFill>
              </w:rPr>
              <w:t>B</w:t>
            </w:r>
            <w:r>
              <w:rPr>
                <w:rFonts w:hint="eastAsia"/>
                <w:color w:val="000000" w:themeColor="text1"/>
                <w:highlight w:val="none"/>
                <w:lang w:eastAsia="zh-CN"/>
                <w14:textFill>
                  <w14:solidFill>
                    <w14:schemeClr w14:val="tx1"/>
                  </w14:solidFill>
                </w14:textFill>
              </w:rPr>
              <w:t>标准</w:t>
            </w:r>
            <w:r>
              <w:rPr>
                <w:color w:val="000000" w:themeColor="text1"/>
                <w:highlight w:val="none"/>
                <w14:textFill>
                  <w14:solidFill>
                    <w14:schemeClr w14:val="tx1"/>
                  </w14:solidFill>
                </w14:textFill>
              </w:rPr>
              <w:t>。</w:t>
            </w:r>
          </w:p>
          <w:p w14:paraId="085E227F">
            <w:pPr>
              <w:pStyle w:val="42"/>
              <w:keepNext/>
              <w:keepLines/>
              <w:pageBreakBefore w:val="0"/>
              <w:widowControl w:val="0"/>
              <w:numPr>
                <w:ilvl w:val="7"/>
                <w:numId w:val="16"/>
              </w:numPr>
              <w:tabs>
                <w:tab w:val="left" w:pos="0"/>
              </w:tabs>
              <w:kinsoku/>
              <w:wordWrap/>
              <w:overflowPunct/>
              <w:topLinePunct w:val="0"/>
              <w:autoSpaceDE/>
              <w:autoSpaceDN/>
              <w:bidi w:val="0"/>
              <w:adjustRightInd/>
              <w:snapToGrid/>
              <w:spacing w:before="0" w:after="0"/>
              <w:ind w:left="630" w:leftChars="0" w:firstLine="0" w:firstLineChars="0"/>
              <w:jc w:val="center"/>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闽清县白金工业园区污水处理厂</w:t>
            </w:r>
            <w:r>
              <w:rPr>
                <w:rFonts w:hint="eastAsia" w:ascii="Times New Roman" w:hAnsi="Times New Roman" w:eastAsia="宋体" w:cs="Times New Roman"/>
                <w:color w:val="000000" w:themeColor="text1"/>
                <w:highlight w:val="none"/>
                <w:lang w:val="en-US" w:eastAsia="zh-CN"/>
                <w14:textFill>
                  <w14:solidFill>
                    <w14:schemeClr w14:val="tx1"/>
                  </w14:solidFill>
                </w14:textFill>
              </w:rPr>
              <w:t>设计进水水质 单位：mg/L (pH 无量纲)</w:t>
            </w:r>
          </w:p>
          <w:tbl>
            <w:tblPr>
              <w:tblStyle w:val="32"/>
              <w:tblW w:w="8724" w:type="dxa"/>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1648"/>
              <w:gridCol w:w="1198"/>
              <w:gridCol w:w="1192"/>
              <w:gridCol w:w="1203"/>
              <w:gridCol w:w="1344"/>
              <w:gridCol w:w="1334"/>
            </w:tblGrid>
            <w:tr w14:paraId="7DC67DB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403" w:hRule="exact"/>
                <w:jc w:val="center"/>
              </w:trPr>
              <w:tc>
                <w:tcPr>
                  <w:tcW w:w="805" w:type="dxa"/>
                  <w:tcBorders>
                    <w:top w:val="single" w:color="auto" w:sz="12" w:space="0"/>
                    <w:left w:val="nil"/>
                    <w:bottom w:val="single" w:color="auto" w:sz="4" w:space="0"/>
                    <w:right w:val="single" w:color="auto" w:sz="4" w:space="0"/>
                  </w:tcBorders>
                  <w:shd w:val="clear" w:color="auto" w:fill="auto"/>
                  <w:vAlign w:val="center"/>
                </w:tcPr>
                <w:p w14:paraId="2E8F2CE6">
                  <w:pPr>
                    <w:pStyle w:val="30"/>
                    <w:widowControl w:val="0"/>
                    <w:spacing w:before="0" w:beforeAutospacing="0" w:after="0" w:afterAutospacing="0"/>
                    <w:jc w:val="center"/>
                    <w:rPr>
                      <w:color w:val="000000" w:themeColor="text1"/>
                      <w:sz w:val="21"/>
                      <w:szCs w:val="21"/>
                      <w:highlight w:val="none"/>
                      <w14:textFill>
                        <w14:solidFill>
                          <w14:schemeClr w14:val="tx1"/>
                        </w14:solidFill>
                      </w14:textFill>
                    </w:rPr>
                  </w:pPr>
                  <w:r>
                    <w:rPr>
                      <w:rFonts w:hint="eastAsia" w:ascii="Times New Roman" w:hAnsi="Times New Roman" w:cs="宋体"/>
                      <w:iCs/>
                      <w:color w:val="000000" w:themeColor="text1"/>
                      <w:kern w:val="2"/>
                      <w:sz w:val="21"/>
                      <w:szCs w:val="21"/>
                      <w:highlight w:val="none"/>
                      <w:lang w:bidi="ar"/>
                      <w14:textFill>
                        <w14:solidFill>
                          <w14:schemeClr w14:val="tx1"/>
                        </w14:solidFill>
                      </w14:textFill>
                    </w:rPr>
                    <w:t>序号</w:t>
                  </w:r>
                </w:p>
              </w:tc>
              <w:tc>
                <w:tcPr>
                  <w:tcW w:w="1648" w:type="dxa"/>
                  <w:tcBorders>
                    <w:top w:val="single" w:color="auto" w:sz="12" w:space="0"/>
                    <w:left w:val="single" w:color="auto" w:sz="4" w:space="0"/>
                    <w:bottom w:val="single" w:color="auto" w:sz="4" w:space="0"/>
                    <w:right w:val="single" w:color="auto" w:sz="4" w:space="0"/>
                  </w:tcBorders>
                  <w:shd w:val="clear" w:color="auto" w:fill="auto"/>
                  <w:vAlign w:val="center"/>
                </w:tcPr>
                <w:p w14:paraId="6CEC2A7F">
                  <w:pPr>
                    <w:pStyle w:val="30"/>
                    <w:widowControl w:val="0"/>
                    <w:spacing w:before="0" w:beforeAutospacing="0" w:after="0" w:afterAutospacing="0"/>
                    <w:jc w:val="center"/>
                    <w:rPr>
                      <w:color w:val="000000" w:themeColor="text1"/>
                      <w:sz w:val="21"/>
                      <w:szCs w:val="21"/>
                      <w:highlight w:val="none"/>
                      <w14:textFill>
                        <w14:solidFill>
                          <w14:schemeClr w14:val="tx1"/>
                        </w14:solidFill>
                      </w14:textFill>
                    </w:rPr>
                  </w:pPr>
                  <w:r>
                    <w:rPr>
                      <w:rFonts w:hint="eastAsia" w:ascii="Times New Roman" w:hAnsi="Times New Roman" w:cs="宋体"/>
                      <w:iCs/>
                      <w:color w:val="000000" w:themeColor="text1"/>
                      <w:kern w:val="2"/>
                      <w:sz w:val="21"/>
                      <w:szCs w:val="21"/>
                      <w:highlight w:val="none"/>
                      <w:lang w:bidi="ar"/>
                      <w14:textFill>
                        <w14:solidFill>
                          <w14:schemeClr w14:val="tx1"/>
                        </w14:solidFill>
                      </w14:textFill>
                    </w:rPr>
                    <w:t>情况</w:t>
                  </w:r>
                </w:p>
              </w:tc>
              <w:tc>
                <w:tcPr>
                  <w:tcW w:w="1198" w:type="dxa"/>
                  <w:tcBorders>
                    <w:top w:val="single" w:color="auto" w:sz="12" w:space="0"/>
                    <w:left w:val="single" w:color="auto" w:sz="4" w:space="0"/>
                    <w:bottom w:val="single" w:color="auto" w:sz="4" w:space="0"/>
                    <w:right w:val="single" w:color="auto" w:sz="4" w:space="0"/>
                  </w:tcBorders>
                  <w:shd w:val="clear" w:color="auto" w:fill="auto"/>
                  <w:vAlign w:val="center"/>
                </w:tcPr>
                <w:p w14:paraId="7790EDAA">
                  <w:pPr>
                    <w:pStyle w:val="30"/>
                    <w:widowControl w:val="0"/>
                    <w:spacing w:before="0" w:beforeAutospacing="0" w:after="0" w:afterAutospacing="0"/>
                    <w:jc w:val="center"/>
                    <w:rPr>
                      <w:color w:val="000000" w:themeColor="text1"/>
                      <w:sz w:val="21"/>
                      <w:szCs w:val="21"/>
                      <w:highlight w:val="none"/>
                      <w14:textFill>
                        <w14:solidFill>
                          <w14:schemeClr w14:val="tx1"/>
                        </w14:solidFill>
                      </w14:textFill>
                    </w:rPr>
                  </w:pPr>
                  <w:r>
                    <w:rPr>
                      <w:rFonts w:ascii="Times New Roman" w:hAnsi="Times New Roman"/>
                      <w:iCs/>
                      <w:color w:val="000000" w:themeColor="text1"/>
                      <w:kern w:val="2"/>
                      <w:sz w:val="21"/>
                      <w:szCs w:val="21"/>
                      <w:highlight w:val="none"/>
                      <w:lang w:bidi="ar"/>
                      <w14:textFill>
                        <w14:solidFill>
                          <w14:schemeClr w14:val="tx1"/>
                        </w14:solidFill>
                      </w14:textFill>
                    </w:rPr>
                    <w:t>COD</w:t>
                  </w:r>
                </w:p>
              </w:tc>
              <w:tc>
                <w:tcPr>
                  <w:tcW w:w="1192" w:type="dxa"/>
                  <w:tcBorders>
                    <w:top w:val="single" w:color="auto" w:sz="12" w:space="0"/>
                    <w:left w:val="single" w:color="auto" w:sz="4" w:space="0"/>
                    <w:bottom w:val="single" w:color="auto" w:sz="4" w:space="0"/>
                    <w:right w:val="single" w:color="auto" w:sz="4" w:space="0"/>
                  </w:tcBorders>
                  <w:shd w:val="clear" w:color="auto" w:fill="auto"/>
                  <w:vAlign w:val="center"/>
                </w:tcPr>
                <w:p w14:paraId="36A18DD5">
                  <w:pPr>
                    <w:pStyle w:val="30"/>
                    <w:widowControl w:val="0"/>
                    <w:spacing w:before="0" w:beforeAutospacing="0" w:after="0" w:afterAutospacing="0"/>
                    <w:jc w:val="center"/>
                    <w:rPr>
                      <w:color w:val="000000" w:themeColor="text1"/>
                      <w:sz w:val="21"/>
                      <w:szCs w:val="21"/>
                      <w:highlight w:val="none"/>
                      <w14:textFill>
                        <w14:solidFill>
                          <w14:schemeClr w14:val="tx1"/>
                        </w14:solidFill>
                      </w14:textFill>
                    </w:rPr>
                  </w:pPr>
                  <w:r>
                    <w:rPr>
                      <w:rFonts w:ascii="Times New Roman" w:hAnsi="Times New Roman"/>
                      <w:iCs/>
                      <w:color w:val="000000" w:themeColor="text1"/>
                      <w:kern w:val="2"/>
                      <w:sz w:val="21"/>
                      <w:szCs w:val="21"/>
                      <w:highlight w:val="none"/>
                      <w:lang w:bidi="ar"/>
                      <w14:textFill>
                        <w14:solidFill>
                          <w14:schemeClr w14:val="tx1"/>
                        </w14:solidFill>
                      </w14:textFill>
                    </w:rPr>
                    <w:t>BOD</w:t>
                  </w:r>
                  <w:r>
                    <w:rPr>
                      <w:rFonts w:ascii="Times New Roman" w:hAnsi="Times New Roman"/>
                      <w:iCs/>
                      <w:color w:val="000000" w:themeColor="text1"/>
                      <w:kern w:val="2"/>
                      <w:sz w:val="21"/>
                      <w:szCs w:val="21"/>
                      <w:highlight w:val="none"/>
                      <w:vertAlign w:val="subscript"/>
                      <w:lang w:bidi="ar"/>
                      <w14:textFill>
                        <w14:solidFill>
                          <w14:schemeClr w14:val="tx1"/>
                        </w14:solidFill>
                      </w14:textFill>
                    </w:rPr>
                    <w:t>5</w:t>
                  </w:r>
                </w:p>
              </w:tc>
              <w:tc>
                <w:tcPr>
                  <w:tcW w:w="1203" w:type="dxa"/>
                  <w:tcBorders>
                    <w:top w:val="single" w:color="auto" w:sz="12" w:space="0"/>
                    <w:left w:val="single" w:color="auto" w:sz="4" w:space="0"/>
                    <w:bottom w:val="single" w:color="auto" w:sz="4" w:space="0"/>
                    <w:right w:val="single" w:color="auto" w:sz="4" w:space="0"/>
                  </w:tcBorders>
                  <w:shd w:val="clear" w:color="auto" w:fill="auto"/>
                  <w:tcMar>
                    <w:left w:w="28" w:type="dxa"/>
                    <w:right w:w="28" w:type="dxa"/>
                  </w:tcMar>
                  <w:vAlign w:val="center"/>
                </w:tcPr>
                <w:p w14:paraId="1DF80200">
                  <w:pPr>
                    <w:pStyle w:val="30"/>
                    <w:widowControl w:val="0"/>
                    <w:spacing w:before="0" w:beforeAutospacing="0" w:after="0" w:afterAutospacing="0"/>
                    <w:jc w:val="center"/>
                    <w:rPr>
                      <w:color w:val="000000" w:themeColor="text1"/>
                      <w:sz w:val="21"/>
                      <w:szCs w:val="21"/>
                      <w:highlight w:val="none"/>
                      <w14:textFill>
                        <w14:solidFill>
                          <w14:schemeClr w14:val="tx1"/>
                        </w14:solidFill>
                      </w14:textFill>
                    </w:rPr>
                  </w:pPr>
                  <w:r>
                    <w:rPr>
                      <w:rFonts w:ascii="Times New Roman" w:hAnsi="Times New Roman"/>
                      <w:iCs/>
                      <w:color w:val="000000" w:themeColor="text1"/>
                      <w:kern w:val="2"/>
                      <w:sz w:val="21"/>
                      <w:szCs w:val="21"/>
                      <w:highlight w:val="none"/>
                      <w:lang w:bidi="ar"/>
                      <w14:textFill>
                        <w14:solidFill>
                          <w14:schemeClr w14:val="tx1"/>
                        </w14:solidFill>
                      </w14:textFill>
                    </w:rPr>
                    <w:t>SS</w:t>
                  </w:r>
                </w:p>
              </w:tc>
              <w:tc>
                <w:tcPr>
                  <w:tcW w:w="1344" w:type="dxa"/>
                  <w:tcBorders>
                    <w:top w:val="single" w:color="auto" w:sz="12" w:space="0"/>
                    <w:left w:val="single" w:color="auto" w:sz="4" w:space="0"/>
                    <w:bottom w:val="single" w:color="auto" w:sz="4" w:space="0"/>
                    <w:right w:val="single" w:color="auto" w:sz="4" w:space="0"/>
                  </w:tcBorders>
                  <w:shd w:val="clear" w:color="auto" w:fill="auto"/>
                  <w:vAlign w:val="center"/>
                </w:tcPr>
                <w:p w14:paraId="105B8807">
                  <w:pPr>
                    <w:pStyle w:val="30"/>
                    <w:widowControl w:val="0"/>
                    <w:spacing w:before="0" w:beforeAutospacing="0" w:after="0" w:afterAutospacing="0"/>
                    <w:jc w:val="center"/>
                    <w:rPr>
                      <w:color w:val="000000" w:themeColor="text1"/>
                      <w:sz w:val="21"/>
                      <w:szCs w:val="21"/>
                      <w:highlight w:val="none"/>
                      <w14:textFill>
                        <w14:solidFill>
                          <w14:schemeClr w14:val="tx1"/>
                        </w14:solidFill>
                      </w14:textFill>
                    </w:rPr>
                  </w:pPr>
                  <w:r>
                    <w:rPr>
                      <w:rFonts w:ascii="Times New Roman" w:hAnsi="Times New Roman"/>
                      <w:iCs/>
                      <w:color w:val="000000" w:themeColor="text1"/>
                      <w:kern w:val="2"/>
                      <w:sz w:val="21"/>
                      <w:szCs w:val="21"/>
                      <w:highlight w:val="none"/>
                      <w:lang w:bidi="ar"/>
                      <w14:textFill>
                        <w14:solidFill>
                          <w14:schemeClr w14:val="tx1"/>
                        </w14:solidFill>
                      </w14:textFill>
                    </w:rPr>
                    <w:t>NH</w:t>
                  </w:r>
                  <w:r>
                    <w:rPr>
                      <w:rFonts w:ascii="Times New Roman" w:hAnsi="Times New Roman"/>
                      <w:iCs/>
                      <w:color w:val="000000" w:themeColor="text1"/>
                      <w:kern w:val="2"/>
                      <w:sz w:val="21"/>
                      <w:szCs w:val="21"/>
                      <w:highlight w:val="none"/>
                      <w:vertAlign w:val="subscript"/>
                      <w:lang w:bidi="ar"/>
                      <w14:textFill>
                        <w14:solidFill>
                          <w14:schemeClr w14:val="tx1"/>
                        </w14:solidFill>
                      </w14:textFill>
                    </w:rPr>
                    <w:t>3</w:t>
                  </w:r>
                  <w:r>
                    <w:rPr>
                      <w:rFonts w:ascii="Times New Roman" w:hAnsi="Times New Roman"/>
                      <w:iCs/>
                      <w:color w:val="000000" w:themeColor="text1"/>
                      <w:kern w:val="2"/>
                      <w:sz w:val="21"/>
                      <w:szCs w:val="21"/>
                      <w:highlight w:val="none"/>
                      <w:lang w:bidi="ar"/>
                      <w14:textFill>
                        <w14:solidFill>
                          <w14:schemeClr w14:val="tx1"/>
                        </w14:solidFill>
                      </w14:textFill>
                    </w:rPr>
                    <w:t>-N</w:t>
                  </w:r>
                </w:p>
              </w:tc>
              <w:tc>
                <w:tcPr>
                  <w:tcW w:w="1334" w:type="dxa"/>
                  <w:tcBorders>
                    <w:top w:val="single" w:color="auto" w:sz="12" w:space="0"/>
                    <w:left w:val="single" w:color="auto" w:sz="4" w:space="0"/>
                    <w:bottom w:val="single" w:color="auto" w:sz="4" w:space="0"/>
                    <w:right w:val="nil"/>
                  </w:tcBorders>
                  <w:shd w:val="clear" w:color="auto" w:fill="auto"/>
                  <w:tcMar>
                    <w:left w:w="28" w:type="dxa"/>
                    <w:right w:w="28" w:type="dxa"/>
                  </w:tcMar>
                  <w:vAlign w:val="center"/>
                </w:tcPr>
                <w:p w14:paraId="48D5E2DA">
                  <w:pPr>
                    <w:pStyle w:val="30"/>
                    <w:widowControl w:val="0"/>
                    <w:spacing w:before="0" w:beforeAutospacing="0" w:after="0" w:afterAutospacing="0"/>
                    <w:jc w:val="center"/>
                    <w:rPr>
                      <w:color w:val="000000" w:themeColor="text1"/>
                      <w:sz w:val="21"/>
                      <w:szCs w:val="21"/>
                      <w:highlight w:val="none"/>
                      <w14:textFill>
                        <w14:solidFill>
                          <w14:schemeClr w14:val="tx1"/>
                        </w14:solidFill>
                      </w14:textFill>
                    </w:rPr>
                  </w:pPr>
                  <w:r>
                    <w:rPr>
                      <w:rFonts w:ascii="Times New Roman" w:hAnsi="Times New Roman"/>
                      <w:iCs/>
                      <w:color w:val="000000" w:themeColor="text1"/>
                      <w:kern w:val="2"/>
                      <w:sz w:val="21"/>
                      <w:szCs w:val="21"/>
                      <w:highlight w:val="none"/>
                      <w:lang w:bidi="ar"/>
                      <w14:textFill>
                        <w14:solidFill>
                          <w14:schemeClr w14:val="tx1"/>
                        </w14:solidFill>
                      </w14:textFill>
                    </w:rPr>
                    <w:t>pH</w:t>
                  </w:r>
                </w:p>
              </w:tc>
            </w:tr>
            <w:tr w14:paraId="218E1EE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428" w:hRule="exact"/>
                <w:jc w:val="center"/>
              </w:trPr>
              <w:tc>
                <w:tcPr>
                  <w:tcW w:w="805" w:type="dxa"/>
                  <w:tcBorders>
                    <w:top w:val="single" w:color="auto" w:sz="4" w:space="0"/>
                    <w:left w:val="nil"/>
                    <w:bottom w:val="single" w:color="auto" w:sz="4" w:space="0"/>
                    <w:right w:val="single" w:color="auto" w:sz="4" w:space="0"/>
                  </w:tcBorders>
                  <w:shd w:val="clear" w:color="auto" w:fill="auto"/>
                  <w:vAlign w:val="center"/>
                </w:tcPr>
                <w:p w14:paraId="156BB182">
                  <w:pPr>
                    <w:pStyle w:val="30"/>
                    <w:widowControl w:val="0"/>
                    <w:spacing w:before="0" w:beforeAutospacing="0" w:after="0" w:afterAutospacing="0"/>
                    <w:jc w:val="center"/>
                    <w:rPr>
                      <w:color w:val="000000" w:themeColor="text1"/>
                      <w:sz w:val="21"/>
                      <w:szCs w:val="21"/>
                      <w:highlight w:val="none"/>
                      <w14:textFill>
                        <w14:solidFill>
                          <w14:schemeClr w14:val="tx1"/>
                        </w14:solidFill>
                      </w14:textFill>
                    </w:rPr>
                  </w:pPr>
                  <w:r>
                    <w:rPr>
                      <w:rFonts w:ascii="Times New Roman" w:hAnsi="Times New Roman"/>
                      <w:iCs/>
                      <w:color w:val="000000" w:themeColor="text1"/>
                      <w:kern w:val="2"/>
                      <w:sz w:val="21"/>
                      <w:szCs w:val="21"/>
                      <w:highlight w:val="none"/>
                      <w:lang w:bidi="ar"/>
                      <w14:textFill>
                        <w14:solidFill>
                          <w14:schemeClr w14:val="tx1"/>
                        </w14:solidFill>
                      </w14:textFill>
                    </w:rPr>
                    <w:t>1</w:t>
                  </w:r>
                </w:p>
              </w:tc>
              <w:tc>
                <w:tcPr>
                  <w:tcW w:w="1648" w:type="dxa"/>
                  <w:tcBorders>
                    <w:top w:val="single" w:color="auto" w:sz="4" w:space="0"/>
                    <w:left w:val="single" w:color="auto" w:sz="4" w:space="0"/>
                    <w:bottom w:val="single" w:color="auto" w:sz="4" w:space="0"/>
                    <w:right w:val="single" w:color="auto" w:sz="4" w:space="0"/>
                  </w:tcBorders>
                  <w:shd w:val="clear" w:color="auto" w:fill="auto"/>
                  <w:vAlign w:val="center"/>
                </w:tcPr>
                <w:p w14:paraId="0DAA7A1D">
                  <w:pPr>
                    <w:pStyle w:val="30"/>
                    <w:widowControl w:val="0"/>
                    <w:spacing w:before="0" w:beforeAutospacing="0" w:after="0" w:afterAutospacing="0"/>
                    <w:jc w:val="center"/>
                    <w:rPr>
                      <w:color w:val="000000" w:themeColor="text1"/>
                      <w:sz w:val="21"/>
                      <w:szCs w:val="21"/>
                      <w:highlight w:val="none"/>
                      <w14:textFill>
                        <w14:solidFill>
                          <w14:schemeClr w14:val="tx1"/>
                        </w14:solidFill>
                      </w14:textFill>
                    </w:rPr>
                  </w:pPr>
                  <w:r>
                    <w:rPr>
                      <w:rFonts w:hint="eastAsia" w:ascii="Times New Roman" w:hAnsi="Times New Roman" w:cs="宋体"/>
                      <w:iCs/>
                      <w:color w:val="000000" w:themeColor="text1"/>
                      <w:kern w:val="2"/>
                      <w:sz w:val="21"/>
                      <w:szCs w:val="21"/>
                      <w:highlight w:val="none"/>
                      <w:lang w:bidi="ar"/>
                      <w14:textFill>
                        <w14:solidFill>
                          <w14:schemeClr w14:val="tx1"/>
                        </w14:solidFill>
                      </w14:textFill>
                    </w:rPr>
                    <w:t>进水水质</w:t>
                  </w:r>
                </w:p>
              </w:tc>
              <w:tc>
                <w:tcPr>
                  <w:tcW w:w="1198" w:type="dxa"/>
                  <w:tcBorders>
                    <w:top w:val="single" w:color="auto" w:sz="4" w:space="0"/>
                    <w:left w:val="single" w:color="auto" w:sz="4" w:space="0"/>
                    <w:bottom w:val="single" w:color="auto" w:sz="4" w:space="0"/>
                    <w:right w:val="single" w:color="auto" w:sz="4" w:space="0"/>
                  </w:tcBorders>
                  <w:shd w:val="clear" w:color="auto" w:fill="auto"/>
                  <w:vAlign w:val="center"/>
                </w:tcPr>
                <w:p w14:paraId="2E2ABFA9">
                  <w:pPr>
                    <w:pStyle w:val="30"/>
                    <w:widowControl w:val="0"/>
                    <w:spacing w:before="0" w:beforeAutospacing="0" w:after="0" w:afterAutospacing="0"/>
                    <w:jc w:val="center"/>
                    <w:rPr>
                      <w:color w:val="000000" w:themeColor="text1"/>
                      <w:sz w:val="21"/>
                      <w:szCs w:val="21"/>
                      <w:highlight w:val="none"/>
                      <w14:textFill>
                        <w14:solidFill>
                          <w14:schemeClr w14:val="tx1"/>
                        </w14:solidFill>
                      </w14:textFill>
                    </w:rPr>
                  </w:pPr>
                  <w:r>
                    <w:rPr>
                      <w:rFonts w:ascii="Times New Roman" w:hAnsi="Times New Roman" w:cs="Microsoft JhengHei"/>
                      <w:iCs/>
                      <w:color w:val="000000" w:themeColor="text1"/>
                      <w:sz w:val="21"/>
                      <w:szCs w:val="21"/>
                      <w:highlight w:val="none"/>
                      <w:lang w:bidi="ar"/>
                      <w14:textFill>
                        <w14:solidFill>
                          <w14:schemeClr w14:val="tx1"/>
                        </w14:solidFill>
                      </w14:textFill>
                    </w:rPr>
                    <w:t>≤</w:t>
                  </w:r>
                  <w:r>
                    <w:rPr>
                      <w:rFonts w:ascii="Times New Roman" w:hAnsi="Times New Roman"/>
                      <w:iCs/>
                      <w:color w:val="000000" w:themeColor="text1"/>
                      <w:kern w:val="2"/>
                      <w:sz w:val="21"/>
                      <w:szCs w:val="21"/>
                      <w:highlight w:val="none"/>
                      <w:lang w:bidi="ar"/>
                      <w14:textFill>
                        <w14:solidFill>
                          <w14:schemeClr w14:val="tx1"/>
                        </w14:solidFill>
                      </w14:textFill>
                    </w:rPr>
                    <w:t>500</w:t>
                  </w:r>
                </w:p>
              </w:tc>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14:paraId="75E13399">
                  <w:pPr>
                    <w:pStyle w:val="30"/>
                    <w:widowControl w:val="0"/>
                    <w:spacing w:before="0" w:beforeAutospacing="0" w:after="0" w:afterAutospacing="0"/>
                    <w:jc w:val="center"/>
                    <w:rPr>
                      <w:rFonts w:hint="default" w:eastAsia="宋体"/>
                      <w:color w:val="000000" w:themeColor="text1"/>
                      <w:sz w:val="21"/>
                      <w:szCs w:val="21"/>
                      <w:highlight w:val="none"/>
                      <w:lang w:val="en-US" w:eastAsia="zh-CN"/>
                      <w14:textFill>
                        <w14:solidFill>
                          <w14:schemeClr w14:val="tx1"/>
                        </w14:solidFill>
                      </w14:textFill>
                    </w:rPr>
                  </w:pPr>
                  <w:r>
                    <w:rPr>
                      <w:rFonts w:ascii="Times New Roman" w:hAnsi="Times New Roman" w:cs="Microsoft JhengHei"/>
                      <w:iCs/>
                      <w:color w:val="000000" w:themeColor="text1"/>
                      <w:sz w:val="21"/>
                      <w:szCs w:val="21"/>
                      <w:highlight w:val="none"/>
                      <w:lang w:bidi="ar"/>
                      <w14:textFill>
                        <w14:solidFill>
                          <w14:schemeClr w14:val="tx1"/>
                        </w14:solidFill>
                      </w14:textFill>
                    </w:rPr>
                    <w:t>≤</w:t>
                  </w:r>
                  <w:r>
                    <w:rPr>
                      <w:rFonts w:hint="eastAsia"/>
                      <w:iCs/>
                      <w:color w:val="000000" w:themeColor="text1"/>
                      <w:kern w:val="2"/>
                      <w:sz w:val="21"/>
                      <w:szCs w:val="21"/>
                      <w:highlight w:val="none"/>
                      <w:lang w:val="en-US" w:eastAsia="zh-CN" w:bidi="ar"/>
                      <w14:textFill>
                        <w14:solidFill>
                          <w14:schemeClr w14:val="tx1"/>
                        </w14:solidFill>
                      </w14:textFill>
                    </w:rPr>
                    <w:t>300</w:t>
                  </w:r>
                </w:p>
              </w:tc>
              <w:tc>
                <w:tcPr>
                  <w:tcW w:w="1203"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3333F2F">
                  <w:pPr>
                    <w:pStyle w:val="30"/>
                    <w:widowControl w:val="0"/>
                    <w:spacing w:before="0" w:beforeAutospacing="0" w:after="0" w:afterAutospacing="0"/>
                    <w:jc w:val="center"/>
                    <w:rPr>
                      <w:rFonts w:hint="default" w:eastAsia="宋体"/>
                      <w:color w:val="000000" w:themeColor="text1"/>
                      <w:sz w:val="21"/>
                      <w:szCs w:val="21"/>
                      <w:highlight w:val="none"/>
                      <w:lang w:val="en-US" w:eastAsia="zh-CN"/>
                      <w14:textFill>
                        <w14:solidFill>
                          <w14:schemeClr w14:val="tx1"/>
                        </w14:solidFill>
                      </w14:textFill>
                    </w:rPr>
                  </w:pPr>
                  <w:r>
                    <w:rPr>
                      <w:rFonts w:ascii="Times New Roman" w:hAnsi="Times New Roman" w:cs="Microsoft JhengHei"/>
                      <w:iCs/>
                      <w:color w:val="000000" w:themeColor="text1"/>
                      <w:sz w:val="21"/>
                      <w:szCs w:val="21"/>
                      <w:highlight w:val="none"/>
                      <w:lang w:bidi="ar"/>
                      <w14:textFill>
                        <w14:solidFill>
                          <w14:schemeClr w14:val="tx1"/>
                        </w14:solidFill>
                      </w14:textFill>
                    </w:rPr>
                    <w:t>≤</w:t>
                  </w:r>
                  <w:r>
                    <w:rPr>
                      <w:rFonts w:hint="eastAsia"/>
                      <w:iCs/>
                      <w:color w:val="000000" w:themeColor="text1"/>
                      <w:kern w:val="2"/>
                      <w:sz w:val="21"/>
                      <w:szCs w:val="21"/>
                      <w:highlight w:val="none"/>
                      <w:lang w:val="en-US" w:eastAsia="zh-CN" w:bidi="ar"/>
                      <w14:textFill>
                        <w14:solidFill>
                          <w14:schemeClr w14:val="tx1"/>
                        </w14:solidFill>
                      </w14:textFill>
                    </w:rPr>
                    <w:t>400</w:t>
                  </w:r>
                </w:p>
              </w:tc>
              <w:tc>
                <w:tcPr>
                  <w:tcW w:w="1344" w:type="dxa"/>
                  <w:tcBorders>
                    <w:top w:val="single" w:color="auto" w:sz="4" w:space="0"/>
                    <w:left w:val="single" w:color="auto" w:sz="4" w:space="0"/>
                    <w:bottom w:val="single" w:color="auto" w:sz="4" w:space="0"/>
                    <w:right w:val="single" w:color="auto" w:sz="4" w:space="0"/>
                  </w:tcBorders>
                  <w:shd w:val="clear" w:color="auto" w:fill="auto"/>
                  <w:vAlign w:val="center"/>
                </w:tcPr>
                <w:p w14:paraId="021BA0D2">
                  <w:pPr>
                    <w:pStyle w:val="30"/>
                    <w:widowControl w:val="0"/>
                    <w:spacing w:before="0" w:beforeAutospacing="0" w:after="0" w:afterAutospacing="0"/>
                    <w:jc w:val="center"/>
                    <w:rPr>
                      <w:rFonts w:hint="default" w:eastAsia="宋体"/>
                      <w:color w:val="000000" w:themeColor="text1"/>
                      <w:sz w:val="21"/>
                      <w:szCs w:val="21"/>
                      <w:highlight w:val="none"/>
                      <w:lang w:val="en-US" w:eastAsia="zh-CN"/>
                      <w14:textFill>
                        <w14:solidFill>
                          <w14:schemeClr w14:val="tx1"/>
                        </w14:solidFill>
                      </w14:textFill>
                    </w:rPr>
                  </w:pPr>
                  <w:r>
                    <w:rPr>
                      <w:rFonts w:ascii="Times New Roman" w:hAnsi="Times New Roman" w:cs="Microsoft JhengHei"/>
                      <w:iCs/>
                      <w:color w:val="000000" w:themeColor="text1"/>
                      <w:sz w:val="21"/>
                      <w:szCs w:val="21"/>
                      <w:highlight w:val="none"/>
                      <w:lang w:bidi="ar"/>
                      <w14:textFill>
                        <w14:solidFill>
                          <w14:schemeClr w14:val="tx1"/>
                        </w14:solidFill>
                      </w14:textFill>
                    </w:rPr>
                    <w:t>≤</w:t>
                  </w:r>
                  <w:r>
                    <w:rPr>
                      <w:rFonts w:hint="eastAsia"/>
                      <w:iCs/>
                      <w:color w:val="000000" w:themeColor="text1"/>
                      <w:kern w:val="2"/>
                      <w:sz w:val="21"/>
                      <w:szCs w:val="21"/>
                      <w:highlight w:val="none"/>
                      <w:lang w:val="en-US" w:eastAsia="zh-CN" w:bidi="ar"/>
                      <w14:textFill>
                        <w14:solidFill>
                          <w14:schemeClr w14:val="tx1"/>
                        </w14:solidFill>
                      </w14:textFill>
                    </w:rPr>
                    <w:t>45</w:t>
                  </w:r>
                </w:p>
              </w:tc>
              <w:tc>
                <w:tcPr>
                  <w:tcW w:w="1334" w:type="dxa"/>
                  <w:tcBorders>
                    <w:top w:val="single" w:color="auto" w:sz="4" w:space="0"/>
                    <w:left w:val="single" w:color="auto" w:sz="4" w:space="0"/>
                    <w:bottom w:val="single" w:color="auto" w:sz="4" w:space="0"/>
                    <w:right w:val="nil"/>
                  </w:tcBorders>
                  <w:shd w:val="clear" w:color="auto" w:fill="auto"/>
                  <w:tcMar>
                    <w:left w:w="28" w:type="dxa"/>
                    <w:right w:w="28" w:type="dxa"/>
                  </w:tcMar>
                  <w:vAlign w:val="center"/>
                </w:tcPr>
                <w:p w14:paraId="493EF27C">
                  <w:pPr>
                    <w:pStyle w:val="30"/>
                    <w:widowControl w:val="0"/>
                    <w:spacing w:before="0" w:beforeAutospacing="0" w:after="0" w:afterAutospacing="0"/>
                    <w:jc w:val="center"/>
                    <w:rPr>
                      <w:color w:val="000000" w:themeColor="text1"/>
                      <w:sz w:val="21"/>
                      <w:szCs w:val="21"/>
                      <w:highlight w:val="none"/>
                      <w14:textFill>
                        <w14:solidFill>
                          <w14:schemeClr w14:val="tx1"/>
                        </w14:solidFill>
                      </w14:textFill>
                    </w:rPr>
                  </w:pPr>
                  <w:r>
                    <w:rPr>
                      <w:rFonts w:ascii="Times New Roman" w:hAnsi="Times New Roman"/>
                      <w:iCs/>
                      <w:color w:val="000000" w:themeColor="text1"/>
                      <w:kern w:val="2"/>
                      <w:sz w:val="21"/>
                      <w:szCs w:val="21"/>
                      <w:highlight w:val="none"/>
                      <w:lang w:bidi="ar"/>
                      <w14:textFill>
                        <w14:solidFill>
                          <w14:schemeClr w14:val="tx1"/>
                        </w14:solidFill>
                      </w14:textFill>
                    </w:rPr>
                    <w:t>6~9</w:t>
                  </w:r>
                </w:p>
              </w:tc>
            </w:tr>
            <w:tr w14:paraId="002B6DF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805" w:type="dxa"/>
                  <w:tcBorders>
                    <w:top w:val="single" w:color="auto" w:sz="4" w:space="0"/>
                    <w:left w:val="nil"/>
                    <w:bottom w:val="single" w:color="auto" w:sz="12" w:space="0"/>
                    <w:right w:val="single" w:color="auto" w:sz="4" w:space="0"/>
                  </w:tcBorders>
                  <w:shd w:val="clear" w:color="auto" w:fill="auto"/>
                  <w:vAlign w:val="center"/>
                </w:tcPr>
                <w:p w14:paraId="1B09D14B">
                  <w:pPr>
                    <w:pStyle w:val="30"/>
                    <w:widowControl w:val="0"/>
                    <w:spacing w:before="0" w:beforeAutospacing="0" w:after="0" w:afterAutospacing="0"/>
                    <w:jc w:val="center"/>
                    <w:rPr>
                      <w:rFonts w:hint="eastAsia" w:eastAsia="宋体"/>
                      <w:color w:val="000000" w:themeColor="text1"/>
                      <w:sz w:val="21"/>
                      <w:szCs w:val="21"/>
                      <w:highlight w:val="none"/>
                      <w:lang w:eastAsia="zh-CN"/>
                      <w14:textFill>
                        <w14:solidFill>
                          <w14:schemeClr w14:val="tx1"/>
                        </w14:solidFill>
                      </w14:textFill>
                    </w:rPr>
                  </w:pPr>
                  <w:r>
                    <w:rPr>
                      <w:rFonts w:hint="eastAsia"/>
                      <w:iCs/>
                      <w:color w:val="000000" w:themeColor="text1"/>
                      <w:kern w:val="2"/>
                      <w:sz w:val="21"/>
                      <w:szCs w:val="21"/>
                      <w:highlight w:val="none"/>
                      <w:lang w:val="en-US" w:eastAsia="zh-CN" w:bidi="ar"/>
                      <w14:textFill>
                        <w14:solidFill>
                          <w14:schemeClr w14:val="tx1"/>
                        </w14:solidFill>
                      </w14:textFill>
                    </w:rPr>
                    <w:t>2</w:t>
                  </w:r>
                </w:p>
              </w:tc>
              <w:tc>
                <w:tcPr>
                  <w:tcW w:w="1648" w:type="dxa"/>
                  <w:tcBorders>
                    <w:top w:val="single" w:color="auto" w:sz="4" w:space="0"/>
                    <w:left w:val="single" w:color="auto" w:sz="4" w:space="0"/>
                    <w:bottom w:val="single" w:color="auto" w:sz="12" w:space="0"/>
                    <w:right w:val="single" w:color="auto" w:sz="4" w:space="0"/>
                  </w:tcBorders>
                  <w:shd w:val="clear" w:color="auto" w:fill="auto"/>
                  <w:vAlign w:val="center"/>
                </w:tcPr>
                <w:p w14:paraId="600C13BC">
                  <w:pPr>
                    <w:pStyle w:val="30"/>
                    <w:widowControl w:val="0"/>
                    <w:spacing w:before="0" w:beforeAutospacing="0" w:after="0" w:afterAutospacing="0"/>
                    <w:jc w:val="center"/>
                    <w:rPr>
                      <w:color w:val="000000" w:themeColor="text1"/>
                      <w:sz w:val="21"/>
                      <w:szCs w:val="21"/>
                      <w:highlight w:val="none"/>
                      <w14:textFill>
                        <w14:solidFill>
                          <w14:schemeClr w14:val="tx1"/>
                        </w14:solidFill>
                      </w14:textFill>
                    </w:rPr>
                  </w:pPr>
                  <w:r>
                    <w:rPr>
                      <w:rFonts w:hint="eastAsia" w:ascii="Times New Roman" w:hAnsi="Times New Roman" w:cs="宋体"/>
                      <w:iCs/>
                      <w:color w:val="000000" w:themeColor="text1"/>
                      <w:kern w:val="2"/>
                      <w:sz w:val="21"/>
                      <w:szCs w:val="21"/>
                      <w:highlight w:val="none"/>
                      <w:lang w:bidi="ar"/>
                      <w14:textFill>
                        <w14:solidFill>
                          <w14:schemeClr w14:val="tx1"/>
                        </w14:solidFill>
                      </w14:textFill>
                    </w:rPr>
                    <w:t>出水水质</w:t>
                  </w:r>
                </w:p>
              </w:tc>
              <w:tc>
                <w:tcPr>
                  <w:tcW w:w="1198" w:type="dxa"/>
                  <w:tcBorders>
                    <w:top w:val="single" w:color="auto" w:sz="4" w:space="0"/>
                    <w:left w:val="single" w:color="auto" w:sz="4" w:space="0"/>
                    <w:bottom w:val="single" w:color="auto" w:sz="12" w:space="0"/>
                    <w:right w:val="single" w:color="auto" w:sz="4" w:space="0"/>
                  </w:tcBorders>
                  <w:shd w:val="clear" w:color="auto" w:fill="auto"/>
                  <w:vAlign w:val="center"/>
                </w:tcPr>
                <w:p w14:paraId="731CE6D8">
                  <w:pPr>
                    <w:pStyle w:val="30"/>
                    <w:widowControl w:val="0"/>
                    <w:spacing w:before="0" w:beforeAutospacing="0" w:after="0" w:afterAutospacing="0"/>
                    <w:jc w:val="center"/>
                    <w:rPr>
                      <w:rFonts w:hint="default"/>
                      <w:color w:val="000000" w:themeColor="text1"/>
                      <w:sz w:val="21"/>
                      <w:szCs w:val="21"/>
                      <w:highlight w:val="none"/>
                      <w:lang w:val="en-US"/>
                      <w14:textFill>
                        <w14:solidFill>
                          <w14:schemeClr w14:val="tx1"/>
                        </w14:solidFill>
                      </w14:textFill>
                    </w:rPr>
                  </w:pPr>
                  <w:r>
                    <w:rPr>
                      <w:rFonts w:ascii="Times New Roman" w:hAnsi="Times New Roman" w:cs="Microsoft JhengHei"/>
                      <w:iCs/>
                      <w:color w:val="000000" w:themeColor="text1"/>
                      <w:sz w:val="21"/>
                      <w:szCs w:val="21"/>
                      <w:highlight w:val="none"/>
                      <w:lang w:bidi="ar"/>
                      <w14:textFill>
                        <w14:solidFill>
                          <w14:schemeClr w14:val="tx1"/>
                        </w14:solidFill>
                      </w14:textFill>
                    </w:rPr>
                    <w:t>≤</w:t>
                  </w:r>
                  <w:r>
                    <w:rPr>
                      <w:rFonts w:hint="eastAsia"/>
                      <w:iCs/>
                      <w:color w:val="000000" w:themeColor="text1"/>
                      <w:kern w:val="2"/>
                      <w:sz w:val="21"/>
                      <w:szCs w:val="21"/>
                      <w:highlight w:val="none"/>
                      <w:lang w:val="en-US" w:eastAsia="zh-CN" w:bidi="ar"/>
                      <w14:textFill>
                        <w14:solidFill>
                          <w14:schemeClr w14:val="tx1"/>
                        </w14:solidFill>
                      </w14:textFill>
                    </w:rPr>
                    <w:t>60</w:t>
                  </w:r>
                </w:p>
              </w:tc>
              <w:tc>
                <w:tcPr>
                  <w:tcW w:w="1192" w:type="dxa"/>
                  <w:tcBorders>
                    <w:top w:val="single" w:color="auto" w:sz="4" w:space="0"/>
                    <w:left w:val="single" w:color="auto" w:sz="4" w:space="0"/>
                    <w:bottom w:val="single" w:color="auto" w:sz="12" w:space="0"/>
                    <w:right w:val="single" w:color="auto" w:sz="4" w:space="0"/>
                  </w:tcBorders>
                  <w:shd w:val="clear" w:color="auto" w:fill="auto"/>
                  <w:vAlign w:val="center"/>
                </w:tcPr>
                <w:p w14:paraId="5FA062CF">
                  <w:pPr>
                    <w:pStyle w:val="30"/>
                    <w:widowControl w:val="0"/>
                    <w:spacing w:before="0" w:beforeAutospacing="0" w:after="0" w:afterAutospacing="0"/>
                    <w:jc w:val="center"/>
                    <w:rPr>
                      <w:rFonts w:hint="default"/>
                      <w:color w:val="000000" w:themeColor="text1"/>
                      <w:sz w:val="21"/>
                      <w:szCs w:val="21"/>
                      <w:highlight w:val="none"/>
                      <w:lang w:val="en-US"/>
                      <w14:textFill>
                        <w14:solidFill>
                          <w14:schemeClr w14:val="tx1"/>
                        </w14:solidFill>
                      </w14:textFill>
                    </w:rPr>
                  </w:pPr>
                  <w:r>
                    <w:rPr>
                      <w:rFonts w:ascii="Times New Roman" w:hAnsi="Times New Roman" w:cs="Microsoft JhengHei"/>
                      <w:iCs/>
                      <w:color w:val="000000" w:themeColor="text1"/>
                      <w:sz w:val="21"/>
                      <w:szCs w:val="21"/>
                      <w:highlight w:val="none"/>
                      <w:lang w:bidi="ar"/>
                      <w14:textFill>
                        <w14:solidFill>
                          <w14:schemeClr w14:val="tx1"/>
                        </w14:solidFill>
                      </w14:textFill>
                    </w:rPr>
                    <w:t>≤</w:t>
                  </w:r>
                  <w:r>
                    <w:rPr>
                      <w:rFonts w:hint="eastAsia"/>
                      <w:iCs/>
                      <w:color w:val="000000" w:themeColor="text1"/>
                      <w:kern w:val="2"/>
                      <w:sz w:val="21"/>
                      <w:szCs w:val="21"/>
                      <w:highlight w:val="none"/>
                      <w:lang w:val="en-US" w:eastAsia="zh-CN" w:bidi="ar"/>
                      <w14:textFill>
                        <w14:solidFill>
                          <w14:schemeClr w14:val="tx1"/>
                        </w14:solidFill>
                      </w14:textFill>
                    </w:rPr>
                    <w:t>20</w:t>
                  </w:r>
                </w:p>
              </w:tc>
              <w:tc>
                <w:tcPr>
                  <w:tcW w:w="1203" w:type="dxa"/>
                  <w:tcBorders>
                    <w:top w:val="single" w:color="auto" w:sz="4" w:space="0"/>
                    <w:left w:val="single" w:color="auto" w:sz="4" w:space="0"/>
                    <w:bottom w:val="single" w:color="auto" w:sz="12" w:space="0"/>
                    <w:right w:val="single" w:color="auto" w:sz="4" w:space="0"/>
                  </w:tcBorders>
                  <w:shd w:val="clear" w:color="auto" w:fill="auto"/>
                  <w:tcMar>
                    <w:left w:w="28" w:type="dxa"/>
                    <w:right w:w="28" w:type="dxa"/>
                  </w:tcMar>
                  <w:vAlign w:val="center"/>
                </w:tcPr>
                <w:p w14:paraId="67E7E794">
                  <w:pPr>
                    <w:pStyle w:val="30"/>
                    <w:widowControl w:val="0"/>
                    <w:spacing w:before="0" w:beforeAutospacing="0" w:after="0" w:afterAutospacing="0"/>
                    <w:jc w:val="center"/>
                    <w:rPr>
                      <w:rFonts w:hint="default"/>
                      <w:color w:val="000000" w:themeColor="text1"/>
                      <w:sz w:val="21"/>
                      <w:szCs w:val="21"/>
                      <w:highlight w:val="none"/>
                      <w:lang w:val="en-US"/>
                      <w14:textFill>
                        <w14:solidFill>
                          <w14:schemeClr w14:val="tx1"/>
                        </w14:solidFill>
                      </w14:textFill>
                    </w:rPr>
                  </w:pPr>
                  <w:r>
                    <w:rPr>
                      <w:rFonts w:ascii="Times New Roman" w:hAnsi="Times New Roman" w:cs="Microsoft JhengHei"/>
                      <w:iCs/>
                      <w:color w:val="000000" w:themeColor="text1"/>
                      <w:sz w:val="21"/>
                      <w:szCs w:val="21"/>
                      <w:highlight w:val="none"/>
                      <w:lang w:bidi="ar"/>
                      <w14:textFill>
                        <w14:solidFill>
                          <w14:schemeClr w14:val="tx1"/>
                        </w14:solidFill>
                      </w14:textFill>
                    </w:rPr>
                    <w:t>≤</w:t>
                  </w:r>
                  <w:r>
                    <w:rPr>
                      <w:rFonts w:hint="eastAsia"/>
                      <w:iCs/>
                      <w:color w:val="000000" w:themeColor="text1"/>
                      <w:kern w:val="2"/>
                      <w:sz w:val="21"/>
                      <w:szCs w:val="21"/>
                      <w:highlight w:val="none"/>
                      <w:lang w:val="en-US" w:eastAsia="zh-CN" w:bidi="ar"/>
                      <w14:textFill>
                        <w14:solidFill>
                          <w14:schemeClr w14:val="tx1"/>
                        </w14:solidFill>
                      </w14:textFill>
                    </w:rPr>
                    <w:t>20</w:t>
                  </w:r>
                </w:p>
              </w:tc>
              <w:tc>
                <w:tcPr>
                  <w:tcW w:w="1344" w:type="dxa"/>
                  <w:tcBorders>
                    <w:top w:val="single" w:color="auto" w:sz="4" w:space="0"/>
                    <w:left w:val="single" w:color="auto" w:sz="4" w:space="0"/>
                    <w:bottom w:val="single" w:color="auto" w:sz="12" w:space="0"/>
                    <w:right w:val="single" w:color="auto" w:sz="4" w:space="0"/>
                  </w:tcBorders>
                  <w:shd w:val="clear" w:color="auto" w:fill="auto"/>
                  <w:vAlign w:val="center"/>
                </w:tcPr>
                <w:p w14:paraId="328C0526">
                  <w:pPr>
                    <w:pStyle w:val="30"/>
                    <w:widowControl w:val="0"/>
                    <w:spacing w:before="0" w:beforeAutospacing="0" w:after="0" w:afterAutospacing="0"/>
                    <w:jc w:val="center"/>
                    <w:rPr>
                      <w:rFonts w:hint="eastAsia" w:eastAsia="宋体"/>
                      <w:color w:val="000000" w:themeColor="text1"/>
                      <w:sz w:val="21"/>
                      <w:szCs w:val="21"/>
                      <w:highlight w:val="none"/>
                      <w:lang w:eastAsia="zh-CN"/>
                      <w14:textFill>
                        <w14:solidFill>
                          <w14:schemeClr w14:val="tx1"/>
                        </w14:solidFill>
                      </w14:textFill>
                    </w:rPr>
                  </w:pPr>
                  <w:r>
                    <w:rPr>
                      <w:rFonts w:ascii="Times New Roman" w:hAnsi="Times New Roman" w:cs="Microsoft JhengHei"/>
                      <w:iCs/>
                      <w:color w:val="000000" w:themeColor="text1"/>
                      <w:sz w:val="21"/>
                      <w:szCs w:val="21"/>
                      <w:highlight w:val="none"/>
                      <w:lang w:bidi="ar"/>
                      <w14:textFill>
                        <w14:solidFill>
                          <w14:schemeClr w14:val="tx1"/>
                        </w14:solidFill>
                      </w14:textFill>
                    </w:rPr>
                    <w:t>≤</w:t>
                  </w:r>
                  <w:r>
                    <w:rPr>
                      <w:rFonts w:hint="eastAsia"/>
                      <w:iCs/>
                      <w:color w:val="000000" w:themeColor="text1"/>
                      <w:kern w:val="2"/>
                      <w:sz w:val="21"/>
                      <w:szCs w:val="21"/>
                      <w:highlight w:val="none"/>
                      <w:lang w:val="en-US" w:eastAsia="zh-CN" w:bidi="ar"/>
                      <w14:textFill>
                        <w14:solidFill>
                          <w14:schemeClr w14:val="tx1"/>
                        </w14:solidFill>
                      </w14:textFill>
                    </w:rPr>
                    <w:t>8</w:t>
                  </w:r>
                </w:p>
              </w:tc>
              <w:tc>
                <w:tcPr>
                  <w:tcW w:w="1334" w:type="dxa"/>
                  <w:tcBorders>
                    <w:top w:val="single" w:color="auto" w:sz="4" w:space="0"/>
                    <w:left w:val="single" w:color="auto" w:sz="4" w:space="0"/>
                    <w:bottom w:val="single" w:color="auto" w:sz="12" w:space="0"/>
                    <w:right w:val="nil"/>
                  </w:tcBorders>
                  <w:shd w:val="clear" w:color="auto" w:fill="auto"/>
                  <w:tcMar>
                    <w:left w:w="28" w:type="dxa"/>
                    <w:right w:w="28" w:type="dxa"/>
                  </w:tcMar>
                  <w:vAlign w:val="center"/>
                </w:tcPr>
                <w:p w14:paraId="4145950C">
                  <w:pPr>
                    <w:pStyle w:val="30"/>
                    <w:widowControl w:val="0"/>
                    <w:spacing w:before="0" w:beforeAutospacing="0" w:after="0" w:afterAutospacing="0"/>
                    <w:jc w:val="center"/>
                    <w:rPr>
                      <w:color w:val="000000" w:themeColor="text1"/>
                      <w:sz w:val="21"/>
                      <w:szCs w:val="21"/>
                      <w:highlight w:val="none"/>
                      <w14:textFill>
                        <w14:solidFill>
                          <w14:schemeClr w14:val="tx1"/>
                        </w14:solidFill>
                      </w14:textFill>
                    </w:rPr>
                  </w:pPr>
                  <w:r>
                    <w:rPr>
                      <w:rFonts w:ascii="Times New Roman" w:hAnsi="Times New Roman"/>
                      <w:iCs/>
                      <w:color w:val="000000" w:themeColor="text1"/>
                      <w:kern w:val="2"/>
                      <w:sz w:val="21"/>
                      <w:szCs w:val="21"/>
                      <w:highlight w:val="none"/>
                      <w:lang w:bidi="ar"/>
                      <w14:textFill>
                        <w14:solidFill>
                          <w14:schemeClr w14:val="tx1"/>
                        </w14:solidFill>
                      </w14:textFill>
                    </w:rPr>
                    <w:t>6~9</w:t>
                  </w:r>
                </w:p>
              </w:tc>
            </w:tr>
          </w:tbl>
          <w:p w14:paraId="49C913EA">
            <w:pPr>
              <w:pStyle w:val="44"/>
              <w:ind w:firstLine="480"/>
              <w:rPr>
                <w:rFonts w:ascii="宋体" w:hAnsi="宋体" w:cs="宋体"/>
                <w:color w:val="000000" w:themeColor="text1"/>
                <w:sz w:val="24"/>
                <w:szCs w:val="22"/>
                <w:highlight w:val="none"/>
                <w:lang w:bidi="ar"/>
                <w14:textFill>
                  <w14:solidFill>
                    <w14:schemeClr w14:val="tx1"/>
                  </w14:solidFill>
                </w14:textFill>
              </w:rPr>
            </w:pPr>
            <w:r>
              <w:rPr>
                <w:color w:val="000000" w:themeColor="text1"/>
                <w:highlight w:val="none"/>
                <w14:textFill>
                  <w14:solidFill>
                    <w14:schemeClr w14:val="tx1"/>
                  </w14:solidFill>
                </w14:textFill>
              </w:rPr>
              <w:t>本项目生活污水污染物成分简单，可生化性高，经化粪池处理后可达《污水综合排放标准》（GB8978-1996）表4三级标准</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水质能够满足</w:t>
            </w:r>
            <w:r>
              <w:rPr>
                <w:rFonts w:hint="eastAsia"/>
                <w:color w:val="000000" w:themeColor="text1"/>
                <w:highlight w:val="none"/>
                <w:lang w:eastAsia="zh-CN"/>
                <w14:textFill>
                  <w14:solidFill>
                    <w14:schemeClr w14:val="tx1"/>
                  </w14:solidFill>
                </w14:textFill>
              </w:rPr>
              <w:t>闽清县白金工业园区污水处理厂</w:t>
            </w:r>
            <w:r>
              <w:rPr>
                <w:color w:val="000000" w:themeColor="text1"/>
                <w:highlight w:val="none"/>
                <w14:textFill>
                  <w14:solidFill>
                    <w14:schemeClr w14:val="tx1"/>
                  </w14:solidFill>
                </w14:textFill>
              </w:rPr>
              <w:t>的接管标准，不会对</w:t>
            </w:r>
            <w:r>
              <w:rPr>
                <w:rFonts w:hint="eastAsia"/>
                <w:color w:val="000000" w:themeColor="text1"/>
                <w:highlight w:val="none"/>
                <w:lang w:eastAsia="zh-CN"/>
                <w14:textFill>
                  <w14:solidFill>
                    <w14:schemeClr w14:val="tx1"/>
                  </w14:solidFill>
                </w14:textFill>
              </w:rPr>
              <w:t>闽清县白金工业园区污水处理厂</w:t>
            </w:r>
            <w:r>
              <w:rPr>
                <w:color w:val="000000" w:themeColor="text1"/>
                <w:highlight w:val="none"/>
                <w14:textFill>
                  <w14:solidFill>
                    <w14:schemeClr w14:val="tx1"/>
                  </w14:solidFill>
                </w14:textFill>
              </w:rPr>
              <w:t>负荷和处理工艺</w:t>
            </w:r>
            <w:r>
              <w:rPr>
                <w:rFonts w:hint="eastAsia"/>
                <w:color w:val="000000" w:themeColor="text1"/>
                <w:highlight w:val="none"/>
                <w14:textFill>
                  <w14:solidFill>
                    <w14:schemeClr w14:val="tx1"/>
                  </w14:solidFill>
                </w14:textFill>
              </w:rPr>
              <w:t>造成</w:t>
            </w:r>
            <w:r>
              <w:rPr>
                <w:color w:val="000000" w:themeColor="text1"/>
                <w:highlight w:val="none"/>
                <w14:textFill>
                  <w14:solidFill>
                    <w14:schemeClr w14:val="tx1"/>
                  </w14:solidFill>
                </w14:textFill>
              </w:rPr>
              <w:t>影响</w:t>
            </w:r>
            <w:r>
              <w:rPr>
                <w:rFonts w:hint="eastAsia"/>
                <w:color w:val="000000" w:themeColor="text1"/>
                <w:highlight w:val="none"/>
                <w14:textFill>
                  <w14:solidFill>
                    <w14:schemeClr w14:val="tx1"/>
                  </w14:solidFill>
                </w14:textFill>
              </w:rPr>
              <w:t>。</w:t>
            </w:r>
            <w:bookmarkEnd w:id="52"/>
            <w:r>
              <w:rPr>
                <w:rFonts w:hint="eastAsia" w:ascii="宋体" w:hAnsi="宋体" w:cs="宋体"/>
                <w:color w:val="000000" w:themeColor="text1"/>
                <w:sz w:val="24"/>
                <w:szCs w:val="22"/>
                <w:highlight w:val="none"/>
                <w:lang w:bidi="ar"/>
                <w14:textFill>
                  <w14:solidFill>
                    <w14:schemeClr w14:val="tx1"/>
                  </w14:solidFill>
                </w14:textFill>
              </w:rPr>
              <w:t>因此，本项目</w:t>
            </w:r>
            <w:r>
              <w:rPr>
                <w:rFonts w:hint="eastAsia" w:ascii="宋体" w:hAnsi="宋体" w:cs="宋体"/>
                <w:color w:val="000000" w:themeColor="text1"/>
                <w:sz w:val="24"/>
                <w:szCs w:val="22"/>
                <w:highlight w:val="none"/>
                <w:lang w:val="en-US" w:eastAsia="zh-CN" w:bidi="ar"/>
                <w14:textFill>
                  <w14:solidFill>
                    <w14:schemeClr w14:val="tx1"/>
                  </w14:solidFill>
                </w14:textFill>
              </w:rPr>
              <w:t>生活污水经化粪池处理达标后尾水</w:t>
            </w:r>
            <w:r>
              <w:rPr>
                <w:rFonts w:hint="eastAsia" w:ascii="宋体" w:hAnsi="宋体" w:cs="宋体"/>
                <w:color w:val="000000" w:themeColor="text1"/>
                <w:sz w:val="24"/>
                <w:szCs w:val="22"/>
                <w:highlight w:val="none"/>
                <w:lang w:bidi="ar"/>
                <w14:textFill>
                  <w14:solidFill>
                    <w14:schemeClr w14:val="tx1"/>
                  </w14:solidFill>
                </w14:textFill>
              </w:rPr>
              <w:t>纳入</w:t>
            </w:r>
            <w:r>
              <w:rPr>
                <w:rFonts w:hint="eastAsia" w:ascii="宋体" w:hAnsi="宋体" w:cs="宋体"/>
                <w:color w:val="000000" w:themeColor="text1"/>
                <w:sz w:val="24"/>
                <w:szCs w:val="22"/>
                <w:highlight w:val="none"/>
                <w:lang w:eastAsia="zh-CN" w:bidi="ar"/>
                <w14:textFill>
                  <w14:solidFill>
                    <w14:schemeClr w14:val="tx1"/>
                  </w14:solidFill>
                </w14:textFill>
              </w:rPr>
              <w:t>闽清县白金工业园区污水处理厂</w:t>
            </w:r>
            <w:r>
              <w:rPr>
                <w:rFonts w:hint="eastAsia" w:ascii="宋体" w:hAnsi="宋体" w:cs="宋体"/>
                <w:color w:val="000000" w:themeColor="text1"/>
                <w:sz w:val="24"/>
                <w:szCs w:val="22"/>
                <w:highlight w:val="none"/>
                <w:lang w:bidi="ar"/>
                <w14:textFill>
                  <w14:solidFill>
                    <w14:schemeClr w14:val="tx1"/>
                  </w14:solidFill>
                </w14:textFill>
              </w:rPr>
              <w:t>处理</w:t>
            </w:r>
            <w:r>
              <w:rPr>
                <w:rFonts w:ascii="宋体" w:hAnsi="宋体" w:cs="宋体"/>
                <w:color w:val="000000" w:themeColor="text1"/>
                <w:sz w:val="24"/>
                <w:szCs w:val="22"/>
                <w:highlight w:val="none"/>
                <w:lang w:bidi="ar"/>
                <w14:textFill>
                  <w14:solidFill>
                    <w14:schemeClr w14:val="tx1"/>
                  </w14:solidFill>
                </w14:textFill>
              </w:rPr>
              <w:t>方案可行</w:t>
            </w:r>
            <w:r>
              <w:rPr>
                <w:rFonts w:hint="eastAsia" w:ascii="宋体" w:hAnsi="宋体" w:cs="宋体"/>
                <w:color w:val="000000" w:themeColor="text1"/>
                <w:sz w:val="24"/>
                <w:szCs w:val="22"/>
                <w:highlight w:val="none"/>
                <w:lang w:bidi="ar"/>
                <w14:textFill>
                  <w14:solidFill>
                    <w14:schemeClr w14:val="tx1"/>
                  </w14:solidFill>
                </w14:textFill>
              </w:rPr>
              <w:t>。</w:t>
            </w:r>
          </w:p>
          <w:p w14:paraId="4E376DF8">
            <w:pPr>
              <w:pStyle w:val="4"/>
              <w:numPr>
                <w:ilvl w:val="2"/>
                <w:numId w:val="1"/>
              </w:numPr>
              <w:bidi w:val="0"/>
              <w:ind w:left="720" w:leftChars="0" w:hanging="720" w:firstLineChars="0"/>
              <w:rPr>
                <w:rFonts w:hint="eastAsia"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厂区</w:t>
            </w:r>
            <w:r>
              <w:rPr>
                <w:rFonts w:hint="eastAsia"/>
                <w:color w:val="000000" w:themeColor="text1"/>
                <w:highlight w:val="none"/>
                <w:lang w:val="en-US" w:eastAsia="zh-CN"/>
                <w14:textFill>
                  <w14:solidFill>
                    <w14:schemeClr w14:val="tx1"/>
                  </w14:solidFill>
                </w14:textFill>
              </w:rPr>
              <w:t>污水</w:t>
            </w:r>
            <w:r>
              <w:rPr>
                <w:rFonts w:hint="eastAsia" w:eastAsia="宋体"/>
                <w:color w:val="000000" w:themeColor="text1"/>
                <w:highlight w:val="none"/>
                <w14:textFill>
                  <w14:solidFill>
                    <w14:schemeClr w14:val="tx1"/>
                  </w14:solidFill>
                </w14:textFill>
              </w:rPr>
              <w:t>管网建设</w:t>
            </w:r>
          </w:p>
          <w:p w14:paraId="76891EF2">
            <w:pPr>
              <w:pStyle w:val="44"/>
              <w:ind w:firstLine="480"/>
              <w:rPr>
                <w:rFonts w:hint="eastAsia" w:eastAsia="宋体" w:cs="宋体"/>
                <w:color w:val="000000" w:themeColor="text1"/>
                <w:sz w:val="24"/>
                <w:szCs w:val="20"/>
                <w:highlight w:val="none"/>
                <w:lang w:eastAsia="zh-CN" w:bidi="ar"/>
                <w14:textFill>
                  <w14:solidFill>
                    <w14:schemeClr w14:val="tx1"/>
                  </w14:solidFill>
                </w14:textFill>
              </w:rPr>
            </w:pPr>
            <w:r>
              <w:rPr>
                <w:rFonts w:hint="eastAsia" w:cs="宋体"/>
                <w:color w:val="000000" w:themeColor="text1"/>
                <w:szCs w:val="20"/>
                <w:highlight w:val="none"/>
                <w:lang w:bidi="ar"/>
                <w14:textFill>
                  <w14:solidFill>
                    <w14:schemeClr w14:val="tx1"/>
                  </w14:solidFill>
                </w14:textFill>
              </w:rPr>
              <w:t>本</w:t>
            </w:r>
            <w:r>
              <w:rPr>
                <w:rFonts w:hint="eastAsia" w:cs="宋体"/>
                <w:color w:val="000000" w:themeColor="text1"/>
                <w:sz w:val="24"/>
                <w:szCs w:val="20"/>
                <w:highlight w:val="none"/>
                <w:lang w:bidi="ar"/>
                <w14:textFill>
                  <w14:solidFill>
                    <w14:schemeClr w14:val="tx1"/>
                  </w14:solidFill>
                </w14:textFill>
              </w:rPr>
              <w:t>项目污水分质分流由明管或通过管沟敷设方式接入相应设施；</w:t>
            </w:r>
            <w:r>
              <w:rPr>
                <w:rFonts w:hint="eastAsia"/>
                <w:color w:val="000000" w:themeColor="text1"/>
                <w14:textFill>
                  <w14:solidFill>
                    <w14:schemeClr w14:val="tx1"/>
                  </w14:solidFill>
                </w14:textFill>
              </w:rPr>
              <w:t>管道采用防渗材料，</w:t>
            </w:r>
            <w:r>
              <w:rPr>
                <w:rFonts w:hint="eastAsia" w:cs="宋体"/>
                <w:color w:val="000000" w:themeColor="text1"/>
                <w:sz w:val="24"/>
                <w:szCs w:val="20"/>
                <w:highlight w:val="none"/>
                <w:lang w:bidi="ar"/>
                <w14:textFill>
                  <w14:solidFill>
                    <w14:schemeClr w14:val="tx1"/>
                  </w14:solidFill>
                </w14:textFill>
              </w:rPr>
              <w:t>管沟进行防渗处理，避免发生泄漏时对地下水和土壤污染，同时建设单位定期组织巡查，排查泄漏隐患</w:t>
            </w:r>
            <w:r>
              <w:rPr>
                <w:rFonts w:hint="eastAsia" w:cs="宋体"/>
                <w:color w:val="000000" w:themeColor="text1"/>
                <w:sz w:val="24"/>
                <w:szCs w:val="20"/>
                <w:highlight w:val="none"/>
                <w:lang w:eastAsia="zh-CN" w:bidi="ar"/>
                <w14:textFill>
                  <w14:solidFill>
                    <w14:schemeClr w14:val="tx1"/>
                  </w14:solidFill>
                </w14:textFill>
              </w:rPr>
              <w:t>。</w:t>
            </w:r>
          </w:p>
          <w:p w14:paraId="4EBA7D82">
            <w:pPr>
              <w:pStyle w:val="4"/>
              <w:numPr>
                <w:ilvl w:val="2"/>
                <w:numId w:val="1"/>
              </w:numPr>
              <w:bidi w:val="0"/>
              <w:ind w:left="720" w:leftChars="0" w:hanging="720" w:firstLineChars="0"/>
              <w:rPr>
                <w:rFonts w:hint="eastAsia" w:eastAsia="宋体"/>
                <w:color w:val="000000" w:themeColor="text1"/>
                <w:highlight w:val="none"/>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自行监测计划</w:t>
            </w:r>
          </w:p>
          <w:p w14:paraId="0C7CE65B">
            <w:pPr>
              <w:pStyle w:val="44"/>
              <w:ind w:firstLine="480"/>
              <w:rPr>
                <w:rFonts w:hint="eastAsia" w:cs="宋体"/>
                <w:color w:val="000000" w:themeColor="text1"/>
                <w:sz w:val="24"/>
                <w:szCs w:val="20"/>
                <w:highlight w:val="none"/>
                <w:lang w:bidi="ar"/>
                <w14:textFill>
                  <w14:solidFill>
                    <w14:schemeClr w14:val="tx1"/>
                  </w14:solidFill>
                </w14:textFill>
              </w:rPr>
            </w:pPr>
            <w:r>
              <w:rPr>
                <w:rFonts w:hint="eastAsia" w:cs="宋体"/>
                <w:color w:val="000000" w:themeColor="text1"/>
                <w:sz w:val="24"/>
                <w:szCs w:val="20"/>
                <w:highlight w:val="none"/>
                <w:lang w:bidi="ar"/>
                <w14:textFill>
                  <w14:solidFill>
                    <w14:schemeClr w14:val="tx1"/>
                  </w14:solidFill>
                </w14:textFill>
              </w:rPr>
              <w:t>本评价</w:t>
            </w:r>
            <w:r>
              <w:rPr>
                <w:rFonts w:hint="eastAsia" w:cs="宋体"/>
                <w:color w:val="000000" w:themeColor="text1"/>
                <w:sz w:val="24"/>
                <w:szCs w:val="20"/>
                <w:highlight w:val="none"/>
                <w:lang w:val="en-US" w:eastAsia="zh-CN" w:bidi="ar"/>
                <w14:textFill>
                  <w14:solidFill>
                    <w14:schemeClr w14:val="tx1"/>
                  </w14:solidFill>
                </w14:textFill>
              </w:rPr>
              <w:t>根据</w:t>
            </w:r>
            <w:r>
              <w:rPr>
                <w:rFonts w:hint="eastAsia" w:cs="宋体"/>
                <w:color w:val="000000" w:themeColor="text1"/>
                <w:sz w:val="24"/>
                <w:szCs w:val="20"/>
                <w:highlight w:val="none"/>
                <w:lang w:bidi="ar"/>
                <w14:textFill>
                  <w14:solidFill>
                    <w14:schemeClr w14:val="tx1"/>
                  </w14:solidFill>
                </w14:textFill>
              </w:rPr>
              <w:t>《排污单位自行监测技术指南总则》(HJ819-2017)等要求，提出项目运营期废水自行监测计划，具体情况详见表4.3-</w:t>
            </w:r>
            <w:r>
              <w:rPr>
                <w:rFonts w:hint="eastAsia" w:cs="宋体"/>
                <w:color w:val="000000" w:themeColor="text1"/>
                <w:sz w:val="24"/>
                <w:szCs w:val="20"/>
                <w:highlight w:val="none"/>
                <w:lang w:val="en-US" w:eastAsia="zh-CN" w:bidi="ar"/>
                <w14:textFill>
                  <w14:solidFill>
                    <w14:schemeClr w14:val="tx1"/>
                  </w14:solidFill>
                </w14:textFill>
              </w:rPr>
              <w:t>5</w:t>
            </w:r>
            <w:r>
              <w:rPr>
                <w:rFonts w:hint="eastAsia" w:cs="宋体"/>
                <w:color w:val="000000" w:themeColor="text1"/>
                <w:sz w:val="24"/>
                <w:szCs w:val="20"/>
                <w:highlight w:val="none"/>
                <w:lang w:bidi="ar"/>
                <w14:textFill>
                  <w14:solidFill>
                    <w14:schemeClr w14:val="tx1"/>
                  </w14:solidFill>
                </w14:textFill>
              </w:rPr>
              <w:t>。</w:t>
            </w:r>
          </w:p>
          <w:p w14:paraId="5604CA3C">
            <w:pPr>
              <w:pStyle w:val="42"/>
              <w:keepNext/>
              <w:keepLines/>
              <w:pageBreakBefore w:val="0"/>
              <w:widowControl w:val="0"/>
              <w:numPr>
                <w:ilvl w:val="7"/>
                <w:numId w:val="16"/>
              </w:numPr>
              <w:tabs>
                <w:tab w:val="left" w:pos="0"/>
              </w:tabs>
              <w:kinsoku/>
              <w:wordWrap/>
              <w:overflowPunct/>
              <w:topLinePunct w:val="0"/>
              <w:autoSpaceDE/>
              <w:autoSpaceDN/>
              <w:bidi w:val="0"/>
              <w:adjustRightInd/>
              <w:snapToGrid/>
              <w:spacing w:before="0" w:after="0"/>
              <w:ind w:left="630" w:leftChars="0" w:firstLine="0" w:firstLineChars="0"/>
              <w:jc w:val="center"/>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项目废水自行监测计划</w:t>
            </w:r>
          </w:p>
          <w:tbl>
            <w:tblPr>
              <w:tblStyle w:val="84"/>
              <w:tblW w:w="4997"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978"/>
              <w:gridCol w:w="2175"/>
              <w:gridCol w:w="3094"/>
              <w:gridCol w:w="2499"/>
            </w:tblGrid>
            <w:tr w14:paraId="4D5EB1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559" w:type="pct"/>
                  <w:tcBorders>
                    <w:tl2br w:val="nil"/>
                    <w:tr2bl w:val="nil"/>
                  </w:tcBorders>
                  <w:vAlign w:val="center"/>
                </w:tcPr>
                <w:p w14:paraId="10047D79">
                  <w:pPr>
                    <w:pStyle w:val="30"/>
                    <w:widowControl w:val="0"/>
                    <w:kinsoku/>
                    <w:autoSpaceDE/>
                    <w:autoSpaceDN/>
                    <w:adjustRightInd/>
                    <w:snapToGrid/>
                    <w:spacing w:before="0" w:beforeAutospacing="0" w:after="0" w:afterAutospacing="0" w:line="240" w:lineRule="auto"/>
                    <w:jc w:val="center"/>
                    <w:textAlignment w:val="auto"/>
                    <w:rPr>
                      <w:rFonts w:hint="eastAsia" w:ascii="Times New Roman" w:hAnsi="Times New Roman" w:eastAsia="宋体" w:cs="宋体"/>
                      <w:iCs/>
                      <w:snapToGrid/>
                      <w:color w:val="000000" w:themeColor="text1"/>
                      <w:kern w:val="2"/>
                      <w:sz w:val="21"/>
                      <w:szCs w:val="21"/>
                      <w:highlight w:val="none"/>
                      <w:lang w:bidi="ar"/>
                      <w14:textFill>
                        <w14:solidFill>
                          <w14:schemeClr w14:val="tx1"/>
                        </w14:solidFill>
                      </w14:textFill>
                    </w:rPr>
                  </w:pPr>
                  <w:r>
                    <w:rPr>
                      <w:rFonts w:hint="eastAsia" w:ascii="Times New Roman" w:hAnsi="Times New Roman" w:eastAsia="宋体" w:cs="宋体"/>
                      <w:iCs/>
                      <w:snapToGrid/>
                      <w:color w:val="000000" w:themeColor="text1"/>
                      <w:kern w:val="2"/>
                      <w:sz w:val="21"/>
                      <w:szCs w:val="21"/>
                      <w:highlight w:val="none"/>
                      <w:lang w:bidi="ar"/>
                      <w14:textFill>
                        <w14:solidFill>
                          <w14:schemeClr w14:val="tx1"/>
                        </w14:solidFill>
                      </w14:textFill>
                    </w:rPr>
                    <w:t>序号</w:t>
                  </w:r>
                </w:p>
              </w:tc>
              <w:tc>
                <w:tcPr>
                  <w:tcW w:w="1243" w:type="pct"/>
                  <w:tcBorders>
                    <w:tl2br w:val="nil"/>
                    <w:tr2bl w:val="nil"/>
                  </w:tcBorders>
                  <w:vAlign w:val="center"/>
                </w:tcPr>
                <w:p w14:paraId="4E7A169C">
                  <w:pPr>
                    <w:pStyle w:val="30"/>
                    <w:widowControl w:val="0"/>
                    <w:kinsoku/>
                    <w:autoSpaceDE/>
                    <w:autoSpaceDN/>
                    <w:adjustRightInd/>
                    <w:snapToGrid/>
                    <w:spacing w:before="0" w:beforeAutospacing="0" w:after="0" w:afterAutospacing="0" w:line="240" w:lineRule="auto"/>
                    <w:jc w:val="center"/>
                    <w:textAlignment w:val="auto"/>
                    <w:rPr>
                      <w:rFonts w:hint="eastAsia" w:ascii="Times New Roman" w:hAnsi="Times New Roman" w:eastAsia="宋体" w:cs="宋体"/>
                      <w:iCs/>
                      <w:snapToGrid/>
                      <w:color w:val="000000" w:themeColor="text1"/>
                      <w:kern w:val="2"/>
                      <w:sz w:val="21"/>
                      <w:szCs w:val="21"/>
                      <w:highlight w:val="none"/>
                      <w:lang w:bidi="ar"/>
                      <w14:textFill>
                        <w14:solidFill>
                          <w14:schemeClr w14:val="tx1"/>
                        </w14:solidFill>
                      </w14:textFill>
                    </w:rPr>
                  </w:pPr>
                  <w:r>
                    <w:rPr>
                      <w:rFonts w:hint="eastAsia" w:ascii="Times New Roman" w:hAnsi="Times New Roman" w:eastAsia="宋体" w:cs="宋体"/>
                      <w:iCs/>
                      <w:snapToGrid/>
                      <w:color w:val="000000" w:themeColor="text1"/>
                      <w:kern w:val="2"/>
                      <w:sz w:val="21"/>
                      <w:szCs w:val="21"/>
                      <w:highlight w:val="none"/>
                      <w:lang w:bidi="ar"/>
                      <w14:textFill>
                        <w14:solidFill>
                          <w14:schemeClr w14:val="tx1"/>
                        </w14:solidFill>
                      </w14:textFill>
                    </w:rPr>
                    <w:t>监测点位</w:t>
                  </w:r>
                </w:p>
              </w:tc>
              <w:tc>
                <w:tcPr>
                  <w:tcW w:w="1768" w:type="pct"/>
                  <w:tcBorders>
                    <w:tl2br w:val="nil"/>
                    <w:tr2bl w:val="nil"/>
                  </w:tcBorders>
                  <w:vAlign w:val="center"/>
                </w:tcPr>
                <w:p w14:paraId="6265BD2B">
                  <w:pPr>
                    <w:pStyle w:val="30"/>
                    <w:widowControl w:val="0"/>
                    <w:kinsoku/>
                    <w:autoSpaceDE/>
                    <w:autoSpaceDN/>
                    <w:adjustRightInd/>
                    <w:snapToGrid/>
                    <w:spacing w:before="0" w:beforeAutospacing="0" w:after="0" w:afterAutospacing="0" w:line="240" w:lineRule="auto"/>
                    <w:jc w:val="center"/>
                    <w:textAlignment w:val="auto"/>
                    <w:rPr>
                      <w:rFonts w:hint="eastAsia" w:ascii="Times New Roman" w:hAnsi="Times New Roman" w:eastAsia="宋体" w:cs="宋体"/>
                      <w:iCs/>
                      <w:snapToGrid/>
                      <w:color w:val="000000" w:themeColor="text1"/>
                      <w:kern w:val="2"/>
                      <w:sz w:val="21"/>
                      <w:szCs w:val="21"/>
                      <w:highlight w:val="none"/>
                      <w:lang w:bidi="ar"/>
                      <w14:textFill>
                        <w14:solidFill>
                          <w14:schemeClr w14:val="tx1"/>
                        </w14:solidFill>
                      </w14:textFill>
                    </w:rPr>
                  </w:pPr>
                  <w:r>
                    <w:rPr>
                      <w:rFonts w:hint="eastAsia" w:ascii="Times New Roman" w:hAnsi="Times New Roman" w:eastAsia="宋体" w:cs="宋体"/>
                      <w:iCs/>
                      <w:snapToGrid/>
                      <w:color w:val="000000" w:themeColor="text1"/>
                      <w:kern w:val="2"/>
                      <w:sz w:val="21"/>
                      <w:szCs w:val="21"/>
                      <w:highlight w:val="none"/>
                      <w:lang w:bidi="ar"/>
                      <w14:textFill>
                        <w14:solidFill>
                          <w14:schemeClr w14:val="tx1"/>
                        </w14:solidFill>
                      </w14:textFill>
                    </w:rPr>
                    <w:t>监测因子</w:t>
                  </w:r>
                </w:p>
              </w:tc>
              <w:tc>
                <w:tcPr>
                  <w:tcW w:w="1428" w:type="pct"/>
                  <w:tcBorders>
                    <w:tl2br w:val="nil"/>
                    <w:tr2bl w:val="nil"/>
                  </w:tcBorders>
                  <w:vAlign w:val="center"/>
                </w:tcPr>
                <w:p w14:paraId="266D6907">
                  <w:pPr>
                    <w:pStyle w:val="30"/>
                    <w:widowControl w:val="0"/>
                    <w:kinsoku/>
                    <w:autoSpaceDE/>
                    <w:autoSpaceDN/>
                    <w:adjustRightInd/>
                    <w:snapToGrid/>
                    <w:spacing w:before="0" w:beforeAutospacing="0" w:after="0" w:afterAutospacing="0" w:line="240" w:lineRule="auto"/>
                    <w:jc w:val="center"/>
                    <w:textAlignment w:val="auto"/>
                    <w:rPr>
                      <w:rFonts w:hint="eastAsia" w:ascii="Times New Roman" w:hAnsi="Times New Roman" w:eastAsia="宋体" w:cs="宋体"/>
                      <w:iCs/>
                      <w:snapToGrid/>
                      <w:color w:val="000000" w:themeColor="text1"/>
                      <w:kern w:val="2"/>
                      <w:sz w:val="21"/>
                      <w:szCs w:val="21"/>
                      <w:highlight w:val="none"/>
                      <w:lang w:bidi="ar"/>
                      <w14:textFill>
                        <w14:solidFill>
                          <w14:schemeClr w14:val="tx1"/>
                        </w14:solidFill>
                      </w14:textFill>
                    </w:rPr>
                  </w:pPr>
                  <w:r>
                    <w:rPr>
                      <w:rFonts w:hint="eastAsia" w:ascii="Times New Roman" w:hAnsi="Times New Roman" w:eastAsia="宋体" w:cs="宋体"/>
                      <w:iCs/>
                      <w:snapToGrid/>
                      <w:color w:val="000000" w:themeColor="text1"/>
                      <w:kern w:val="2"/>
                      <w:sz w:val="21"/>
                      <w:szCs w:val="21"/>
                      <w:highlight w:val="none"/>
                      <w:lang w:bidi="ar"/>
                      <w14:textFill>
                        <w14:solidFill>
                          <w14:schemeClr w14:val="tx1"/>
                        </w14:solidFill>
                      </w14:textFill>
                    </w:rPr>
                    <w:t>监测频次</w:t>
                  </w:r>
                </w:p>
              </w:tc>
            </w:tr>
            <w:tr w14:paraId="7870CC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84" w:hRule="atLeast"/>
              </w:trPr>
              <w:tc>
                <w:tcPr>
                  <w:tcW w:w="559" w:type="pct"/>
                  <w:tcBorders>
                    <w:tl2br w:val="nil"/>
                    <w:tr2bl w:val="nil"/>
                  </w:tcBorders>
                  <w:vAlign w:val="center"/>
                </w:tcPr>
                <w:p w14:paraId="57E85028">
                  <w:pPr>
                    <w:pStyle w:val="30"/>
                    <w:widowControl w:val="0"/>
                    <w:kinsoku/>
                    <w:autoSpaceDE/>
                    <w:autoSpaceDN/>
                    <w:adjustRightInd/>
                    <w:snapToGrid/>
                    <w:spacing w:before="0" w:beforeAutospacing="0" w:after="0" w:afterAutospacing="0" w:line="240" w:lineRule="auto"/>
                    <w:jc w:val="center"/>
                    <w:textAlignment w:val="auto"/>
                    <w:rPr>
                      <w:rFonts w:hint="eastAsia" w:ascii="Times New Roman" w:hAnsi="Times New Roman" w:eastAsia="宋体" w:cs="宋体"/>
                      <w:iCs/>
                      <w:snapToGrid/>
                      <w:color w:val="000000" w:themeColor="text1"/>
                      <w:kern w:val="2"/>
                      <w:sz w:val="21"/>
                      <w:szCs w:val="21"/>
                      <w:highlight w:val="none"/>
                      <w:lang w:bidi="ar"/>
                      <w14:textFill>
                        <w14:solidFill>
                          <w14:schemeClr w14:val="tx1"/>
                        </w14:solidFill>
                      </w14:textFill>
                    </w:rPr>
                  </w:pPr>
                  <w:r>
                    <w:rPr>
                      <w:rFonts w:hint="eastAsia" w:ascii="Times New Roman" w:hAnsi="Times New Roman" w:eastAsia="宋体" w:cs="宋体"/>
                      <w:iCs/>
                      <w:snapToGrid/>
                      <w:color w:val="000000" w:themeColor="text1"/>
                      <w:kern w:val="2"/>
                      <w:sz w:val="21"/>
                      <w:szCs w:val="21"/>
                      <w:highlight w:val="none"/>
                      <w:lang w:bidi="ar"/>
                      <w14:textFill>
                        <w14:solidFill>
                          <w14:schemeClr w14:val="tx1"/>
                        </w14:solidFill>
                      </w14:textFill>
                    </w:rPr>
                    <w:t>1</w:t>
                  </w:r>
                </w:p>
              </w:tc>
              <w:tc>
                <w:tcPr>
                  <w:tcW w:w="1243" w:type="pct"/>
                  <w:tcBorders>
                    <w:tl2br w:val="nil"/>
                    <w:tr2bl w:val="nil"/>
                  </w:tcBorders>
                  <w:vAlign w:val="center"/>
                </w:tcPr>
                <w:p w14:paraId="331CF84B">
                  <w:pPr>
                    <w:pStyle w:val="30"/>
                    <w:widowControl w:val="0"/>
                    <w:kinsoku/>
                    <w:autoSpaceDE/>
                    <w:autoSpaceDN/>
                    <w:adjustRightInd/>
                    <w:snapToGrid/>
                    <w:spacing w:before="0" w:beforeAutospacing="0" w:after="0" w:afterAutospacing="0" w:line="240" w:lineRule="auto"/>
                    <w:jc w:val="center"/>
                    <w:textAlignment w:val="auto"/>
                    <w:rPr>
                      <w:rFonts w:hint="eastAsia" w:ascii="Times New Roman" w:hAnsi="Times New Roman" w:eastAsia="宋体" w:cs="宋体"/>
                      <w:iCs/>
                      <w:snapToGrid/>
                      <w:color w:val="000000" w:themeColor="text1"/>
                      <w:kern w:val="2"/>
                      <w:sz w:val="21"/>
                      <w:szCs w:val="21"/>
                      <w:highlight w:val="none"/>
                      <w:lang w:bidi="ar"/>
                      <w14:textFill>
                        <w14:solidFill>
                          <w14:schemeClr w14:val="tx1"/>
                        </w14:solidFill>
                      </w14:textFill>
                    </w:rPr>
                  </w:pPr>
                  <w:r>
                    <w:rPr>
                      <w:rFonts w:hint="eastAsia" w:ascii="Times New Roman" w:hAnsi="Times New Roman" w:eastAsia="宋体" w:cs="宋体"/>
                      <w:iCs/>
                      <w:snapToGrid/>
                      <w:color w:val="000000" w:themeColor="text1"/>
                      <w:kern w:val="2"/>
                      <w:sz w:val="21"/>
                      <w:szCs w:val="21"/>
                      <w:highlight w:val="none"/>
                      <w:lang w:bidi="ar"/>
                      <w14:textFill>
                        <w14:solidFill>
                          <w14:schemeClr w14:val="tx1"/>
                        </w14:solidFill>
                      </w14:textFill>
                    </w:rPr>
                    <w:t>厂区污水总排口</w:t>
                  </w:r>
                </w:p>
              </w:tc>
              <w:tc>
                <w:tcPr>
                  <w:tcW w:w="1768" w:type="pct"/>
                  <w:tcBorders>
                    <w:tl2br w:val="nil"/>
                    <w:tr2bl w:val="nil"/>
                  </w:tcBorders>
                  <w:vAlign w:val="center"/>
                </w:tcPr>
                <w:p w14:paraId="49C811C0">
                  <w:pPr>
                    <w:pStyle w:val="30"/>
                    <w:widowControl w:val="0"/>
                    <w:kinsoku/>
                    <w:autoSpaceDE/>
                    <w:autoSpaceDN/>
                    <w:adjustRightInd/>
                    <w:snapToGrid/>
                    <w:spacing w:before="0" w:beforeAutospacing="0" w:after="0" w:afterAutospacing="0" w:line="240" w:lineRule="auto"/>
                    <w:jc w:val="center"/>
                    <w:textAlignment w:val="auto"/>
                    <w:rPr>
                      <w:rFonts w:hint="default" w:ascii="Times New Roman" w:hAnsi="Times New Roman" w:eastAsia="宋体" w:cs="宋体"/>
                      <w:iCs/>
                      <w:snapToGrid/>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s="宋体"/>
                      <w:iCs/>
                      <w:snapToGrid/>
                      <w:color w:val="000000" w:themeColor="text1"/>
                      <w:kern w:val="2"/>
                      <w:sz w:val="21"/>
                      <w:szCs w:val="21"/>
                      <w:highlight w:val="none"/>
                      <w:lang w:bidi="ar"/>
                      <w14:textFill>
                        <w14:solidFill>
                          <w14:schemeClr w14:val="tx1"/>
                        </w14:solidFill>
                      </w14:textFill>
                    </w:rPr>
                    <w:t>pH、COD、BOD</w:t>
                  </w:r>
                  <w:r>
                    <w:rPr>
                      <w:rFonts w:hint="eastAsia" w:cs="宋体"/>
                      <w:iCs/>
                      <w:snapToGrid/>
                      <w:color w:val="000000" w:themeColor="text1"/>
                      <w:kern w:val="2"/>
                      <w:sz w:val="21"/>
                      <w:szCs w:val="21"/>
                      <w:highlight w:val="none"/>
                      <w:vertAlign w:val="subscript"/>
                      <w:lang w:val="en-US" w:eastAsia="zh-CN" w:bidi="ar"/>
                      <w14:textFill>
                        <w14:solidFill>
                          <w14:schemeClr w14:val="tx1"/>
                        </w14:solidFill>
                      </w14:textFill>
                    </w:rPr>
                    <w:t>5</w:t>
                  </w:r>
                  <w:r>
                    <w:rPr>
                      <w:rFonts w:hint="eastAsia" w:ascii="Times New Roman" w:hAnsi="Times New Roman" w:eastAsia="宋体" w:cs="宋体"/>
                      <w:iCs/>
                      <w:snapToGrid/>
                      <w:color w:val="000000" w:themeColor="text1"/>
                      <w:kern w:val="2"/>
                      <w:sz w:val="21"/>
                      <w:szCs w:val="21"/>
                      <w:highlight w:val="none"/>
                      <w:lang w:bidi="ar"/>
                      <w14:textFill>
                        <w14:solidFill>
                          <w14:schemeClr w14:val="tx1"/>
                        </w14:solidFill>
                      </w14:textFill>
                    </w:rPr>
                    <w:t>、SS、</w:t>
                  </w:r>
                  <w:r>
                    <w:rPr>
                      <w:rFonts w:hint="eastAsia" w:ascii="Times New Roman" w:hAnsi="Times New Roman" w:eastAsia="宋体" w:cs="宋体"/>
                      <w:iCs/>
                      <w:snapToGrid/>
                      <w:color w:val="000000" w:themeColor="text1"/>
                      <w:kern w:val="2"/>
                      <w:sz w:val="21"/>
                      <w:szCs w:val="21"/>
                      <w:highlight w:val="none"/>
                      <w:lang w:val="en-US" w:eastAsia="zh-CN" w:bidi="ar"/>
                      <w14:textFill>
                        <w14:solidFill>
                          <w14:schemeClr w14:val="tx1"/>
                        </w14:solidFill>
                      </w14:textFill>
                    </w:rPr>
                    <w:t>NH</w:t>
                  </w:r>
                  <w:r>
                    <w:rPr>
                      <w:rFonts w:hint="eastAsia" w:ascii="Times New Roman" w:hAnsi="Times New Roman" w:eastAsia="宋体" w:cs="宋体"/>
                      <w:iCs/>
                      <w:snapToGrid/>
                      <w:color w:val="000000" w:themeColor="text1"/>
                      <w:kern w:val="2"/>
                      <w:sz w:val="21"/>
                      <w:szCs w:val="21"/>
                      <w:highlight w:val="none"/>
                      <w:vertAlign w:val="subscript"/>
                      <w:lang w:val="en-US" w:eastAsia="zh-CN" w:bidi="ar"/>
                      <w14:textFill>
                        <w14:solidFill>
                          <w14:schemeClr w14:val="tx1"/>
                        </w14:solidFill>
                      </w14:textFill>
                    </w:rPr>
                    <w:t>3</w:t>
                  </w:r>
                  <w:r>
                    <w:rPr>
                      <w:rFonts w:hint="eastAsia" w:ascii="Times New Roman" w:hAnsi="Times New Roman" w:eastAsia="宋体" w:cs="宋体"/>
                      <w:iCs/>
                      <w:snapToGrid/>
                      <w:color w:val="000000" w:themeColor="text1"/>
                      <w:kern w:val="2"/>
                      <w:sz w:val="21"/>
                      <w:szCs w:val="21"/>
                      <w:highlight w:val="none"/>
                      <w:lang w:val="en-US" w:eastAsia="zh-CN" w:bidi="ar"/>
                      <w14:textFill>
                        <w14:solidFill>
                          <w14:schemeClr w14:val="tx1"/>
                        </w14:solidFill>
                      </w14:textFill>
                    </w:rPr>
                    <w:t>-N</w:t>
                  </w:r>
                </w:p>
              </w:tc>
              <w:tc>
                <w:tcPr>
                  <w:tcW w:w="1428" w:type="pct"/>
                  <w:tcBorders>
                    <w:tl2br w:val="nil"/>
                    <w:tr2bl w:val="nil"/>
                  </w:tcBorders>
                  <w:vAlign w:val="center"/>
                </w:tcPr>
                <w:p w14:paraId="14F4B247">
                  <w:pPr>
                    <w:pStyle w:val="30"/>
                    <w:widowControl w:val="0"/>
                    <w:kinsoku/>
                    <w:autoSpaceDE/>
                    <w:autoSpaceDN/>
                    <w:adjustRightInd/>
                    <w:snapToGrid/>
                    <w:spacing w:before="0" w:beforeAutospacing="0" w:after="0" w:afterAutospacing="0" w:line="240" w:lineRule="auto"/>
                    <w:jc w:val="center"/>
                    <w:textAlignment w:val="auto"/>
                    <w:rPr>
                      <w:rFonts w:hint="eastAsia" w:ascii="Times New Roman" w:hAnsi="Times New Roman" w:eastAsia="宋体" w:cs="宋体"/>
                      <w:iCs/>
                      <w:snapToGrid/>
                      <w:color w:val="000000" w:themeColor="text1"/>
                      <w:kern w:val="2"/>
                      <w:sz w:val="21"/>
                      <w:szCs w:val="21"/>
                      <w:highlight w:val="none"/>
                      <w:lang w:bidi="ar"/>
                      <w14:textFill>
                        <w14:solidFill>
                          <w14:schemeClr w14:val="tx1"/>
                        </w14:solidFill>
                      </w14:textFill>
                    </w:rPr>
                  </w:pPr>
                  <w:r>
                    <w:rPr>
                      <w:rFonts w:hint="eastAsia" w:ascii="Times New Roman" w:hAnsi="Times New Roman" w:eastAsia="宋体" w:cs="宋体"/>
                      <w:iCs/>
                      <w:snapToGrid/>
                      <w:color w:val="000000" w:themeColor="text1"/>
                      <w:kern w:val="2"/>
                      <w:sz w:val="21"/>
                      <w:szCs w:val="21"/>
                      <w:highlight w:val="none"/>
                      <w:lang w:bidi="ar"/>
                      <w14:textFill>
                        <w14:solidFill>
                          <w14:schemeClr w14:val="tx1"/>
                        </w14:solidFill>
                      </w14:textFill>
                    </w:rPr>
                    <w:t>1天/年、4次/天</w:t>
                  </w:r>
                </w:p>
              </w:tc>
            </w:tr>
          </w:tbl>
          <w:p w14:paraId="5C59FC2E">
            <w:pPr>
              <w:pStyle w:val="3"/>
              <w:numPr>
                <w:ilvl w:val="1"/>
                <w:numId w:val="1"/>
              </w:numPr>
              <w:bidi w:val="0"/>
              <w:ind w:left="0" w:leftChars="0" w:firstLine="0" w:firstLineChars="0"/>
              <w:rPr>
                <w:rFonts w:hint="eastAsia"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运营期声环境影响分析</w:t>
            </w:r>
          </w:p>
          <w:p w14:paraId="1857E664">
            <w:pPr>
              <w:pStyle w:val="4"/>
              <w:numPr>
                <w:ilvl w:val="2"/>
                <w:numId w:val="1"/>
              </w:numPr>
              <w:bidi w:val="0"/>
              <w:ind w:left="720" w:leftChars="0" w:hanging="720" w:firstLineChars="0"/>
              <w:rPr>
                <w:rFonts w:hint="eastAsia"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噪声污染源分析</w:t>
            </w:r>
          </w:p>
          <w:p w14:paraId="616F41A0">
            <w:pPr>
              <w:pStyle w:val="44"/>
              <w:ind w:firstLine="480"/>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本项目主要设备噪声源见</w:t>
            </w:r>
            <w:r>
              <w:rPr>
                <w:rFonts w:hint="default" w:ascii="Times New Roman" w:hAnsi="Times New Roman" w:cs="Times New Roman"/>
                <w:color w:val="000000" w:themeColor="text1"/>
                <w:highlight w:val="none"/>
                <w:lang w:eastAsia="zh-CN"/>
                <w14:textFill>
                  <w14:solidFill>
                    <w14:schemeClr w14:val="tx1"/>
                  </w14:solidFill>
                </w14:textFill>
              </w:rPr>
              <w:fldChar w:fldCharType="begin"/>
            </w:r>
            <w:r>
              <w:rPr>
                <w:rFonts w:hint="default" w:ascii="Times New Roman" w:hAnsi="Times New Roman" w:cs="Times New Roman"/>
                <w:color w:val="000000" w:themeColor="text1"/>
                <w:highlight w:val="none"/>
                <w:lang w:eastAsia="zh-CN"/>
                <w14:textFill>
                  <w14:solidFill>
                    <w14:schemeClr w14:val="tx1"/>
                  </w14:solidFill>
                </w14:textFill>
              </w:rPr>
              <w:instrText xml:space="preserve"> REF _Ref9211 \n \h </w:instrText>
            </w:r>
            <w:r>
              <w:rPr>
                <w:rFonts w:hint="default" w:ascii="Times New Roman" w:hAnsi="Times New Roman" w:cs="Times New Roman"/>
                <w:color w:val="000000" w:themeColor="text1"/>
                <w:highlight w:val="none"/>
                <w:lang w:eastAsia="zh-CN"/>
                <w14:textFill>
                  <w14:solidFill>
                    <w14:schemeClr w14:val="tx1"/>
                  </w14:solidFill>
                </w14:textFill>
              </w:rPr>
              <w:fldChar w:fldCharType="separate"/>
            </w:r>
            <w:r>
              <w:rPr>
                <w:rFonts w:hint="default" w:ascii="Times New Roman" w:hAnsi="Times New Roman" w:cs="Times New Roman"/>
                <w:color w:val="000000" w:themeColor="text1"/>
                <w:highlight w:val="none"/>
                <w:lang w:eastAsia="zh-CN"/>
                <w14:textFill>
                  <w14:solidFill>
                    <w14:schemeClr w14:val="tx1"/>
                  </w14:solidFill>
                </w14:textFill>
              </w:rPr>
              <w:t>表4.4-1</w:t>
            </w:r>
            <w:r>
              <w:rPr>
                <w:rFonts w:hint="default" w:ascii="Times New Roman" w:hAnsi="Times New Roman" w:cs="Times New Roman"/>
                <w:color w:val="000000" w:themeColor="text1"/>
                <w:highlight w:val="none"/>
                <w:lang w:eastAsia="zh-CN"/>
                <w14:textFill>
                  <w14:solidFill>
                    <w14:schemeClr w14:val="tx1"/>
                  </w14:solidFill>
                </w14:textFill>
              </w:rPr>
              <w:fldChar w:fldCharType="end"/>
            </w:r>
            <w:r>
              <w:rPr>
                <w:rFonts w:hint="default" w:ascii="Times New Roman" w:hAnsi="Times New Roman" w:cs="Times New Roman"/>
                <w:color w:val="000000" w:themeColor="text1"/>
                <w:highlight w:val="none"/>
                <w:lang w:eastAsia="zh-CN"/>
                <w14:textFill>
                  <w14:solidFill>
                    <w14:schemeClr w14:val="tx1"/>
                  </w14:solidFill>
                </w14:textFill>
              </w:rPr>
              <w:t>。</w:t>
            </w:r>
          </w:p>
          <w:p w14:paraId="00DDA3DA">
            <w:pPr>
              <w:pStyle w:val="42"/>
              <w:keepNext w:val="0"/>
              <w:keepLines w:val="0"/>
              <w:pageBreakBefore w:val="0"/>
              <w:widowControl w:val="0"/>
              <w:tabs>
                <w:tab w:val="left" w:pos="0"/>
                <w:tab w:val="clear" w:pos="420"/>
              </w:tabs>
              <w:kinsoku/>
              <w:wordWrap/>
              <w:overflowPunct/>
              <w:topLinePunct w:val="0"/>
              <w:autoSpaceDE w:val="0"/>
              <w:autoSpaceDN w:val="0"/>
              <w:bidi w:val="0"/>
              <w:adjustRightInd/>
              <w:snapToGrid/>
              <w:spacing w:before="157" w:beforeLines="50"/>
              <w:ind w:left="210" w:leftChars="0" w:firstLineChars="0"/>
              <w:textAlignment w:val="auto"/>
              <w:rPr>
                <w:rFonts w:hint="eastAsia" w:eastAsia="宋体"/>
                <w:color w:val="000000" w:themeColor="text1"/>
                <w:highlight w:val="none"/>
                <w14:textFill>
                  <w14:solidFill>
                    <w14:schemeClr w14:val="tx1"/>
                  </w14:solidFill>
                </w14:textFill>
              </w:rPr>
            </w:pPr>
            <w:bookmarkStart w:id="53" w:name="_Toc21104"/>
            <w:bookmarkStart w:id="54" w:name="_Toc15502"/>
            <w:bookmarkStart w:id="55" w:name="_Toc2598"/>
            <w:r>
              <w:rPr>
                <w:rFonts w:ascii="宋体" w:hAnsi="宋体" w:eastAsia="宋体" w:cs="宋体"/>
                <w:sz w:val="24"/>
                <w:szCs w:val="24"/>
                <w:highlight w:val="none"/>
              </w:rPr>
              <w:t>项目主要设备噪声一览表</w:t>
            </w:r>
          </w:p>
          <w:tbl>
            <w:tblPr>
              <w:tblStyle w:val="33"/>
              <w:tblW w:w="0" w:type="auto"/>
              <w:tblInd w:w="5"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426"/>
              <w:gridCol w:w="1232"/>
              <w:gridCol w:w="450"/>
              <w:gridCol w:w="1077"/>
              <w:gridCol w:w="675"/>
              <w:gridCol w:w="654"/>
              <w:gridCol w:w="674"/>
              <w:gridCol w:w="1261"/>
              <w:gridCol w:w="960"/>
              <w:gridCol w:w="1337"/>
            </w:tblGrid>
            <w:tr w14:paraId="5EEE65F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8" w:hRule="atLeast"/>
              </w:trPr>
              <w:tc>
                <w:tcPr>
                  <w:tcW w:w="426" w:type="dxa"/>
                  <w:vMerge w:val="restart"/>
                  <w:tcBorders>
                    <w:tl2br w:val="nil"/>
                    <w:tr2bl w:val="nil"/>
                  </w:tcBorders>
                  <w:vAlign w:val="center"/>
                </w:tcPr>
                <w:p w14:paraId="132E986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vertAlign w:val="baseline"/>
                    </w:rPr>
                  </w:pPr>
                  <w:r>
                    <w:rPr>
                      <w:rFonts w:hint="eastAsia" w:ascii="Times New Roman" w:hAnsi="Times New Roman" w:eastAsia="宋体" w:cs="宋体"/>
                      <w:color w:val="auto"/>
                      <w:sz w:val="21"/>
                      <w:szCs w:val="21"/>
                      <w:lang w:val="en-US" w:eastAsia="zh-CN"/>
                    </w:rPr>
                    <w:t>序</w:t>
                  </w:r>
                  <w:r>
                    <w:rPr>
                      <w:rFonts w:ascii="Times New Roman" w:hAnsi="Times New Roman" w:eastAsia="宋体" w:cs="宋体"/>
                      <w:color w:val="auto"/>
                      <w:sz w:val="21"/>
                      <w:szCs w:val="21"/>
                    </w:rPr>
                    <w:t>号</w:t>
                  </w:r>
                </w:p>
              </w:tc>
              <w:tc>
                <w:tcPr>
                  <w:tcW w:w="1232" w:type="dxa"/>
                  <w:vMerge w:val="restart"/>
                  <w:tcBorders>
                    <w:tl2br w:val="nil"/>
                    <w:tr2bl w:val="nil"/>
                  </w:tcBorders>
                  <w:vAlign w:val="center"/>
                </w:tcPr>
                <w:p w14:paraId="57175DD3">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vertAlign w:val="baseline"/>
                    </w:rPr>
                  </w:pPr>
                  <w:r>
                    <w:rPr>
                      <w:rFonts w:ascii="Times New Roman" w:hAnsi="Times New Roman" w:eastAsia="宋体" w:cs="宋体"/>
                      <w:color w:val="auto"/>
                      <w:sz w:val="21"/>
                      <w:szCs w:val="21"/>
                    </w:rPr>
                    <w:t>设备名称</w:t>
                  </w:r>
                </w:p>
              </w:tc>
              <w:tc>
                <w:tcPr>
                  <w:tcW w:w="450" w:type="dxa"/>
                  <w:vMerge w:val="restart"/>
                  <w:tcBorders>
                    <w:tl2br w:val="nil"/>
                    <w:tr2bl w:val="nil"/>
                  </w:tcBorders>
                  <w:vAlign w:val="center"/>
                </w:tcPr>
                <w:p w14:paraId="214121A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vertAlign w:val="baseline"/>
                    </w:rPr>
                  </w:pPr>
                  <w:r>
                    <w:rPr>
                      <w:rFonts w:ascii="Times New Roman" w:hAnsi="Times New Roman" w:eastAsia="宋体" w:cs="宋体"/>
                      <w:color w:val="auto"/>
                      <w:sz w:val="21"/>
                      <w:szCs w:val="21"/>
                    </w:rPr>
                    <w:t>数量</w:t>
                  </w:r>
                </w:p>
              </w:tc>
              <w:tc>
                <w:tcPr>
                  <w:tcW w:w="1077" w:type="dxa"/>
                  <w:vMerge w:val="restart"/>
                  <w:tcBorders>
                    <w:tl2br w:val="nil"/>
                    <w:tr2bl w:val="nil"/>
                  </w:tcBorders>
                  <w:vAlign w:val="center"/>
                </w:tcPr>
                <w:p w14:paraId="52D50A6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vertAlign w:val="baseline"/>
                    </w:rPr>
                  </w:pPr>
                  <w:r>
                    <w:rPr>
                      <w:rFonts w:ascii="Times New Roman" w:hAnsi="Times New Roman" w:eastAsia="宋体" w:cs="宋体"/>
                      <w:color w:val="auto"/>
                      <w:sz w:val="21"/>
                      <w:szCs w:val="21"/>
                    </w:rPr>
                    <w:t>治理前声级</w:t>
                  </w:r>
                </w:p>
              </w:tc>
              <w:tc>
                <w:tcPr>
                  <w:tcW w:w="2003" w:type="dxa"/>
                  <w:gridSpan w:val="3"/>
                  <w:tcBorders>
                    <w:tl2br w:val="nil"/>
                    <w:tr2bl w:val="nil"/>
                  </w:tcBorders>
                  <w:vAlign w:val="center"/>
                </w:tcPr>
                <w:p w14:paraId="081E0D4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空间相对位置/m</w:t>
                  </w:r>
                </w:p>
              </w:tc>
              <w:tc>
                <w:tcPr>
                  <w:tcW w:w="1261" w:type="dxa"/>
                  <w:vMerge w:val="restart"/>
                  <w:tcBorders>
                    <w:tl2br w:val="nil"/>
                    <w:tr2bl w:val="nil"/>
                  </w:tcBorders>
                  <w:vAlign w:val="center"/>
                </w:tcPr>
                <w:p w14:paraId="7646FE5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vertAlign w:val="baseline"/>
                    </w:rPr>
                  </w:pPr>
                  <w:r>
                    <w:rPr>
                      <w:rFonts w:ascii="Times New Roman" w:hAnsi="Times New Roman" w:eastAsia="宋体" w:cs="宋体"/>
                      <w:color w:val="auto"/>
                      <w:sz w:val="21"/>
                      <w:szCs w:val="21"/>
                    </w:rPr>
                    <w:t>噪声属性及性质</w:t>
                  </w:r>
                </w:p>
              </w:tc>
              <w:tc>
                <w:tcPr>
                  <w:tcW w:w="960" w:type="dxa"/>
                  <w:vMerge w:val="restart"/>
                  <w:tcBorders>
                    <w:tl2br w:val="nil"/>
                    <w:tr2bl w:val="nil"/>
                  </w:tcBorders>
                  <w:vAlign w:val="center"/>
                </w:tcPr>
                <w:p w14:paraId="3AD721F0">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vertAlign w:val="baseline"/>
                    </w:rPr>
                  </w:pPr>
                  <w:r>
                    <w:rPr>
                      <w:rFonts w:ascii="Times New Roman" w:hAnsi="Times New Roman" w:eastAsia="宋体" w:cs="宋体"/>
                      <w:color w:val="auto"/>
                      <w:sz w:val="21"/>
                      <w:szCs w:val="21"/>
                    </w:rPr>
                    <w:t>治理措施</w:t>
                  </w:r>
                </w:p>
              </w:tc>
              <w:tc>
                <w:tcPr>
                  <w:tcW w:w="1337" w:type="dxa"/>
                  <w:vMerge w:val="restart"/>
                  <w:tcBorders>
                    <w:tl2br w:val="nil"/>
                    <w:tr2bl w:val="nil"/>
                  </w:tcBorders>
                  <w:vAlign w:val="center"/>
                </w:tcPr>
                <w:p w14:paraId="1871252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vertAlign w:val="baseline"/>
                    </w:rPr>
                  </w:pPr>
                  <w:r>
                    <w:rPr>
                      <w:rFonts w:ascii="Times New Roman" w:hAnsi="Times New Roman" w:eastAsia="宋体" w:cs="宋体"/>
                      <w:color w:val="auto"/>
                      <w:sz w:val="21"/>
                      <w:szCs w:val="21"/>
                    </w:rPr>
                    <w:t>治理后</w:t>
                  </w:r>
                  <w:r>
                    <w:rPr>
                      <w:rFonts w:hint="eastAsia" w:cs="宋体"/>
                      <w:color w:val="auto"/>
                      <w:sz w:val="21"/>
                      <w:szCs w:val="21"/>
                      <w:lang w:val="en-US" w:eastAsia="zh-CN"/>
                    </w:rPr>
                    <w:t>声</w:t>
                  </w:r>
                  <w:r>
                    <w:rPr>
                      <w:rFonts w:ascii="Times New Roman" w:hAnsi="Times New Roman" w:eastAsia="宋体" w:cs="宋体"/>
                      <w:color w:val="auto"/>
                      <w:sz w:val="21"/>
                      <w:szCs w:val="21"/>
                    </w:rPr>
                    <w:t>级</w:t>
                  </w:r>
                </w:p>
              </w:tc>
            </w:tr>
            <w:tr w14:paraId="717DF0F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8" w:hRule="atLeast"/>
              </w:trPr>
              <w:tc>
                <w:tcPr>
                  <w:tcW w:w="426" w:type="dxa"/>
                  <w:vMerge w:val="continue"/>
                  <w:tcBorders>
                    <w:tl2br w:val="nil"/>
                    <w:tr2bl w:val="nil"/>
                  </w:tcBorders>
                  <w:vAlign w:val="center"/>
                </w:tcPr>
                <w:p w14:paraId="4008FACB">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olor w:val="auto"/>
                      <w:sz w:val="21"/>
                      <w:szCs w:val="21"/>
                    </w:rPr>
                  </w:pPr>
                </w:p>
              </w:tc>
              <w:tc>
                <w:tcPr>
                  <w:tcW w:w="1232" w:type="dxa"/>
                  <w:vMerge w:val="continue"/>
                  <w:tcBorders>
                    <w:tl2br w:val="nil"/>
                    <w:tr2bl w:val="nil"/>
                  </w:tcBorders>
                  <w:vAlign w:val="center"/>
                </w:tcPr>
                <w:p w14:paraId="6D5C1384">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olor w:val="auto"/>
                      <w:sz w:val="21"/>
                      <w:szCs w:val="21"/>
                    </w:rPr>
                  </w:pPr>
                </w:p>
              </w:tc>
              <w:tc>
                <w:tcPr>
                  <w:tcW w:w="450" w:type="dxa"/>
                  <w:vMerge w:val="continue"/>
                  <w:tcBorders>
                    <w:tl2br w:val="nil"/>
                    <w:tr2bl w:val="nil"/>
                  </w:tcBorders>
                  <w:vAlign w:val="center"/>
                </w:tcPr>
                <w:p w14:paraId="1DAE4CB3">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olor w:val="auto"/>
                      <w:sz w:val="21"/>
                      <w:szCs w:val="21"/>
                    </w:rPr>
                  </w:pPr>
                </w:p>
              </w:tc>
              <w:tc>
                <w:tcPr>
                  <w:tcW w:w="1077" w:type="dxa"/>
                  <w:vMerge w:val="continue"/>
                  <w:tcBorders>
                    <w:tl2br w:val="nil"/>
                    <w:tr2bl w:val="nil"/>
                  </w:tcBorders>
                  <w:vAlign w:val="center"/>
                </w:tcPr>
                <w:p w14:paraId="4B36D12F">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olor w:val="auto"/>
                      <w:sz w:val="21"/>
                      <w:szCs w:val="21"/>
                    </w:rPr>
                  </w:pPr>
                </w:p>
              </w:tc>
              <w:tc>
                <w:tcPr>
                  <w:tcW w:w="675" w:type="dxa"/>
                  <w:tcBorders>
                    <w:tl2br w:val="nil"/>
                    <w:tr2bl w:val="nil"/>
                  </w:tcBorders>
                  <w:vAlign w:val="center"/>
                </w:tcPr>
                <w:p w14:paraId="4A10BCA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x</w:t>
                  </w:r>
                </w:p>
              </w:tc>
              <w:tc>
                <w:tcPr>
                  <w:tcW w:w="654" w:type="dxa"/>
                  <w:tcBorders>
                    <w:tl2br w:val="nil"/>
                    <w:tr2bl w:val="nil"/>
                  </w:tcBorders>
                  <w:vAlign w:val="center"/>
                </w:tcPr>
                <w:p w14:paraId="5152083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y</w:t>
                  </w:r>
                </w:p>
              </w:tc>
              <w:tc>
                <w:tcPr>
                  <w:tcW w:w="674" w:type="dxa"/>
                  <w:tcBorders>
                    <w:tl2br w:val="nil"/>
                    <w:tr2bl w:val="nil"/>
                  </w:tcBorders>
                  <w:vAlign w:val="center"/>
                </w:tcPr>
                <w:p w14:paraId="43B8DAD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z</w:t>
                  </w:r>
                </w:p>
              </w:tc>
              <w:tc>
                <w:tcPr>
                  <w:tcW w:w="1261" w:type="dxa"/>
                  <w:vMerge w:val="continue"/>
                  <w:tcBorders>
                    <w:tl2br w:val="nil"/>
                    <w:tr2bl w:val="nil"/>
                  </w:tcBorders>
                  <w:vAlign w:val="center"/>
                </w:tcPr>
                <w:p w14:paraId="10D7E0F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宋体"/>
                      <w:color w:val="auto"/>
                      <w:sz w:val="21"/>
                      <w:szCs w:val="21"/>
                      <w:lang w:val="en-US" w:eastAsia="zh-CN"/>
                    </w:rPr>
                  </w:pPr>
                </w:p>
              </w:tc>
              <w:tc>
                <w:tcPr>
                  <w:tcW w:w="960" w:type="dxa"/>
                  <w:vMerge w:val="continue"/>
                  <w:tcBorders>
                    <w:tl2br w:val="nil"/>
                    <w:tr2bl w:val="nil"/>
                  </w:tcBorders>
                  <w:vAlign w:val="center"/>
                </w:tcPr>
                <w:p w14:paraId="322385D3">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宋体"/>
                      <w:color w:val="auto"/>
                      <w:sz w:val="21"/>
                      <w:szCs w:val="21"/>
                      <w:lang w:val="en-US" w:eastAsia="zh-CN"/>
                    </w:rPr>
                  </w:pPr>
                </w:p>
              </w:tc>
              <w:tc>
                <w:tcPr>
                  <w:tcW w:w="1337" w:type="dxa"/>
                  <w:vMerge w:val="continue"/>
                  <w:tcBorders>
                    <w:tl2br w:val="nil"/>
                    <w:tr2bl w:val="nil"/>
                  </w:tcBorders>
                  <w:vAlign w:val="center"/>
                </w:tcPr>
                <w:p w14:paraId="23A4158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宋体"/>
                      <w:color w:val="auto"/>
                      <w:sz w:val="21"/>
                      <w:szCs w:val="21"/>
                      <w:lang w:val="en-US" w:eastAsia="zh-CN"/>
                    </w:rPr>
                  </w:pPr>
                </w:p>
              </w:tc>
            </w:tr>
            <w:tr w14:paraId="48BC301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39" w:hRule="atLeast"/>
              </w:trPr>
              <w:tc>
                <w:tcPr>
                  <w:tcW w:w="426" w:type="dxa"/>
                  <w:tcBorders>
                    <w:tl2br w:val="nil"/>
                    <w:tr2bl w:val="nil"/>
                  </w:tcBorders>
                  <w:vAlign w:val="center"/>
                </w:tcPr>
                <w:p w14:paraId="63B20733">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vertAlign w:val="baseline"/>
                    </w:rPr>
                  </w:pPr>
                  <w:r>
                    <w:rPr>
                      <w:rFonts w:hint="eastAsia" w:ascii="Times New Roman" w:hAnsi="Times New Roman" w:eastAsia="宋体" w:cs="Times New Roman"/>
                      <w:bCs/>
                      <w:color w:val="auto"/>
                      <w:sz w:val="21"/>
                      <w:szCs w:val="21"/>
                      <w:lang w:val="en-US" w:eastAsia="zh-CN"/>
                    </w:rPr>
                    <w:t>1</w:t>
                  </w:r>
                </w:p>
              </w:tc>
              <w:tc>
                <w:tcPr>
                  <w:tcW w:w="1232" w:type="dxa"/>
                  <w:tcBorders>
                    <w:tl2br w:val="nil"/>
                    <w:tr2bl w:val="nil"/>
                  </w:tcBorders>
                  <w:shd w:val="clear" w:color="auto" w:fill="auto"/>
                  <w:vAlign w:val="center"/>
                </w:tcPr>
                <w:p w14:paraId="69D86AE9">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宋体"/>
                      <w:color w:val="000000"/>
                      <w:kern w:val="2"/>
                      <w:sz w:val="21"/>
                      <w:szCs w:val="21"/>
                      <w:highlight w:val="none"/>
                      <w:lang w:val="en-US" w:eastAsia="zh-CN" w:bidi="ar-SA"/>
                    </w:rPr>
                  </w:pPr>
                  <w:r>
                    <w:rPr>
                      <w:rFonts w:hint="eastAsia" w:ascii="Times New Roman" w:hAnsi="Times New Roman" w:eastAsia="宋体" w:cs="Times New Roman"/>
                      <w:color w:val="auto"/>
                      <w:kern w:val="2"/>
                      <w:sz w:val="21"/>
                      <w:szCs w:val="21"/>
                      <w:lang w:val="en-US" w:eastAsia="zh-CN" w:bidi="ar-SA"/>
                    </w:rPr>
                    <w:t>网笼输送机</w:t>
                  </w:r>
                </w:p>
              </w:tc>
              <w:tc>
                <w:tcPr>
                  <w:tcW w:w="450" w:type="dxa"/>
                  <w:tcBorders>
                    <w:tl2br w:val="nil"/>
                    <w:tr2bl w:val="nil"/>
                  </w:tcBorders>
                  <w:vAlign w:val="center"/>
                </w:tcPr>
                <w:p w14:paraId="2C08CF8C">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z w:val="21"/>
                      <w:szCs w:val="21"/>
                      <w:vertAlign w:val="baseline"/>
                    </w:rPr>
                  </w:pPr>
                  <w:r>
                    <w:rPr>
                      <w:rFonts w:hint="eastAsia" w:ascii="Times New Roman" w:hAnsi="Times New Roman" w:eastAsia="宋体" w:cs="Times New Roman"/>
                      <w:color w:val="auto"/>
                      <w:sz w:val="21"/>
                      <w:szCs w:val="21"/>
                      <w:lang w:val="en-US" w:eastAsia="zh-CN"/>
                    </w:rPr>
                    <w:t>1</w:t>
                  </w:r>
                </w:p>
              </w:tc>
              <w:tc>
                <w:tcPr>
                  <w:tcW w:w="1077" w:type="dxa"/>
                  <w:tcBorders>
                    <w:tl2br w:val="nil"/>
                    <w:tr2bl w:val="nil"/>
                  </w:tcBorders>
                  <w:vAlign w:val="center"/>
                </w:tcPr>
                <w:p w14:paraId="3ABB9A71">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65</w:t>
                  </w:r>
                  <w:r>
                    <w:rPr>
                      <w:rFonts w:ascii="Times New Roman" w:hAnsi="Times New Roman" w:eastAsia="宋体" w:cs="宋体"/>
                      <w:color w:val="auto"/>
                      <w:sz w:val="21"/>
                      <w:szCs w:val="21"/>
                      <w:highlight w:val="none"/>
                    </w:rPr>
                    <w:t>-</w:t>
                  </w:r>
                  <w:r>
                    <w:rPr>
                      <w:rFonts w:hint="eastAsia" w:cs="宋体"/>
                      <w:color w:val="auto"/>
                      <w:sz w:val="21"/>
                      <w:szCs w:val="21"/>
                      <w:highlight w:val="none"/>
                      <w:lang w:val="en-US" w:eastAsia="zh-CN"/>
                    </w:rPr>
                    <w:t>75</w:t>
                  </w:r>
                </w:p>
              </w:tc>
              <w:tc>
                <w:tcPr>
                  <w:tcW w:w="675" w:type="dxa"/>
                  <w:tcBorders>
                    <w:tl2br w:val="nil"/>
                    <w:tr2bl w:val="nil"/>
                  </w:tcBorders>
                  <w:vAlign w:val="center"/>
                </w:tcPr>
                <w:p w14:paraId="74C23EF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ascii="Times New Roman" w:hAnsi="Times New Roman" w:eastAsia="宋体" w:cs="宋体"/>
                      <w:color w:val="auto"/>
                      <w:sz w:val="21"/>
                      <w:szCs w:val="21"/>
                      <w:highlight w:val="none"/>
                    </w:rPr>
                    <w:t>2</w:t>
                  </w:r>
                  <w:r>
                    <w:rPr>
                      <w:rFonts w:hint="eastAsia" w:ascii="Times New Roman" w:hAnsi="Times New Roman" w:eastAsia="宋体" w:cs="宋体"/>
                      <w:color w:val="auto"/>
                      <w:sz w:val="21"/>
                      <w:szCs w:val="21"/>
                      <w:highlight w:val="none"/>
                      <w:lang w:val="en-US" w:eastAsia="zh-CN"/>
                    </w:rPr>
                    <w:t>2</w:t>
                  </w:r>
                  <w:r>
                    <w:rPr>
                      <w:rFonts w:ascii="Times New Roman" w:hAnsi="Times New Roman" w:eastAsia="宋体" w:cs="宋体"/>
                      <w:color w:val="auto"/>
                      <w:sz w:val="21"/>
                      <w:szCs w:val="21"/>
                      <w:highlight w:val="none"/>
                    </w:rPr>
                    <w:t>.0</w:t>
                  </w:r>
                </w:p>
              </w:tc>
              <w:tc>
                <w:tcPr>
                  <w:tcW w:w="654" w:type="dxa"/>
                  <w:tcBorders>
                    <w:tl2br w:val="nil"/>
                    <w:tr2bl w:val="nil"/>
                  </w:tcBorders>
                  <w:vAlign w:val="center"/>
                </w:tcPr>
                <w:p w14:paraId="63C6D48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ascii="Times New Roman" w:hAnsi="Times New Roman" w:eastAsia="宋体" w:cs="宋体"/>
                      <w:color w:val="auto"/>
                      <w:sz w:val="21"/>
                      <w:szCs w:val="21"/>
                      <w:highlight w:val="none"/>
                    </w:rPr>
                    <w:t>12.0</w:t>
                  </w:r>
                </w:p>
              </w:tc>
              <w:tc>
                <w:tcPr>
                  <w:tcW w:w="674" w:type="dxa"/>
                  <w:tcBorders>
                    <w:tl2br w:val="nil"/>
                    <w:tr2bl w:val="nil"/>
                  </w:tcBorders>
                  <w:vAlign w:val="center"/>
                </w:tcPr>
                <w:p w14:paraId="4BF2ECE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0.8</w:t>
                  </w:r>
                </w:p>
              </w:tc>
              <w:tc>
                <w:tcPr>
                  <w:tcW w:w="1261" w:type="dxa"/>
                  <w:tcBorders>
                    <w:tl2br w:val="nil"/>
                    <w:tr2bl w:val="nil"/>
                  </w:tcBorders>
                  <w:vAlign w:val="center"/>
                </w:tcPr>
                <w:p w14:paraId="4693FFFE">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点源</w:t>
                  </w:r>
                </w:p>
              </w:tc>
              <w:tc>
                <w:tcPr>
                  <w:tcW w:w="960" w:type="dxa"/>
                  <w:vMerge w:val="restart"/>
                  <w:tcBorders>
                    <w:tl2br w:val="nil"/>
                    <w:tr2bl w:val="nil"/>
                  </w:tcBorders>
                  <w:vAlign w:val="center"/>
                </w:tcPr>
                <w:p w14:paraId="5FE617B0">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vertAlign w:val="baseline"/>
                    </w:rPr>
                  </w:pPr>
                  <w:r>
                    <w:rPr>
                      <w:rFonts w:ascii="Times New Roman" w:hAnsi="Times New Roman" w:eastAsia="宋体" w:cs="宋体"/>
                      <w:color w:val="auto"/>
                      <w:sz w:val="21"/>
                      <w:szCs w:val="21"/>
                    </w:rPr>
                    <w:t>高噪声设备基础安装减振，进行装消声器等降噪措施</w:t>
                  </w:r>
                </w:p>
              </w:tc>
              <w:tc>
                <w:tcPr>
                  <w:tcW w:w="1337" w:type="dxa"/>
                  <w:vMerge w:val="restart"/>
                  <w:tcBorders>
                    <w:tl2br w:val="nil"/>
                    <w:tr2bl w:val="nil"/>
                  </w:tcBorders>
                  <w:vAlign w:val="center"/>
                </w:tcPr>
                <w:p w14:paraId="041A214E">
                  <w:pPr>
                    <w:pStyle w:val="46"/>
                    <w:keepNext w:val="0"/>
                    <w:keepLines w:val="0"/>
                    <w:pageBreakBefore w:val="0"/>
                    <w:widowControl w:val="0"/>
                    <w:kinsoku/>
                    <w:wordWrap/>
                    <w:overflowPunct/>
                    <w:topLinePunct w:val="0"/>
                    <w:autoSpaceDE/>
                    <w:autoSpaceDN/>
                    <w:bidi w:val="0"/>
                    <w:adjustRightInd/>
                    <w:snapToGrid/>
                    <w:jc w:val="both"/>
                    <w:textAlignment w:val="auto"/>
                    <w:rPr>
                      <w:rFonts w:hint="eastAsia" w:ascii="Times New Roman" w:hAnsi="Times New Roman" w:eastAsia="宋体"/>
                      <w:color w:val="auto"/>
                      <w:sz w:val="21"/>
                      <w:szCs w:val="21"/>
                      <w:vertAlign w:val="baseline"/>
                    </w:rPr>
                  </w:pPr>
                  <w:r>
                    <w:rPr>
                      <w:rFonts w:hint="eastAsia" w:ascii="Times New Roman" w:hAnsi="Times New Roman" w:eastAsia="宋体"/>
                      <w:color w:val="auto"/>
                      <w:sz w:val="21"/>
                      <w:szCs w:val="21"/>
                      <w:highlight w:val="none"/>
                      <w:vertAlign w:val="baseline"/>
                    </w:rPr>
                    <w:t>≤7</w:t>
                  </w:r>
                  <w:r>
                    <w:rPr>
                      <w:rFonts w:hint="eastAsia"/>
                      <w:color w:val="auto"/>
                      <w:sz w:val="21"/>
                      <w:szCs w:val="21"/>
                      <w:highlight w:val="none"/>
                      <w:vertAlign w:val="baseline"/>
                      <w:lang w:val="en-US" w:eastAsia="zh-CN"/>
                    </w:rPr>
                    <w:t>0</w:t>
                  </w:r>
                  <w:r>
                    <w:rPr>
                      <w:rFonts w:hint="eastAsia" w:ascii="Times New Roman" w:hAnsi="Times New Roman" w:eastAsia="宋体"/>
                      <w:color w:val="auto"/>
                      <w:sz w:val="21"/>
                      <w:szCs w:val="21"/>
                      <w:highlight w:val="none"/>
                      <w:vertAlign w:val="baseline"/>
                    </w:rPr>
                    <w:t>dB(A)</w:t>
                  </w:r>
                </w:p>
              </w:tc>
            </w:tr>
            <w:tr w14:paraId="340BF86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26" w:type="dxa"/>
                  <w:tcBorders>
                    <w:tl2br w:val="nil"/>
                    <w:tr2bl w:val="nil"/>
                  </w:tcBorders>
                  <w:vAlign w:val="center"/>
                </w:tcPr>
                <w:p w14:paraId="515EF950">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vertAlign w:val="baseline"/>
                    </w:rPr>
                  </w:pPr>
                  <w:r>
                    <w:rPr>
                      <w:rFonts w:hint="eastAsia" w:ascii="Times New Roman" w:hAnsi="Times New Roman" w:eastAsia="宋体" w:cs="Times New Roman"/>
                      <w:bCs/>
                      <w:color w:val="auto"/>
                      <w:sz w:val="21"/>
                      <w:szCs w:val="21"/>
                      <w:lang w:val="en-US" w:eastAsia="zh-CN"/>
                    </w:rPr>
                    <w:t>2</w:t>
                  </w:r>
                </w:p>
              </w:tc>
              <w:tc>
                <w:tcPr>
                  <w:tcW w:w="1232" w:type="dxa"/>
                  <w:tcBorders>
                    <w:tl2br w:val="nil"/>
                    <w:tr2bl w:val="nil"/>
                  </w:tcBorders>
                  <w:shd w:val="clear" w:color="auto" w:fill="auto"/>
                  <w:vAlign w:val="center"/>
                </w:tcPr>
                <w:p w14:paraId="0EB33016">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auto"/>
                      <w:spacing w:val="7"/>
                      <w:kern w:val="2"/>
                      <w:sz w:val="21"/>
                      <w:szCs w:val="21"/>
                      <w:lang w:val="en-US" w:eastAsia="zh-CN" w:bidi="ar-SA"/>
                    </w:rPr>
                    <w:t>双模并跺车</w:t>
                  </w:r>
                </w:p>
              </w:tc>
              <w:tc>
                <w:tcPr>
                  <w:tcW w:w="450" w:type="dxa"/>
                  <w:tcBorders>
                    <w:tl2br w:val="nil"/>
                    <w:tr2bl w:val="nil"/>
                  </w:tcBorders>
                  <w:vAlign w:val="center"/>
                </w:tcPr>
                <w:p w14:paraId="2F48A830">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z w:val="21"/>
                      <w:szCs w:val="21"/>
                      <w:vertAlign w:val="baseline"/>
                    </w:rPr>
                  </w:pPr>
                  <w:r>
                    <w:rPr>
                      <w:rFonts w:hint="eastAsia" w:ascii="Times New Roman" w:hAnsi="Times New Roman" w:eastAsia="宋体" w:cs="Times New Roman"/>
                      <w:color w:val="auto"/>
                      <w:spacing w:val="-2"/>
                      <w:sz w:val="21"/>
                      <w:szCs w:val="21"/>
                      <w:lang w:val="en-US" w:eastAsia="zh-CN"/>
                    </w:rPr>
                    <w:t>1</w:t>
                  </w:r>
                </w:p>
              </w:tc>
              <w:tc>
                <w:tcPr>
                  <w:tcW w:w="1077" w:type="dxa"/>
                  <w:tcBorders>
                    <w:tl2br w:val="nil"/>
                    <w:tr2bl w:val="nil"/>
                  </w:tcBorders>
                  <w:vAlign w:val="center"/>
                </w:tcPr>
                <w:p w14:paraId="28520022">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cs="宋体"/>
                      <w:color w:val="auto"/>
                      <w:sz w:val="21"/>
                      <w:szCs w:val="21"/>
                      <w:highlight w:val="none"/>
                      <w:lang w:val="en-US" w:eastAsia="zh-CN"/>
                    </w:rPr>
                    <w:t>65</w:t>
                  </w:r>
                  <w:r>
                    <w:rPr>
                      <w:rFonts w:ascii="Times New Roman" w:hAnsi="Times New Roman" w:eastAsia="宋体" w:cs="宋体"/>
                      <w:color w:val="auto"/>
                      <w:sz w:val="21"/>
                      <w:szCs w:val="21"/>
                      <w:highlight w:val="none"/>
                    </w:rPr>
                    <w:t>-</w:t>
                  </w:r>
                  <w:r>
                    <w:rPr>
                      <w:rFonts w:hint="eastAsia" w:cs="宋体"/>
                      <w:color w:val="auto"/>
                      <w:sz w:val="21"/>
                      <w:szCs w:val="21"/>
                      <w:highlight w:val="none"/>
                      <w:lang w:val="en-US" w:eastAsia="zh-CN"/>
                    </w:rPr>
                    <w:t>75</w:t>
                  </w:r>
                </w:p>
              </w:tc>
              <w:tc>
                <w:tcPr>
                  <w:tcW w:w="675" w:type="dxa"/>
                  <w:tcBorders>
                    <w:tl2br w:val="nil"/>
                    <w:tr2bl w:val="nil"/>
                  </w:tcBorders>
                  <w:vAlign w:val="center"/>
                </w:tcPr>
                <w:p w14:paraId="0AC3E62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2</w:t>
                  </w:r>
                  <w:r>
                    <w:rPr>
                      <w:rFonts w:ascii="Times New Roman" w:hAnsi="Times New Roman" w:eastAsia="宋体" w:cs="宋体"/>
                      <w:color w:val="auto"/>
                      <w:sz w:val="21"/>
                      <w:szCs w:val="21"/>
                      <w:highlight w:val="none"/>
                    </w:rPr>
                    <w:t>.0</w:t>
                  </w:r>
                </w:p>
              </w:tc>
              <w:tc>
                <w:tcPr>
                  <w:tcW w:w="654" w:type="dxa"/>
                  <w:tcBorders>
                    <w:tl2br w:val="nil"/>
                    <w:tr2bl w:val="nil"/>
                  </w:tcBorders>
                  <w:vAlign w:val="center"/>
                </w:tcPr>
                <w:p w14:paraId="24B61FD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29</w:t>
                  </w:r>
                  <w:r>
                    <w:rPr>
                      <w:rFonts w:ascii="Times New Roman" w:hAnsi="Times New Roman" w:eastAsia="宋体" w:cs="宋体"/>
                      <w:color w:val="auto"/>
                      <w:sz w:val="21"/>
                      <w:szCs w:val="21"/>
                      <w:highlight w:val="none"/>
                    </w:rPr>
                    <w:t>.0</w:t>
                  </w:r>
                </w:p>
              </w:tc>
              <w:tc>
                <w:tcPr>
                  <w:tcW w:w="674" w:type="dxa"/>
                  <w:tcBorders>
                    <w:tl2br w:val="nil"/>
                    <w:tr2bl w:val="nil"/>
                  </w:tcBorders>
                  <w:vAlign w:val="center"/>
                </w:tcPr>
                <w:p w14:paraId="4F7E092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1.2</w:t>
                  </w:r>
                </w:p>
              </w:tc>
              <w:tc>
                <w:tcPr>
                  <w:tcW w:w="1261" w:type="dxa"/>
                  <w:tcBorders>
                    <w:tl2br w:val="nil"/>
                    <w:tr2bl w:val="nil"/>
                  </w:tcBorders>
                  <w:vAlign w:val="center"/>
                </w:tcPr>
                <w:p w14:paraId="2BE2536D">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olor w:val="auto"/>
                      <w:sz w:val="21"/>
                      <w:szCs w:val="21"/>
                      <w:highlight w:val="none"/>
                      <w:vertAlign w:val="baseline"/>
                      <w:lang w:val="en-US" w:eastAsia="zh-CN"/>
                    </w:rPr>
                    <w:t>点源</w:t>
                  </w:r>
                </w:p>
              </w:tc>
              <w:tc>
                <w:tcPr>
                  <w:tcW w:w="960" w:type="dxa"/>
                  <w:vMerge w:val="continue"/>
                  <w:tcBorders>
                    <w:tl2br w:val="nil"/>
                    <w:tr2bl w:val="nil"/>
                  </w:tcBorders>
                  <w:vAlign w:val="center"/>
                </w:tcPr>
                <w:p w14:paraId="36888E8E">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vertAlign w:val="baseline"/>
                    </w:rPr>
                  </w:pPr>
                </w:p>
              </w:tc>
              <w:tc>
                <w:tcPr>
                  <w:tcW w:w="1337" w:type="dxa"/>
                  <w:vMerge w:val="continue"/>
                  <w:tcBorders>
                    <w:tl2br w:val="nil"/>
                    <w:tr2bl w:val="nil"/>
                  </w:tcBorders>
                  <w:vAlign w:val="center"/>
                </w:tcPr>
                <w:p w14:paraId="5890FE17">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vertAlign w:val="baseline"/>
                    </w:rPr>
                  </w:pPr>
                </w:p>
              </w:tc>
            </w:tr>
            <w:tr w14:paraId="21300E4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26" w:type="dxa"/>
                  <w:tcBorders>
                    <w:tl2br w:val="nil"/>
                    <w:tr2bl w:val="nil"/>
                  </w:tcBorders>
                  <w:vAlign w:val="center"/>
                </w:tcPr>
                <w:p w14:paraId="5C3CDCBF">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vertAlign w:val="baseline"/>
                    </w:rPr>
                  </w:pPr>
                  <w:r>
                    <w:rPr>
                      <w:rFonts w:hint="eastAsia" w:ascii="Times New Roman" w:hAnsi="Times New Roman" w:eastAsia="宋体" w:cs="Times New Roman"/>
                      <w:bCs/>
                      <w:color w:val="auto"/>
                      <w:sz w:val="21"/>
                      <w:szCs w:val="21"/>
                      <w:lang w:val="en-US" w:eastAsia="zh-CN"/>
                    </w:rPr>
                    <w:t>3</w:t>
                  </w:r>
                </w:p>
              </w:tc>
              <w:tc>
                <w:tcPr>
                  <w:tcW w:w="1232" w:type="dxa"/>
                  <w:tcBorders>
                    <w:tl2br w:val="nil"/>
                    <w:tr2bl w:val="nil"/>
                  </w:tcBorders>
                  <w:shd w:val="clear" w:color="auto" w:fill="auto"/>
                  <w:vAlign w:val="center"/>
                </w:tcPr>
                <w:p w14:paraId="235317B7">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auto"/>
                      <w:spacing w:val="2"/>
                      <w:kern w:val="2"/>
                      <w:position w:val="1"/>
                      <w:sz w:val="21"/>
                      <w:szCs w:val="21"/>
                      <w:lang w:val="en-US" w:eastAsia="zh-CN" w:bidi="ar-SA"/>
                    </w:rPr>
                    <w:t>网片烘干吊机</w:t>
                  </w:r>
                </w:p>
              </w:tc>
              <w:tc>
                <w:tcPr>
                  <w:tcW w:w="450" w:type="dxa"/>
                  <w:tcBorders>
                    <w:tl2br w:val="nil"/>
                    <w:tr2bl w:val="nil"/>
                  </w:tcBorders>
                  <w:vAlign w:val="center"/>
                </w:tcPr>
                <w:p w14:paraId="0616EB6D">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z w:val="21"/>
                      <w:szCs w:val="21"/>
                      <w:vertAlign w:val="baseline"/>
                    </w:rPr>
                  </w:pPr>
                  <w:r>
                    <w:rPr>
                      <w:rFonts w:hint="eastAsia" w:ascii="Times New Roman" w:hAnsi="Times New Roman" w:eastAsia="宋体" w:cs="Times New Roman"/>
                      <w:color w:val="auto"/>
                      <w:spacing w:val="-3"/>
                      <w:sz w:val="21"/>
                      <w:szCs w:val="21"/>
                      <w:lang w:val="en-US" w:eastAsia="zh-CN"/>
                    </w:rPr>
                    <w:t>1</w:t>
                  </w:r>
                </w:p>
              </w:tc>
              <w:tc>
                <w:tcPr>
                  <w:tcW w:w="1077" w:type="dxa"/>
                  <w:tcBorders>
                    <w:tl2br w:val="nil"/>
                    <w:tr2bl w:val="nil"/>
                  </w:tcBorders>
                  <w:vAlign w:val="center"/>
                </w:tcPr>
                <w:p w14:paraId="48B77F72">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cs="宋体"/>
                      <w:color w:val="auto"/>
                      <w:sz w:val="21"/>
                      <w:szCs w:val="21"/>
                      <w:highlight w:val="none"/>
                      <w:lang w:val="en-US" w:eastAsia="zh-CN"/>
                    </w:rPr>
                    <w:t>65</w:t>
                  </w:r>
                  <w:r>
                    <w:rPr>
                      <w:rFonts w:ascii="Times New Roman" w:hAnsi="Times New Roman" w:eastAsia="宋体" w:cs="宋体"/>
                      <w:color w:val="auto"/>
                      <w:sz w:val="21"/>
                      <w:szCs w:val="21"/>
                      <w:highlight w:val="none"/>
                    </w:rPr>
                    <w:t>-</w:t>
                  </w:r>
                  <w:r>
                    <w:rPr>
                      <w:rFonts w:hint="eastAsia" w:cs="宋体"/>
                      <w:color w:val="auto"/>
                      <w:sz w:val="21"/>
                      <w:szCs w:val="21"/>
                      <w:highlight w:val="none"/>
                      <w:lang w:val="en-US" w:eastAsia="zh-CN"/>
                    </w:rPr>
                    <w:t>75</w:t>
                  </w:r>
                </w:p>
              </w:tc>
              <w:tc>
                <w:tcPr>
                  <w:tcW w:w="675" w:type="dxa"/>
                  <w:tcBorders>
                    <w:tl2br w:val="nil"/>
                    <w:tr2bl w:val="nil"/>
                  </w:tcBorders>
                  <w:vAlign w:val="center"/>
                </w:tcPr>
                <w:p w14:paraId="1FFA4FA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ascii="Times New Roman" w:hAnsi="Times New Roman" w:eastAsia="宋体" w:cs="宋体"/>
                      <w:color w:val="auto"/>
                      <w:sz w:val="21"/>
                      <w:szCs w:val="21"/>
                      <w:highlight w:val="none"/>
                    </w:rPr>
                    <w:t>1</w:t>
                  </w:r>
                  <w:r>
                    <w:rPr>
                      <w:rFonts w:hint="eastAsia" w:ascii="Times New Roman" w:hAnsi="Times New Roman" w:eastAsia="宋体" w:cs="宋体"/>
                      <w:color w:val="auto"/>
                      <w:sz w:val="21"/>
                      <w:szCs w:val="21"/>
                      <w:highlight w:val="none"/>
                      <w:lang w:val="en-US" w:eastAsia="zh-CN"/>
                    </w:rPr>
                    <w:t>2</w:t>
                  </w:r>
                  <w:r>
                    <w:rPr>
                      <w:rFonts w:ascii="Times New Roman" w:hAnsi="Times New Roman" w:eastAsia="宋体" w:cs="宋体"/>
                      <w:color w:val="auto"/>
                      <w:sz w:val="21"/>
                      <w:szCs w:val="21"/>
                      <w:highlight w:val="none"/>
                    </w:rPr>
                    <w:t>.0</w:t>
                  </w:r>
                </w:p>
              </w:tc>
              <w:tc>
                <w:tcPr>
                  <w:tcW w:w="654" w:type="dxa"/>
                  <w:tcBorders>
                    <w:tl2br w:val="nil"/>
                    <w:tr2bl w:val="nil"/>
                  </w:tcBorders>
                  <w:vAlign w:val="center"/>
                </w:tcPr>
                <w:p w14:paraId="3E376AA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16</w:t>
                  </w:r>
                  <w:r>
                    <w:rPr>
                      <w:rFonts w:ascii="Times New Roman" w:hAnsi="Times New Roman" w:eastAsia="宋体" w:cs="宋体"/>
                      <w:color w:val="auto"/>
                      <w:sz w:val="21"/>
                      <w:szCs w:val="21"/>
                      <w:highlight w:val="none"/>
                    </w:rPr>
                    <w:t>.0</w:t>
                  </w:r>
                </w:p>
              </w:tc>
              <w:tc>
                <w:tcPr>
                  <w:tcW w:w="674" w:type="dxa"/>
                  <w:tcBorders>
                    <w:tl2br w:val="nil"/>
                    <w:tr2bl w:val="nil"/>
                  </w:tcBorders>
                  <w:vAlign w:val="center"/>
                </w:tcPr>
                <w:p w14:paraId="5CE6D83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1.0</w:t>
                  </w:r>
                </w:p>
              </w:tc>
              <w:tc>
                <w:tcPr>
                  <w:tcW w:w="1261" w:type="dxa"/>
                  <w:tcBorders>
                    <w:tl2br w:val="nil"/>
                    <w:tr2bl w:val="nil"/>
                  </w:tcBorders>
                  <w:vAlign w:val="center"/>
                </w:tcPr>
                <w:p w14:paraId="5270A96C">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b/>
                      <w:bCs/>
                      <w:color w:val="auto"/>
                      <w:sz w:val="21"/>
                      <w:szCs w:val="21"/>
                      <w:highlight w:val="none"/>
                      <w:vertAlign w:val="baseline"/>
                    </w:rPr>
                  </w:pPr>
                  <w:r>
                    <w:rPr>
                      <w:rFonts w:hint="eastAsia" w:ascii="Times New Roman" w:hAnsi="Times New Roman" w:eastAsia="宋体"/>
                      <w:color w:val="auto"/>
                      <w:sz w:val="21"/>
                      <w:szCs w:val="21"/>
                      <w:highlight w:val="none"/>
                      <w:vertAlign w:val="baseline"/>
                      <w:lang w:val="en-US" w:eastAsia="zh-CN"/>
                    </w:rPr>
                    <w:t>点源</w:t>
                  </w:r>
                </w:p>
              </w:tc>
              <w:tc>
                <w:tcPr>
                  <w:tcW w:w="960" w:type="dxa"/>
                  <w:vMerge w:val="continue"/>
                  <w:tcBorders>
                    <w:tl2br w:val="nil"/>
                    <w:tr2bl w:val="nil"/>
                  </w:tcBorders>
                  <w:vAlign w:val="center"/>
                </w:tcPr>
                <w:p w14:paraId="43B93904">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vertAlign w:val="baseline"/>
                    </w:rPr>
                  </w:pPr>
                </w:p>
              </w:tc>
              <w:tc>
                <w:tcPr>
                  <w:tcW w:w="1337" w:type="dxa"/>
                  <w:vMerge w:val="continue"/>
                  <w:tcBorders>
                    <w:tl2br w:val="nil"/>
                    <w:tr2bl w:val="nil"/>
                  </w:tcBorders>
                  <w:vAlign w:val="center"/>
                </w:tcPr>
                <w:p w14:paraId="22B01AEE">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vertAlign w:val="baseline"/>
                    </w:rPr>
                  </w:pPr>
                </w:p>
              </w:tc>
            </w:tr>
            <w:tr w14:paraId="2B2E8BB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426" w:type="dxa"/>
                  <w:tcBorders>
                    <w:tl2br w:val="nil"/>
                    <w:tr2bl w:val="nil"/>
                  </w:tcBorders>
                  <w:vAlign w:val="center"/>
                </w:tcPr>
                <w:p w14:paraId="52486014">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vertAlign w:val="baseline"/>
                    </w:rPr>
                  </w:pPr>
                  <w:r>
                    <w:rPr>
                      <w:rFonts w:hint="eastAsia" w:ascii="Times New Roman" w:hAnsi="Times New Roman" w:eastAsia="宋体" w:cs="Times New Roman"/>
                      <w:bCs/>
                      <w:color w:val="auto"/>
                      <w:sz w:val="21"/>
                      <w:szCs w:val="21"/>
                      <w:lang w:val="en-US" w:eastAsia="zh-CN"/>
                    </w:rPr>
                    <w:t>4</w:t>
                  </w:r>
                </w:p>
              </w:tc>
              <w:tc>
                <w:tcPr>
                  <w:tcW w:w="1232" w:type="dxa"/>
                  <w:tcBorders>
                    <w:tl2br w:val="nil"/>
                    <w:tr2bl w:val="nil"/>
                  </w:tcBorders>
                  <w:shd w:val="clear" w:color="auto" w:fill="auto"/>
                  <w:vAlign w:val="center"/>
                </w:tcPr>
                <w:p w14:paraId="26A3DCC1">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auto"/>
                      <w:spacing w:val="6"/>
                      <w:kern w:val="2"/>
                      <w:sz w:val="21"/>
                      <w:szCs w:val="21"/>
                      <w:lang w:val="en-US" w:eastAsia="zh-CN" w:bidi="ar-SA"/>
                    </w:rPr>
                    <w:t>插拔钎吊机</w:t>
                  </w:r>
                </w:p>
              </w:tc>
              <w:tc>
                <w:tcPr>
                  <w:tcW w:w="450" w:type="dxa"/>
                  <w:tcBorders>
                    <w:tl2br w:val="nil"/>
                    <w:tr2bl w:val="nil"/>
                  </w:tcBorders>
                  <w:vAlign w:val="center"/>
                </w:tcPr>
                <w:p w14:paraId="258D24F9">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z w:val="21"/>
                      <w:szCs w:val="21"/>
                      <w:vertAlign w:val="baseline"/>
                    </w:rPr>
                  </w:pPr>
                  <w:r>
                    <w:rPr>
                      <w:rFonts w:hint="eastAsia" w:ascii="Times New Roman" w:hAnsi="Times New Roman" w:eastAsia="宋体" w:cs="Times New Roman"/>
                      <w:color w:val="auto"/>
                      <w:spacing w:val="-10"/>
                      <w:sz w:val="21"/>
                      <w:szCs w:val="21"/>
                      <w:lang w:val="en-US" w:eastAsia="zh-CN"/>
                    </w:rPr>
                    <w:t>2</w:t>
                  </w:r>
                </w:p>
              </w:tc>
              <w:tc>
                <w:tcPr>
                  <w:tcW w:w="1077" w:type="dxa"/>
                  <w:tcBorders>
                    <w:tl2br w:val="nil"/>
                    <w:tr2bl w:val="nil"/>
                  </w:tcBorders>
                  <w:vAlign w:val="center"/>
                </w:tcPr>
                <w:p w14:paraId="06762640">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cs="宋体"/>
                      <w:color w:val="auto"/>
                      <w:sz w:val="21"/>
                      <w:szCs w:val="21"/>
                      <w:highlight w:val="none"/>
                      <w:lang w:val="en-US" w:eastAsia="zh-CN"/>
                    </w:rPr>
                    <w:t>65</w:t>
                  </w:r>
                  <w:r>
                    <w:rPr>
                      <w:rFonts w:ascii="Times New Roman" w:hAnsi="Times New Roman" w:eastAsia="宋体" w:cs="宋体"/>
                      <w:color w:val="auto"/>
                      <w:sz w:val="21"/>
                      <w:szCs w:val="21"/>
                      <w:highlight w:val="none"/>
                    </w:rPr>
                    <w:t>-</w:t>
                  </w:r>
                  <w:r>
                    <w:rPr>
                      <w:rFonts w:hint="eastAsia" w:cs="宋体"/>
                      <w:color w:val="auto"/>
                      <w:sz w:val="21"/>
                      <w:szCs w:val="21"/>
                      <w:highlight w:val="none"/>
                      <w:lang w:val="en-US" w:eastAsia="zh-CN"/>
                    </w:rPr>
                    <w:t>75</w:t>
                  </w:r>
                </w:p>
              </w:tc>
              <w:tc>
                <w:tcPr>
                  <w:tcW w:w="675" w:type="dxa"/>
                  <w:tcBorders>
                    <w:tl2br w:val="nil"/>
                    <w:tr2bl w:val="nil"/>
                  </w:tcBorders>
                  <w:vAlign w:val="center"/>
                </w:tcPr>
                <w:p w14:paraId="66322C9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16</w:t>
                  </w:r>
                  <w:r>
                    <w:rPr>
                      <w:rFonts w:ascii="Times New Roman" w:hAnsi="Times New Roman" w:eastAsia="宋体" w:cs="宋体"/>
                      <w:color w:val="auto"/>
                      <w:sz w:val="21"/>
                      <w:szCs w:val="21"/>
                      <w:highlight w:val="none"/>
                    </w:rPr>
                    <w:t>.0</w:t>
                  </w:r>
                </w:p>
              </w:tc>
              <w:tc>
                <w:tcPr>
                  <w:tcW w:w="654" w:type="dxa"/>
                  <w:tcBorders>
                    <w:tl2br w:val="nil"/>
                    <w:tr2bl w:val="nil"/>
                  </w:tcBorders>
                  <w:vAlign w:val="center"/>
                </w:tcPr>
                <w:p w14:paraId="30F621E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18</w:t>
                  </w:r>
                  <w:r>
                    <w:rPr>
                      <w:rFonts w:ascii="Times New Roman" w:hAnsi="Times New Roman" w:eastAsia="宋体" w:cs="宋体"/>
                      <w:color w:val="auto"/>
                      <w:sz w:val="21"/>
                      <w:szCs w:val="21"/>
                      <w:highlight w:val="none"/>
                    </w:rPr>
                    <w:t>.0</w:t>
                  </w:r>
                </w:p>
              </w:tc>
              <w:tc>
                <w:tcPr>
                  <w:tcW w:w="674" w:type="dxa"/>
                  <w:tcBorders>
                    <w:tl2br w:val="nil"/>
                    <w:tr2bl w:val="nil"/>
                  </w:tcBorders>
                  <w:vAlign w:val="center"/>
                </w:tcPr>
                <w:p w14:paraId="36B46D4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ascii="Times New Roman" w:hAnsi="Times New Roman" w:eastAsia="宋体" w:cs="宋体"/>
                      <w:color w:val="auto"/>
                      <w:sz w:val="21"/>
                      <w:szCs w:val="21"/>
                      <w:highlight w:val="none"/>
                    </w:rPr>
                    <w:t>1.</w:t>
                  </w:r>
                  <w:r>
                    <w:rPr>
                      <w:rFonts w:hint="eastAsia" w:ascii="Times New Roman" w:hAnsi="Times New Roman" w:eastAsia="宋体" w:cs="宋体"/>
                      <w:color w:val="auto"/>
                      <w:sz w:val="21"/>
                      <w:szCs w:val="21"/>
                      <w:highlight w:val="none"/>
                      <w:lang w:val="en-US" w:eastAsia="zh-CN"/>
                    </w:rPr>
                    <w:t>5</w:t>
                  </w:r>
                </w:p>
              </w:tc>
              <w:tc>
                <w:tcPr>
                  <w:tcW w:w="1261" w:type="dxa"/>
                  <w:tcBorders>
                    <w:tl2br w:val="nil"/>
                    <w:tr2bl w:val="nil"/>
                  </w:tcBorders>
                  <w:vAlign w:val="center"/>
                </w:tcPr>
                <w:p w14:paraId="1D007312">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olor w:val="auto"/>
                      <w:sz w:val="21"/>
                      <w:szCs w:val="21"/>
                      <w:highlight w:val="none"/>
                      <w:vertAlign w:val="baseline"/>
                      <w:lang w:val="en-US" w:eastAsia="zh-CN"/>
                    </w:rPr>
                    <w:t>点源</w:t>
                  </w:r>
                </w:p>
              </w:tc>
              <w:tc>
                <w:tcPr>
                  <w:tcW w:w="960" w:type="dxa"/>
                  <w:vMerge w:val="continue"/>
                  <w:tcBorders>
                    <w:tl2br w:val="nil"/>
                    <w:tr2bl w:val="nil"/>
                  </w:tcBorders>
                  <w:vAlign w:val="center"/>
                </w:tcPr>
                <w:p w14:paraId="1EF6E101">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vertAlign w:val="baseline"/>
                    </w:rPr>
                  </w:pPr>
                </w:p>
              </w:tc>
              <w:tc>
                <w:tcPr>
                  <w:tcW w:w="1337" w:type="dxa"/>
                  <w:vMerge w:val="continue"/>
                  <w:tcBorders>
                    <w:tl2br w:val="nil"/>
                    <w:tr2bl w:val="nil"/>
                  </w:tcBorders>
                  <w:vAlign w:val="center"/>
                </w:tcPr>
                <w:p w14:paraId="277411FA">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vertAlign w:val="baseline"/>
                    </w:rPr>
                  </w:pPr>
                </w:p>
              </w:tc>
            </w:tr>
            <w:tr w14:paraId="17AE772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54" w:hRule="atLeast"/>
              </w:trPr>
              <w:tc>
                <w:tcPr>
                  <w:tcW w:w="426" w:type="dxa"/>
                  <w:tcBorders>
                    <w:tl2br w:val="nil"/>
                    <w:tr2bl w:val="nil"/>
                  </w:tcBorders>
                  <w:vAlign w:val="center"/>
                </w:tcPr>
                <w:p w14:paraId="796DF30E">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vertAlign w:val="baseline"/>
                    </w:rPr>
                  </w:pPr>
                  <w:r>
                    <w:rPr>
                      <w:rFonts w:hint="eastAsia" w:ascii="Times New Roman" w:hAnsi="Times New Roman" w:eastAsia="宋体" w:cs="Times New Roman"/>
                      <w:bCs/>
                      <w:color w:val="auto"/>
                      <w:sz w:val="21"/>
                      <w:szCs w:val="21"/>
                      <w:lang w:val="en-US" w:eastAsia="zh-CN"/>
                    </w:rPr>
                    <w:t>5</w:t>
                  </w:r>
                </w:p>
              </w:tc>
              <w:tc>
                <w:tcPr>
                  <w:tcW w:w="1232" w:type="dxa"/>
                  <w:tcBorders>
                    <w:tl2br w:val="nil"/>
                    <w:tr2bl w:val="nil"/>
                  </w:tcBorders>
                  <w:shd w:val="clear" w:color="auto" w:fill="auto"/>
                  <w:vAlign w:val="center"/>
                </w:tcPr>
                <w:p w14:paraId="798B269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auto"/>
                      <w:spacing w:val="2"/>
                      <w:kern w:val="2"/>
                      <w:position w:val="1"/>
                      <w:sz w:val="21"/>
                      <w:szCs w:val="21"/>
                      <w:lang w:val="en-US" w:eastAsia="zh-CN" w:bidi="ar-SA"/>
                    </w:rPr>
                    <w:t>全自动无托打包线</w:t>
                  </w:r>
                </w:p>
              </w:tc>
              <w:tc>
                <w:tcPr>
                  <w:tcW w:w="450" w:type="dxa"/>
                  <w:tcBorders>
                    <w:tl2br w:val="nil"/>
                    <w:tr2bl w:val="nil"/>
                  </w:tcBorders>
                  <w:vAlign w:val="center"/>
                </w:tcPr>
                <w:p w14:paraId="7342B006">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z w:val="21"/>
                      <w:szCs w:val="21"/>
                      <w:vertAlign w:val="baseline"/>
                    </w:rPr>
                  </w:pPr>
                  <w:r>
                    <w:rPr>
                      <w:rFonts w:hint="eastAsia" w:ascii="Times New Roman" w:hAnsi="Times New Roman" w:eastAsia="宋体" w:cs="Times New Roman"/>
                      <w:color w:val="auto"/>
                      <w:sz w:val="21"/>
                      <w:szCs w:val="21"/>
                      <w:lang w:val="en-US" w:eastAsia="zh-CN"/>
                    </w:rPr>
                    <w:t>1</w:t>
                  </w:r>
                </w:p>
              </w:tc>
              <w:tc>
                <w:tcPr>
                  <w:tcW w:w="1077" w:type="dxa"/>
                  <w:tcBorders>
                    <w:tl2br w:val="nil"/>
                    <w:tr2bl w:val="nil"/>
                  </w:tcBorders>
                  <w:vAlign w:val="center"/>
                </w:tcPr>
                <w:p w14:paraId="5BEE1307">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cs="宋体"/>
                      <w:color w:val="auto"/>
                      <w:sz w:val="21"/>
                      <w:szCs w:val="21"/>
                      <w:highlight w:val="none"/>
                      <w:lang w:val="en-US" w:eastAsia="zh-CN"/>
                    </w:rPr>
                    <w:t>65</w:t>
                  </w:r>
                  <w:r>
                    <w:rPr>
                      <w:rFonts w:ascii="Times New Roman" w:hAnsi="Times New Roman" w:eastAsia="宋体" w:cs="宋体"/>
                      <w:color w:val="auto"/>
                      <w:sz w:val="21"/>
                      <w:szCs w:val="21"/>
                      <w:highlight w:val="none"/>
                    </w:rPr>
                    <w:t>-</w:t>
                  </w:r>
                  <w:r>
                    <w:rPr>
                      <w:rFonts w:hint="eastAsia" w:cs="宋体"/>
                      <w:color w:val="auto"/>
                      <w:sz w:val="21"/>
                      <w:szCs w:val="21"/>
                      <w:highlight w:val="none"/>
                      <w:lang w:val="en-US" w:eastAsia="zh-CN"/>
                    </w:rPr>
                    <w:t>75</w:t>
                  </w:r>
                </w:p>
              </w:tc>
              <w:tc>
                <w:tcPr>
                  <w:tcW w:w="675" w:type="dxa"/>
                  <w:tcBorders>
                    <w:tl2br w:val="nil"/>
                    <w:tr2bl w:val="nil"/>
                  </w:tcBorders>
                  <w:vAlign w:val="center"/>
                </w:tcPr>
                <w:p w14:paraId="7FCFBD6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52</w:t>
                  </w:r>
                  <w:r>
                    <w:rPr>
                      <w:rFonts w:ascii="Times New Roman" w:hAnsi="Times New Roman" w:eastAsia="宋体" w:cs="宋体"/>
                      <w:color w:val="auto"/>
                      <w:sz w:val="21"/>
                      <w:szCs w:val="21"/>
                      <w:highlight w:val="none"/>
                    </w:rPr>
                    <w:t>.0</w:t>
                  </w:r>
                </w:p>
              </w:tc>
              <w:tc>
                <w:tcPr>
                  <w:tcW w:w="654" w:type="dxa"/>
                  <w:tcBorders>
                    <w:tl2br w:val="nil"/>
                    <w:tr2bl w:val="nil"/>
                  </w:tcBorders>
                  <w:vAlign w:val="center"/>
                </w:tcPr>
                <w:p w14:paraId="6267A5C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46.5</w:t>
                  </w:r>
                </w:p>
              </w:tc>
              <w:tc>
                <w:tcPr>
                  <w:tcW w:w="674" w:type="dxa"/>
                  <w:tcBorders>
                    <w:tl2br w:val="nil"/>
                    <w:tr2bl w:val="nil"/>
                  </w:tcBorders>
                  <w:vAlign w:val="center"/>
                </w:tcPr>
                <w:p w14:paraId="406775F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ascii="Times New Roman" w:hAnsi="Times New Roman" w:eastAsia="宋体" w:cs="宋体"/>
                      <w:color w:val="auto"/>
                      <w:sz w:val="21"/>
                      <w:szCs w:val="21"/>
                      <w:highlight w:val="none"/>
                    </w:rPr>
                    <w:t>1.</w:t>
                  </w:r>
                  <w:r>
                    <w:rPr>
                      <w:rFonts w:hint="eastAsia" w:ascii="Times New Roman" w:hAnsi="Times New Roman" w:eastAsia="宋体" w:cs="宋体"/>
                      <w:color w:val="auto"/>
                      <w:sz w:val="21"/>
                      <w:szCs w:val="21"/>
                      <w:highlight w:val="none"/>
                      <w:lang w:val="en-US" w:eastAsia="zh-CN"/>
                    </w:rPr>
                    <w:t>5</w:t>
                  </w:r>
                </w:p>
              </w:tc>
              <w:tc>
                <w:tcPr>
                  <w:tcW w:w="1261" w:type="dxa"/>
                  <w:tcBorders>
                    <w:tl2br w:val="nil"/>
                    <w:tr2bl w:val="nil"/>
                  </w:tcBorders>
                  <w:vAlign w:val="center"/>
                </w:tcPr>
                <w:p w14:paraId="475E0736">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olor w:val="auto"/>
                      <w:sz w:val="21"/>
                      <w:szCs w:val="21"/>
                      <w:highlight w:val="none"/>
                      <w:vertAlign w:val="baseline"/>
                      <w:lang w:val="en-US" w:eastAsia="zh-CN"/>
                    </w:rPr>
                    <w:t>点源</w:t>
                  </w:r>
                </w:p>
              </w:tc>
              <w:tc>
                <w:tcPr>
                  <w:tcW w:w="960" w:type="dxa"/>
                  <w:vMerge w:val="continue"/>
                  <w:tcBorders>
                    <w:tl2br w:val="nil"/>
                    <w:tr2bl w:val="nil"/>
                  </w:tcBorders>
                  <w:vAlign w:val="center"/>
                </w:tcPr>
                <w:p w14:paraId="42959ED9">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vertAlign w:val="baseline"/>
                    </w:rPr>
                  </w:pPr>
                </w:p>
              </w:tc>
              <w:tc>
                <w:tcPr>
                  <w:tcW w:w="1337" w:type="dxa"/>
                  <w:vMerge w:val="continue"/>
                  <w:tcBorders>
                    <w:tl2br w:val="nil"/>
                    <w:tr2bl w:val="nil"/>
                  </w:tcBorders>
                  <w:vAlign w:val="center"/>
                </w:tcPr>
                <w:p w14:paraId="5FEE5158">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vertAlign w:val="baseline"/>
                    </w:rPr>
                  </w:pPr>
                </w:p>
              </w:tc>
            </w:tr>
            <w:tr w14:paraId="0C594FF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26" w:type="dxa"/>
                  <w:tcBorders>
                    <w:tl2br w:val="nil"/>
                    <w:tr2bl w:val="nil"/>
                  </w:tcBorders>
                  <w:vAlign w:val="center"/>
                </w:tcPr>
                <w:p w14:paraId="7755B71B">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vertAlign w:val="baseline"/>
                    </w:rPr>
                  </w:pPr>
                  <w:r>
                    <w:rPr>
                      <w:rFonts w:hint="eastAsia" w:ascii="Times New Roman" w:hAnsi="Times New Roman" w:eastAsia="宋体" w:cs="Times New Roman"/>
                      <w:bCs/>
                      <w:color w:val="auto"/>
                      <w:sz w:val="21"/>
                      <w:szCs w:val="21"/>
                      <w:lang w:val="en-US" w:eastAsia="zh-CN"/>
                    </w:rPr>
                    <w:t>6</w:t>
                  </w:r>
                </w:p>
              </w:tc>
              <w:tc>
                <w:tcPr>
                  <w:tcW w:w="1232" w:type="dxa"/>
                  <w:tcBorders>
                    <w:tl2br w:val="nil"/>
                    <w:tr2bl w:val="nil"/>
                  </w:tcBorders>
                  <w:shd w:val="clear" w:color="auto" w:fill="auto"/>
                  <w:vAlign w:val="center"/>
                </w:tcPr>
                <w:p w14:paraId="41D8FCA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pacing w:val="2"/>
                      <w:kern w:val="2"/>
                      <w:position w:val="1"/>
                      <w:sz w:val="21"/>
                      <w:szCs w:val="21"/>
                      <w:lang w:val="en-US" w:eastAsia="zh-CN" w:bidi="ar-SA"/>
                    </w:rPr>
                  </w:pPr>
                  <w:r>
                    <w:rPr>
                      <w:rFonts w:hint="eastAsia" w:ascii="Times New Roman" w:hAnsi="Times New Roman" w:eastAsia="宋体" w:cs="Times New Roman"/>
                      <w:color w:val="auto"/>
                      <w:spacing w:val="2"/>
                      <w:kern w:val="2"/>
                      <w:position w:val="1"/>
                      <w:sz w:val="21"/>
                      <w:szCs w:val="21"/>
                      <w:lang w:val="en-US" w:eastAsia="zh-CN" w:bidi="ar-SA"/>
                    </w:rPr>
                    <w:t>燃生物质锅炉（12t/h）</w:t>
                  </w:r>
                </w:p>
              </w:tc>
              <w:tc>
                <w:tcPr>
                  <w:tcW w:w="450" w:type="dxa"/>
                  <w:tcBorders>
                    <w:tl2br w:val="nil"/>
                    <w:tr2bl w:val="nil"/>
                  </w:tcBorders>
                  <w:vAlign w:val="center"/>
                </w:tcPr>
                <w:p w14:paraId="1F1CB088">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z w:val="21"/>
                      <w:szCs w:val="21"/>
                      <w:vertAlign w:val="baseline"/>
                    </w:rPr>
                  </w:pPr>
                  <w:r>
                    <w:rPr>
                      <w:rFonts w:hint="eastAsia" w:ascii="Times New Roman" w:hAnsi="Times New Roman" w:eastAsia="宋体" w:cs="Times New Roman"/>
                      <w:color w:val="auto"/>
                      <w:sz w:val="21"/>
                      <w:szCs w:val="21"/>
                      <w:lang w:val="en-US" w:eastAsia="zh-CN"/>
                    </w:rPr>
                    <w:t>1</w:t>
                  </w:r>
                </w:p>
              </w:tc>
              <w:tc>
                <w:tcPr>
                  <w:tcW w:w="1077" w:type="dxa"/>
                  <w:tcBorders>
                    <w:tl2br w:val="nil"/>
                    <w:tr2bl w:val="nil"/>
                  </w:tcBorders>
                  <w:vAlign w:val="center"/>
                </w:tcPr>
                <w:p w14:paraId="24AC4A69">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cs="宋体"/>
                      <w:color w:val="auto"/>
                      <w:sz w:val="21"/>
                      <w:szCs w:val="21"/>
                      <w:highlight w:val="none"/>
                      <w:lang w:val="en-US" w:eastAsia="zh-CN"/>
                    </w:rPr>
                    <w:t>70</w:t>
                  </w:r>
                  <w:r>
                    <w:rPr>
                      <w:rFonts w:ascii="Times New Roman" w:hAnsi="Times New Roman" w:eastAsia="宋体" w:cs="宋体"/>
                      <w:color w:val="auto"/>
                      <w:sz w:val="21"/>
                      <w:szCs w:val="21"/>
                      <w:highlight w:val="none"/>
                    </w:rPr>
                    <w:t>-</w:t>
                  </w:r>
                  <w:r>
                    <w:rPr>
                      <w:rFonts w:hint="eastAsia" w:cs="宋体"/>
                      <w:color w:val="auto"/>
                      <w:sz w:val="21"/>
                      <w:szCs w:val="21"/>
                      <w:highlight w:val="none"/>
                      <w:lang w:val="en-US" w:eastAsia="zh-CN"/>
                    </w:rPr>
                    <w:t>85</w:t>
                  </w:r>
                </w:p>
              </w:tc>
              <w:tc>
                <w:tcPr>
                  <w:tcW w:w="675" w:type="dxa"/>
                  <w:tcBorders>
                    <w:tl2br w:val="nil"/>
                    <w:tr2bl w:val="nil"/>
                  </w:tcBorders>
                  <w:vAlign w:val="center"/>
                </w:tcPr>
                <w:p w14:paraId="10052FB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-39</w:t>
                  </w:r>
                  <w:r>
                    <w:rPr>
                      <w:rFonts w:ascii="Times New Roman" w:hAnsi="Times New Roman" w:eastAsia="宋体" w:cs="宋体"/>
                      <w:color w:val="auto"/>
                      <w:sz w:val="21"/>
                      <w:szCs w:val="21"/>
                      <w:highlight w:val="none"/>
                    </w:rPr>
                    <w:t>.0</w:t>
                  </w:r>
                </w:p>
              </w:tc>
              <w:tc>
                <w:tcPr>
                  <w:tcW w:w="654" w:type="dxa"/>
                  <w:tcBorders>
                    <w:tl2br w:val="nil"/>
                    <w:tr2bl w:val="nil"/>
                  </w:tcBorders>
                  <w:vAlign w:val="center"/>
                </w:tcPr>
                <w:p w14:paraId="085BBFB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18</w:t>
                  </w:r>
                  <w:r>
                    <w:rPr>
                      <w:rFonts w:ascii="Times New Roman" w:hAnsi="Times New Roman" w:eastAsia="宋体" w:cs="宋体"/>
                      <w:color w:val="auto"/>
                      <w:sz w:val="21"/>
                      <w:szCs w:val="21"/>
                      <w:highlight w:val="none"/>
                    </w:rPr>
                    <w:t>.0</w:t>
                  </w:r>
                </w:p>
              </w:tc>
              <w:tc>
                <w:tcPr>
                  <w:tcW w:w="674" w:type="dxa"/>
                  <w:tcBorders>
                    <w:tl2br w:val="nil"/>
                    <w:tr2bl w:val="nil"/>
                  </w:tcBorders>
                  <w:vAlign w:val="center"/>
                </w:tcPr>
                <w:p w14:paraId="5AB4486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ascii="Times New Roman" w:hAnsi="Times New Roman" w:eastAsia="宋体" w:cs="宋体"/>
                      <w:color w:val="auto"/>
                      <w:sz w:val="21"/>
                      <w:szCs w:val="21"/>
                      <w:highlight w:val="none"/>
                    </w:rPr>
                    <w:t>1.2</w:t>
                  </w:r>
                </w:p>
              </w:tc>
              <w:tc>
                <w:tcPr>
                  <w:tcW w:w="1261" w:type="dxa"/>
                  <w:tcBorders>
                    <w:tl2br w:val="nil"/>
                    <w:tr2bl w:val="nil"/>
                  </w:tcBorders>
                  <w:vAlign w:val="center"/>
                </w:tcPr>
                <w:p w14:paraId="1B7E42F7">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olor w:val="auto"/>
                      <w:sz w:val="21"/>
                      <w:szCs w:val="21"/>
                      <w:highlight w:val="none"/>
                      <w:vertAlign w:val="baseline"/>
                      <w:lang w:val="en-US" w:eastAsia="zh-CN"/>
                    </w:rPr>
                    <w:t>点源</w:t>
                  </w:r>
                </w:p>
              </w:tc>
              <w:tc>
                <w:tcPr>
                  <w:tcW w:w="960" w:type="dxa"/>
                  <w:vMerge w:val="continue"/>
                  <w:tcBorders>
                    <w:tl2br w:val="nil"/>
                    <w:tr2bl w:val="nil"/>
                  </w:tcBorders>
                  <w:vAlign w:val="center"/>
                </w:tcPr>
                <w:p w14:paraId="289E74AE">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vertAlign w:val="baseline"/>
                    </w:rPr>
                  </w:pPr>
                </w:p>
              </w:tc>
              <w:tc>
                <w:tcPr>
                  <w:tcW w:w="1337" w:type="dxa"/>
                  <w:vMerge w:val="continue"/>
                  <w:tcBorders>
                    <w:tl2br w:val="nil"/>
                    <w:tr2bl w:val="nil"/>
                  </w:tcBorders>
                  <w:vAlign w:val="center"/>
                </w:tcPr>
                <w:p w14:paraId="2E41685B">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vertAlign w:val="baseline"/>
                    </w:rPr>
                  </w:pPr>
                </w:p>
              </w:tc>
            </w:tr>
          </w:tbl>
          <w:p w14:paraId="332AA52D">
            <w:pPr>
              <w:rPr>
                <w:rFonts w:hint="eastAsia"/>
              </w:rPr>
            </w:pPr>
          </w:p>
          <w:p w14:paraId="51790A37">
            <w:pPr>
              <w:pStyle w:val="46"/>
              <w:jc w:val="left"/>
              <w:rPr>
                <w:rFonts w:hint="default" w:eastAsia="宋体"/>
                <w:lang w:val="en-US" w:eastAsia="zh-CN"/>
              </w:rPr>
            </w:pPr>
            <w:r>
              <w:rPr>
                <w:rFonts w:hint="eastAsia"/>
                <w:lang w:val="en-US" w:eastAsia="zh-CN"/>
              </w:rPr>
              <w:t>注：以厂区中心为原点。</w:t>
            </w:r>
          </w:p>
          <w:p w14:paraId="25E61DB2">
            <w:pPr>
              <w:pStyle w:val="4"/>
              <w:numPr>
                <w:ilvl w:val="2"/>
                <w:numId w:val="1"/>
              </w:numPr>
              <w:bidi w:val="0"/>
              <w:ind w:left="720" w:leftChars="0" w:hanging="720" w:firstLineChars="0"/>
              <w:rPr>
                <w:rFonts w:hint="eastAsia"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运营期</w:t>
            </w:r>
            <w:bookmarkEnd w:id="53"/>
            <w:bookmarkEnd w:id="54"/>
            <w:bookmarkEnd w:id="55"/>
            <w:r>
              <w:rPr>
                <w:rFonts w:hint="eastAsia" w:eastAsia="宋体"/>
                <w:color w:val="000000" w:themeColor="text1"/>
                <w:highlight w:val="none"/>
                <w14:textFill>
                  <w14:solidFill>
                    <w14:schemeClr w14:val="tx1"/>
                  </w14:solidFill>
                </w14:textFill>
              </w:rPr>
              <w:t>噪声预测模式</w:t>
            </w:r>
          </w:p>
          <w:p w14:paraId="44EDC4D5">
            <w:pPr>
              <w:keepNext w:val="0"/>
              <w:bidi w:val="0"/>
              <w:adjustRightInd/>
              <w:snapToGrid/>
              <w:spacing w:line="360" w:lineRule="auto"/>
              <w:ind w:firstLine="480" w:firstLineChars="200"/>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根据《环境影响评价技术导则 声环境》（HJ2.4-20</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21</w:t>
            </w:r>
            <w:r>
              <w:rPr>
                <w:rFonts w:hint="default" w:ascii="Times New Roman" w:hAnsi="Times New Roman" w:eastAsia="宋体" w:cs="Times New Roman"/>
                <w:color w:val="000000" w:themeColor="text1"/>
                <w:sz w:val="24"/>
                <w:highlight w:val="none"/>
                <w14:textFill>
                  <w14:solidFill>
                    <w14:schemeClr w14:val="tx1"/>
                  </w14:solidFill>
                </w14:textFill>
              </w:rPr>
              <w:t>）的技术要求，本次评价采取导则推荐模式。</w:t>
            </w:r>
          </w:p>
          <w:p w14:paraId="108F16E0">
            <w:pPr>
              <w:keepNext w:val="0"/>
              <w:bidi w:val="0"/>
              <w:adjustRightInd/>
              <w:snapToGrid/>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（1）</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室内声源计算公式</w:t>
            </w:r>
          </w:p>
          <w:p w14:paraId="452C042F">
            <w:pPr>
              <w:keepNext w:val="0"/>
              <w:bidi w:val="0"/>
              <w:adjustRightInd/>
              <w:snapToGrid/>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①计算出某个室内靠近围护结构处的倍频带声压级：</w:t>
            </w:r>
          </w:p>
          <w:p w14:paraId="54238B04">
            <w:pPr>
              <w:ind w:firstLine="0" w:firstLineChars="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position w:val="-28"/>
                <w:sz w:val="24"/>
                <w:highlight w:val="none"/>
                <w14:textFill>
                  <w14:solidFill>
                    <w14:schemeClr w14:val="tx1"/>
                  </w14:solidFill>
                </w14:textFill>
              </w:rPr>
              <w:object>
                <v:shape id="_x0000_i1025" o:spt="75" type="#_x0000_t75" style="height:34pt;width:132.95pt;" o:ole="t" filled="f" o:preferrelative="t" stroked="f" coordsize="21600,21600">
                  <v:path/>
                  <v:fill on="f" focussize="0,0"/>
                  <v:stroke on="f"/>
                  <v:imagedata r:id="rId18" o:title=""/>
                  <o:lock v:ext="edit" aspectratio="t"/>
                  <w10:wrap type="none"/>
                  <w10:anchorlock/>
                </v:shape>
                <o:OLEObject Type="Embed" ProgID="Equation.3" ShapeID="_x0000_i1025" DrawAspect="Content" ObjectID="_1468075725" r:id="rId17">
                  <o:LockedField>false</o:LockedField>
                </o:OLEObject>
              </w:object>
            </w:r>
          </w:p>
          <w:p w14:paraId="3AAB6A5C">
            <w:pPr>
              <w:keepNext w:val="0"/>
              <w:bidi w:val="0"/>
              <w:adjustRightInd/>
              <w:snapToGrid/>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式中：L</w:t>
            </w:r>
            <w:r>
              <w:rPr>
                <w:rFonts w:hint="default" w:ascii="Times New Roman" w:hAnsi="Times New Roman" w:eastAsia="宋体" w:cs="Times New Roman"/>
                <w:color w:val="000000" w:themeColor="text1"/>
                <w:sz w:val="24"/>
                <w:highlight w:val="none"/>
                <w:vertAlign w:val="subscript"/>
                <w:lang w:val="en-US" w:eastAsia="zh-CN"/>
                <w14:textFill>
                  <w14:solidFill>
                    <w14:schemeClr w14:val="tx1"/>
                  </w14:solidFill>
                </w14:textFill>
              </w:rPr>
              <w:t>p1</w:t>
            </w:r>
            <w:r>
              <w:rPr>
                <w:rFonts w:hint="default" w:ascii="Times New Roman" w:hAnsi="Times New Roman" w:eastAsia="宋体" w:cs="Times New Roman"/>
                <w:color w:val="000000" w:themeColor="text1"/>
                <w:sz w:val="24"/>
                <w:highlight w:val="none"/>
                <w14:textFill>
                  <w14:solidFill>
                    <w14:schemeClr w14:val="tx1"/>
                  </w14:solidFill>
                </w14:textFill>
              </w:rPr>
              <w:t>——某个室内声源在靠近围护结构处产生的倍频带声压级；</w:t>
            </w:r>
          </w:p>
          <w:p w14:paraId="56522417">
            <w:pPr>
              <w:keepNex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L</w:t>
            </w:r>
            <w:r>
              <w:rPr>
                <w:rFonts w:hint="default" w:ascii="Times New Roman" w:hAnsi="Times New Roman" w:eastAsia="宋体" w:cs="Times New Roman"/>
                <w:color w:val="000000" w:themeColor="text1"/>
                <w:sz w:val="24"/>
                <w:highlight w:val="none"/>
                <w:vertAlign w:val="subscript"/>
                <w:lang w:val="en-US" w:eastAsia="zh-CN"/>
                <w14:textFill>
                  <w14:solidFill>
                    <w14:schemeClr w14:val="tx1"/>
                  </w14:solidFill>
                </w14:textFill>
              </w:rPr>
              <w:t>w</w:t>
            </w:r>
            <w:r>
              <w:rPr>
                <w:rFonts w:hint="default" w:ascii="Times New Roman" w:hAnsi="Times New Roman" w:eastAsia="宋体" w:cs="Times New Roman"/>
                <w:color w:val="000000" w:themeColor="text1"/>
                <w:sz w:val="24"/>
                <w:highlight w:val="none"/>
                <w14:textFill>
                  <w14:solidFill>
                    <w14:schemeClr w14:val="tx1"/>
                  </w14:solidFill>
                </w14:textFill>
              </w:rPr>
              <w:t>——某个声源的倍频带声功率级；</w:t>
            </w:r>
          </w:p>
          <w:p w14:paraId="290D3028">
            <w:pPr>
              <w:keepNex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r</w:t>
            </w:r>
            <w:r>
              <w:rPr>
                <w:rFonts w:hint="default" w:ascii="Times New Roman" w:hAnsi="Times New Roman" w:eastAsia="宋体" w:cs="Times New Roman"/>
                <w:color w:val="000000" w:themeColor="text1"/>
                <w:sz w:val="24"/>
                <w:highlight w:val="none"/>
                <w14:textFill>
                  <w14:solidFill>
                    <w14:schemeClr w14:val="tx1"/>
                  </w14:solidFill>
                </w14:textFill>
              </w:rPr>
              <w:t>——室内某个声源与靠近围护结构处的距离；</w:t>
            </w:r>
          </w:p>
          <w:p w14:paraId="51F28CA8">
            <w:pPr>
              <w:keepNex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R</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房间常数</w:t>
            </w:r>
            <w:r>
              <w:rPr>
                <w:rFonts w:hint="default" w:ascii="Times New Roman" w:hAnsi="Times New Roman" w:eastAsia="宋体" w:cs="Times New Roman"/>
                <w:color w:val="000000" w:themeColor="text1"/>
                <w:sz w:val="24"/>
                <w:highlight w:val="none"/>
                <w14:textFill>
                  <w14:solidFill>
                    <w14:schemeClr w14:val="tx1"/>
                  </w14:solidFill>
                </w14:textFill>
              </w:rPr>
              <w:t>；</w:t>
            </w:r>
          </w:p>
          <w:p w14:paraId="56336CF7">
            <w:pPr>
              <w:keepNex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Q</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指向性因素</w:t>
            </w:r>
            <w:r>
              <w:rPr>
                <w:rFonts w:hint="default" w:ascii="Times New Roman" w:hAnsi="Times New Roman" w:eastAsia="宋体" w:cs="Times New Roman"/>
                <w:color w:val="000000" w:themeColor="text1"/>
                <w:sz w:val="24"/>
                <w:highlight w:val="none"/>
                <w14:textFill>
                  <w14:solidFill>
                    <w14:schemeClr w14:val="tx1"/>
                  </w14:solidFill>
                </w14:textFill>
              </w:rPr>
              <w:t>。</w:t>
            </w:r>
          </w:p>
          <w:p w14:paraId="0FAF9FE4">
            <w:pPr>
              <w:keepNext w:val="0"/>
              <w:bidi w:val="0"/>
              <w:adjustRightInd/>
              <w:snapToGrid/>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②计算出所有室内声源在靠近围护结构处产生的总倍频带声压级：</w:t>
            </w:r>
          </w:p>
          <w:p w14:paraId="2339323C">
            <w:pPr>
              <w:bidi w:val="0"/>
              <w:ind w:left="0" w:leftChars="0" w:firstLine="0" w:firstLineChars="0"/>
              <w:jc w:val="center"/>
              <w:rPr>
                <w:rFonts w:hint="default" w:ascii="Times New Roman" w:hAnsi="Times New Roman" w:cs="Times New Roman"/>
                <w:color w:val="000000" w:themeColor="text1"/>
                <w:position w:val="-32"/>
                <w:sz w:val="24"/>
                <w:highlight w:val="none"/>
                <w14:textFill>
                  <w14:solidFill>
                    <w14:schemeClr w14:val="tx1"/>
                  </w14:solidFill>
                </w14:textFill>
              </w:rPr>
            </w:pPr>
            <w:r>
              <w:rPr>
                <w:rFonts w:hint="default" w:ascii="Times New Roman" w:hAnsi="Times New Roman" w:cs="Times New Roman"/>
                <w:color w:val="000000" w:themeColor="text1"/>
                <w:position w:val="-32"/>
                <w:sz w:val="24"/>
                <w:highlight w:val="none"/>
                <w14:textFill>
                  <w14:solidFill>
                    <w14:schemeClr w14:val="tx1"/>
                  </w14:solidFill>
                </w14:textFill>
              </w:rPr>
              <w:object>
                <v:shape id="_x0000_i1026" o:spt="75" type="#_x0000_t75" style="height:38pt;width:131pt;" o:ole="t" filled="f" o:preferrelative="t" stroked="f" coordsize="21600,21600">
                  <v:path/>
                  <v:fill on="f" focussize="0,0"/>
                  <v:stroke on="f"/>
                  <v:imagedata r:id="rId20" o:title=""/>
                  <o:lock v:ext="edit" aspectratio="t"/>
                  <w10:wrap type="none"/>
                  <w10:anchorlock/>
                </v:shape>
                <o:OLEObject Type="Embed" ProgID="Equation.3" ShapeID="_x0000_i1026" DrawAspect="Content" ObjectID="_1468075726" r:id="rId19">
                  <o:LockedField>false</o:LockedField>
                </o:OLEObject>
              </w:object>
            </w:r>
          </w:p>
          <w:p w14:paraId="6AA96603">
            <w:pPr>
              <w:keepNext w:val="0"/>
              <w:bidi w:val="0"/>
              <w:adjustRightInd/>
              <w:snapToGrid/>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式中：</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L</w:t>
            </w:r>
            <w:r>
              <w:rPr>
                <w:rFonts w:hint="eastAsia" w:ascii="Times New Roman" w:hAnsi="Times New Roman" w:eastAsia="宋体" w:cs="Times New Roman"/>
                <w:color w:val="000000" w:themeColor="text1"/>
                <w:sz w:val="24"/>
                <w:highlight w:val="none"/>
                <w:vertAlign w:val="subscript"/>
                <w:lang w:val="en-US" w:eastAsia="zh-CN"/>
                <w14:textFill>
                  <w14:solidFill>
                    <w14:schemeClr w14:val="tx1"/>
                  </w14:solidFill>
                </w14:textFill>
              </w:rPr>
              <w:t>pli</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——靠近维护结构处室内N个声源i倍频带的叠加声压级，dB；</w:t>
            </w:r>
          </w:p>
          <w:p w14:paraId="636065F1">
            <w:pPr>
              <w:keepNex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L</w:t>
            </w:r>
            <w:r>
              <w:rPr>
                <w:rFonts w:hint="default" w:ascii="Times New Roman" w:hAnsi="Times New Roman" w:eastAsia="宋体" w:cs="Times New Roman"/>
                <w:color w:val="000000" w:themeColor="text1"/>
                <w:sz w:val="24"/>
                <w:highlight w:val="none"/>
                <w:vertAlign w:val="subscript"/>
                <w:lang w:val="en-US" w:eastAsia="zh-CN"/>
                <w14:textFill>
                  <w14:solidFill>
                    <w14:schemeClr w14:val="tx1"/>
                  </w14:solidFill>
                </w14:textFill>
              </w:rPr>
              <w:t>p</w:t>
            </w:r>
            <w:r>
              <w:rPr>
                <w:rFonts w:hint="eastAsia" w:ascii="Times New Roman" w:hAnsi="Times New Roman" w:eastAsia="宋体" w:cs="Times New Roman"/>
                <w:color w:val="000000" w:themeColor="text1"/>
                <w:sz w:val="24"/>
                <w:highlight w:val="none"/>
                <w:vertAlign w:val="subscript"/>
                <w:lang w:val="en-US" w:eastAsia="zh-CN"/>
                <w14:textFill>
                  <w14:solidFill>
                    <w14:schemeClr w14:val="tx1"/>
                  </w14:solidFill>
                </w14:textFill>
              </w:rPr>
              <w:t>l</w:t>
            </w:r>
            <w:r>
              <w:rPr>
                <w:rFonts w:hint="default" w:ascii="Times New Roman" w:hAnsi="Times New Roman" w:eastAsia="宋体" w:cs="Times New Roman"/>
                <w:color w:val="000000" w:themeColor="text1"/>
                <w:sz w:val="24"/>
                <w:highlight w:val="none"/>
                <w:vertAlign w:val="subscript"/>
                <w:lang w:val="en-US" w:eastAsia="zh-CN"/>
                <w14:textFill>
                  <w14:solidFill>
                    <w14:schemeClr w14:val="tx1"/>
                  </w14:solidFill>
                </w14:textFill>
              </w:rPr>
              <w:t>ij</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——室内j声源i倍频带的声压级，dB；</w:t>
            </w:r>
          </w:p>
          <w:p w14:paraId="43630A34">
            <w:pPr>
              <w:keepNex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N——室内声源总数。</w:t>
            </w:r>
          </w:p>
          <w:p w14:paraId="284BD8D8">
            <w:pPr>
              <w:keepNext w:val="0"/>
              <w:bidi w:val="0"/>
              <w:adjustRightInd/>
              <w:snapToGrid/>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室外声源传播衰减公式</w:t>
            </w:r>
          </w:p>
          <w:p w14:paraId="6972A1B8">
            <w:pPr>
              <w:keepNext w:val="0"/>
              <w:bidi w:val="0"/>
              <w:adjustRightInd/>
              <w:snapToGrid/>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计算某个声源在预测点的倍频带声压级：</w:t>
            </w:r>
          </w:p>
          <w:p w14:paraId="464D133C">
            <w:pPr>
              <w:keepNext w:val="0"/>
              <w:bidi w:val="0"/>
              <w:adjustRightInd/>
              <w:snapToGrid/>
              <w:spacing w:line="360" w:lineRule="auto"/>
              <w:ind w:firstLine="480" w:firstLineChars="200"/>
              <w:jc w:val="center"/>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object>
                <v:shape id="_x0000_i1027" o:spt="75" type="#_x0000_t75" style="height:38pt;width:153pt;" o:ole="t" filled="f" o:preferrelative="t" stroked="f" coordsize="21600,21600">
                  <v:path/>
                  <v:fill on="f" focussize="0,0"/>
                  <v:stroke on="f"/>
                  <v:imagedata r:id="rId22" o:title=""/>
                  <o:lock v:ext="edit" aspectratio="t"/>
                  <w10:wrap type="none"/>
                  <w10:anchorlock/>
                </v:shape>
                <o:OLEObject Type="Embed" ProgID="Equation.3" ShapeID="_x0000_i1027" DrawAspect="Content" ObjectID="_1468075727" r:id="rId21">
                  <o:LockedField>false</o:LockedField>
                </o:OLEObject>
              </w:object>
            </w:r>
          </w:p>
          <w:p w14:paraId="1BD69CB5">
            <w:pPr>
              <w:keepNext w:val="0"/>
              <w:bidi w:val="0"/>
              <w:adjustRightInd/>
              <w:snapToGrid/>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式中：L</w:t>
            </w:r>
            <w:r>
              <w:rPr>
                <w:rFonts w:hint="default" w:ascii="Times New Roman" w:hAnsi="Times New Roman" w:eastAsia="宋体" w:cs="Times New Roman"/>
                <w:color w:val="000000" w:themeColor="text1"/>
                <w:sz w:val="24"/>
                <w:highlight w:val="none"/>
                <w:vertAlign w:val="subscript"/>
                <w:lang w:val="en-US" w:eastAsia="zh-CN"/>
                <w14:textFill>
                  <w14:solidFill>
                    <w14:schemeClr w14:val="tx1"/>
                  </w14:solidFill>
                </w14:textFill>
              </w:rPr>
              <w:t>p</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（r）</w:t>
            </w:r>
            <w:r>
              <w:rPr>
                <w:rFonts w:hint="default" w:ascii="Times New Roman" w:hAnsi="Times New Roman" w:eastAsia="宋体" w:cs="Times New Roman"/>
                <w:color w:val="000000" w:themeColor="text1"/>
                <w:sz w:val="24"/>
                <w:highlight w:val="none"/>
                <w14:textFill>
                  <w14:solidFill>
                    <w14:schemeClr w14:val="tx1"/>
                  </w14:solidFill>
                </w14:textFill>
              </w:rPr>
              <w:t>——点声源在预测点产生的倍频带声压级；</w:t>
            </w:r>
          </w:p>
          <w:p w14:paraId="7E74695C">
            <w:pPr>
              <w:keepNex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L</w:t>
            </w:r>
            <w:r>
              <w:rPr>
                <w:rFonts w:hint="default" w:ascii="Times New Roman" w:hAnsi="Times New Roman" w:eastAsia="宋体" w:cs="Times New Roman"/>
                <w:color w:val="000000" w:themeColor="text1"/>
                <w:sz w:val="24"/>
                <w:highlight w:val="none"/>
                <w:vertAlign w:val="subscript"/>
                <w:lang w:val="en-US" w:eastAsia="zh-CN"/>
                <w14:textFill>
                  <w14:solidFill>
                    <w14:schemeClr w14:val="tx1"/>
                  </w14:solidFill>
                </w14:textFill>
              </w:rPr>
              <w:t>p</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（r0）</w:t>
            </w:r>
            <w:r>
              <w:rPr>
                <w:rFonts w:hint="default" w:ascii="Times New Roman" w:hAnsi="Times New Roman" w:eastAsia="宋体" w:cs="Times New Roman"/>
                <w:color w:val="000000" w:themeColor="text1"/>
                <w:sz w:val="24"/>
                <w:highlight w:val="none"/>
                <w14:textFill>
                  <w14:solidFill>
                    <w14:schemeClr w14:val="tx1"/>
                  </w14:solidFill>
                </w14:textFill>
              </w:rPr>
              <w:t>——参考位置r0处的倍频带声压级；</w:t>
            </w:r>
          </w:p>
          <w:p w14:paraId="0C248073">
            <w:pPr>
              <w:keepNex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r</w:t>
            </w:r>
            <w:r>
              <w:rPr>
                <w:rFonts w:hint="default" w:ascii="Times New Roman" w:hAnsi="Times New Roman" w:eastAsia="宋体" w:cs="Times New Roman"/>
                <w:color w:val="000000" w:themeColor="text1"/>
                <w:sz w:val="24"/>
                <w:highlight w:val="none"/>
                <w14:textFill>
                  <w14:solidFill>
                    <w14:schemeClr w14:val="tx1"/>
                  </w14:solidFill>
                </w14:textFill>
              </w:rPr>
              <w:t>——预测点距声源的距离，m；</w:t>
            </w:r>
          </w:p>
          <w:p w14:paraId="7D120BF9">
            <w:pPr>
              <w:keepNex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r</w:t>
            </w:r>
            <w:r>
              <w:rPr>
                <w:rFonts w:hint="default" w:ascii="Times New Roman" w:hAnsi="Times New Roman" w:eastAsia="宋体" w:cs="Times New Roman"/>
                <w:color w:val="000000" w:themeColor="text1"/>
                <w:sz w:val="24"/>
                <w:highlight w:val="none"/>
                <w:vertAlign w:val="subscript"/>
                <w:lang w:val="en-US" w:eastAsia="zh-CN"/>
                <w14:textFill>
                  <w14:solidFill>
                    <w14:schemeClr w14:val="tx1"/>
                  </w14:solidFill>
                </w14:textFill>
              </w:rPr>
              <w:t>0</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参考位置距声源的距离，m</w:t>
            </w:r>
            <w:r>
              <w:rPr>
                <w:rFonts w:hint="default" w:ascii="Times New Roman" w:hAnsi="Times New Roman" w:eastAsia="宋体" w:cs="Times New Roman"/>
                <w:color w:val="000000" w:themeColor="text1"/>
                <w:sz w:val="24"/>
                <w:highlight w:val="none"/>
                <w14:textFill>
                  <w14:solidFill>
                    <w14:schemeClr w14:val="tx1"/>
                  </w14:solidFill>
                </w14:textFill>
              </w:rPr>
              <w:t>；</w:t>
            </w:r>
          </w:p>
          <w:p w14:paraId="2A762774">
            <w:pPr>
              <w:keepNex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ΔL</w:t>
            </w:r>
            <w:r>
              <w:rPr>
                <w:rFonts w:hint="default" w:ascii="Times New Roman" w:hAnsi="Times New Roman" w:eastAsia="宋体" w:cs="Times New Roman"/>
                <w:color w:val="000000" w:themeColor="text1"/>
                <w:sz w:val="24"/>
                <w:highlight w:val="none"/>
                <w:vertAlign w:val="subscript"/>
                <w:lang w:val="en-US" w:eastAsia="zh-CN"/>
                <w14:textFill>
                  <w14:solidFill>
                    <w14:schemeClr w14:val="tx1"/>
                  </w14:solidFill>
                </w14:textFill>
              </w:rPr>
              <w:t>p</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各种因素引起的衰减量</w:t>
            </w:r>
            <w:r>
              <w:rPr>
                <w:rFonts w:hint="default" w:ascii="Times New Roman" w:hAnsi="Times New Roman" w:eastAsia="宋体" w:cs="Times New Roman"/>
                <w:color w:val="000000" w:themeColor="text1"/>
                <w:sz w:val="24"/>
                <w:highlight w:val="none"/>
                <w14:textFill>
                  <w14:solidFill>
                    <w14:schemeClr w14:val="tx1"/>
                  </w14:solidFill>
                </w14:textFill>
              </w:rPr>
              <w:t>。</w:t>
            </w:r>
          </w:p>
          <w:p w14:paraId="6007E73A">
            <w:pPr>
              <w:keepNext w:val="0"/>
              <w:bidi w:val="0"/>
              <w:adjustRightInd/>
              <w:snapToGrid/>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声源叠加贡献值公式</w:t>
            </w:r>
          </w:p>
          <w:p w14:paraId="59DF6484">
            <w:pPr>
              <w:keepNext w:val="0"/>
              <w:bidi w:val="0"/>
              <w:adjustRightInd/>
              <w:snapToGrid/>
              <w:spacing w:line="360" w:lineRule="auto"/>
              <w:ind w:firstLine="480" w:firstLineChars="200"/>
              <w:jc w:val="center"/>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object>
                <v:shape id="_x0000_i1028" o:spt="75" type="#_x0000_t75" style="height:38pt;width:132pt;" o:ole="t" filled="f" o:preferrelative="t" stroked="f" coordsize="21600,21600">
                  <v:path/>
                  <v:fill on="f" focussize="0,0"/>
                  <v:stroke on="f"/>
                  <v:imagedata r:id="rId24" o:title=""/>
                  <o:lock v:ext="edit" aspectratio="t"/>
                  <w10:wrap type="none"/>
                  <w10:anchorlock/>
                </v:shape>
                <o:OLEObject Type="Embed" ProgID="Equation.3" ShapeID="_x0000_i1028" DrawAspect="Content" ObjectID="_1468075728" r:id="rId23">
                  <o:LockedField>false</o:LockedField>
                </o:OLEObject>
              </w:object>
            </w:r>
          </w:p>
          <w:p w14:paraId="618EE4B6">
            <w:pPr>
              <w:keepNext w:val="0"/>
              <w:bidi w:val="0"/>
              <w:adjustRightInd/>
              <w:snapToGrid/>
              <w:spacing w:line="360" w:lineRule="auto"/>
              <w:ind w:firstLine="480" w:firstLineChars="200"/>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式中：Leq</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g</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——建设项目声源在预测点的等声级贡献值，dB（A）；</w:t>
            </w:r>
          </w:p>
          <w:p w14:paraId="32794114">
            <w:pPr>
              <w:keepNex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L</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Ai</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——i声源在预测点产生的A声级，dB（A）；</w:t>
            </w:r>
          </w:p>
          <w:p w14:paraId="7BEC4184">
            <w:pPr>
              <w:keepNex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T</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——预测计算的时间段，</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s；</w:t>
            </w:r>
          </w:p>
          <w:p w14:paraId="4E10447F">
            <w:pPr>
              <w:keepNex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ti——i声源在T时段内的运行时间，s</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p>
          <w:p w14:paraId="273DFF2E">
            <w:pPr>
              <w:keepNext w:val="0"/>
              <w:bidi w:val="0"/>
              <w:adjustRightInd/>
              <w:snapToGrid/>
              <w:spacing w:line="360" w:lineRule="auto"/>
              <w:ind w:firstLine="480" w:firstLineChars="200"/>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预测值公式</w:t>
            </w:r>
          </w:p>
          <w:p w14:paraId="147C04E3">
            <w:pPr>
              <w:keepNext w:val="0"/>
              <w:bidi w:val="0"/>
              <w:adjustRightInd/>
              <w:snapToGrid/>
              <w:spacing w:line="360" w:lineRule="auto"/>
              <w:ind w:firstLine="480" w:firstLineChars="200"/>
              <w:jc w:val="center"/>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object>
                <v:shape id="_x0000_i1029" o:spt="75" type="#_x0000_t75" style="height:21pt;width:135pt;" o:ole="t" filled="f" o:preferrelative="t" stroked="f" coordsize="21600,21600">
                  <v:path/>
                  <v:fill on="f" focussize="0,0"/>
                  <v:stroke on="f"/>
                  <v:imagedata r:id="rId26" o:title=""/>
                  <o:lock v:ext="edit" aspectratio="t"/>
                  <w10:wrap type="none"/>
                  <w10:anchorlock/>
                </v:shape>
                <o:OLEObject Type="Embed" ProgID="Equation.3" ShapeID="_x0000_i1029" DrawAspect="Content" ObjectID="_1468075729" r:id="rId25">
                  <o:LockedField>false</o:LockedField>
                </o:OLEObject>
              </w:object>
            </w:r>
          </w:p>
          <w:p w14:paraId="289ABC73">
            <w:pPr>
              <w:keepNext w:val="0"/>
              <w:bidi w:val="0"/>
              <w:adjustRightInd/>
              <w:snapToGrid/>
              <w:spacing w:line="360" w:lineRule="auto"/>
              <w:ind w:firstLine="480" w:firstLineChars="200"/>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式中：Leq——</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预测点的总声压级</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，dB（A）；</w:t>
            </w:r>
          </w:p>
          <w:p w14:paraId="308B7C04">
            <w:pPr>
              <w:keepNex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L</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eqg</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——建设项目声源在预测点的等效声级贡献值，dB（A）；</w:t>
            </w:r>
          </w:p>
          <w:p w14:paraId="2CE4FFE7">
            <w:pPr>
              <w:keepNex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L</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eqb</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——预测点的背景值，dB（A）。</w:t>
            </w:r>
          </w:p>
          <w:p w14:paraId="4E935F4F">
            <w:pPr>
              <w:pStyle w:val="4"/>
              <w:numPr>
                <w:ilvl w:val="2"/>
                <w:numId w:val="1"/>
              </w:numPr>
              <w:bidi w:val="0"/>
              <w:ind w:left="720" w:leftChars="0" w:hanging="720" w:firstLineChars="0"/>
              <w:rPr>
                <w:rFonts w:hint="eastAsia"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噪声预测及影响评价</w:t>
            </w:r>
          </w:p>
          <w:p w14:paraId="6AF647D9">
            <w:pPr>
              <w:pStyle w:val="44"/>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w:t>
            </w:r>
            <w:r>
              <w:rPr>
                <w:rFonts w:hint="eastAsia"/>
                <w:color w:val="000000" w:themeColor="text1"/>
                <w:highlight w:val="none"/>
                <w:lang w:val="en-US" w:eastAsia="zh-CN"/>
                <w14:textFill>
                  <w14:solidFill>
                    <w14:schemeClr w14:val="tx1"/>
                  </w14:solidFill>
                </w14:textFill>
              </w:rPr>
              <w:t>噪声预测结果</w:t>
            </w:r>
            <w:r>
              <w:rPr>
                <w:color w:val="000000" w:themeColor="text1"/>
                <w:highlight w:val="none"/>
                <w14:textFill>
                  <w14:solidFill>
                    <w14:schemeClr w14:val="tx1"/>
                  </w14:solidFill>
                </w14:textFill>
              </w:rPr>
              <w:t>详见表</w:t>
            </w:r>
            <w:r>
              <w:rPr>
                <w:rFonts w:hint="eastAsia"/>
                <w:color w:val="000000" w:themeColor="text1"/>
                <w:highlight w:val="none"/>
                <w:lang w:val="en-US" w:eastAsia="zh-CN"/>
                <w14:textFill>
                  <w14:solidFill>
                    <w14:schemeClr w14:val="tx1"/>
                  </w14:solidFill>
                </w14:textFill>
              </w:rPr>
              <w:t>4.4-2</w:t>
            </w:r>
            <w:r>
              <w:rPr>
                <w:color w:val="000000" w:themeColor="text1"/>
                <w:highlight w:val="none"/>
                <w14:textFill>
                  <w14:solidFill>
                    <w14:schemeClr w14:val="tx1"/>
                  </w14:solidFill>
                </w14:textFill>
              </w:rPr>
              <w:t>。</w:t>
            </w:r>
          </w:p>
          <w:p w14:paraId="1EA7F882">
            <w:pPr>
              <w:pStyle w:val="42"/>
              <w:tabs>
                <w:tab w:val="left" w:pos="0"/>
                <w:tab w:val="clear" w:pos="420"/>
              </w:tabs>
              <w:bidi w:val="0"/>
              <w:ind w:left="210" w:leftChars="0" w:firstLineChars="0"/>
              <w:rPr>
                <w:color w:val="000000" w:themeColor="text1"/>
                <w:lang w:eastAsia="zh-CN"/>
                <w14:textFill>
                  <w14:solidFill>
                    <w14:schemeClr w14:val="tx1"/>
                  </w14:solidFill>
                </w14:textFill>
              </w:rPr>
            </w:pPr>
            <w:bookmarkStart w:id="56" w:name="_Ref31583"/>
            <w:r>
              <w:rPr>
                <w:color w:val="000000" w:themeColor="text1"/>
                <w:lang w:eastAsia="zh-CN"/>
                <w14:textFill>
                  <w14:solidFill>
                    <w14:schemeClr w14:val="tx1"/>
                  </w14:solidFill>
                </w14:textFill>
              </w:rPr>
              <w:t>厂界噪声预测结果与达标分析表</w:t>
            </w:r>
            <w:bookmarkEnd w:id="56"/>
          </w:p>
          <w:tbl>
            <w:tblPr>
              <w:tblStyle w:val="32"/>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431"/>
              <w:gridCol w:w="704"/>
              <w:gridCol w:w="730"/>
              <w:gridCol w:w="729"/>
              <w:gridCol w:w="700"/>
              <w:gridCol w:w="735"/>
              <w:gridCol w:w="1005"/>
              <w:gridCol w:w="1095"/>
              <w:gridCol w:w="1387"/>
              <w:gridCol w:w="668"/>
              <w:gridCol w:w="537"/>
            </w:tblGrid>
            <w:tr w14:paraId="64CD838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431" w:type="dxa"/>
                  <w:vMerge w:val="restart"/>
                  <w:tcBorders>
                    <w:left w:val="nil"/>
                    <w:bottom w:val="single" w:color="000000" w:sz="4" w:space="0"/>
                    <w:right w:val="single" w:color="000000" w:sz="4" w:space="0"/>
                  </w:tcBorders>
                  <w:vAlign w:val="center"/>
                </w:tcPr>
                <w:p w14:paraId="15AB8EA3">
                  <w:pPr>
                    <w:pStyle w:val="9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8"/>
                      <w:sz w:val="21"/>
                      <w:highlight w:val="none"/>
                    </w:rPr>
                    <w:t>编号</w:t>
                  </w:r>
                </w:p>
              </w:tc>
              <w:tc>
                <w:tcPr>
                  <w:tcW w:w="704" w:type="dxa"/>
                  <w:vMerge w:val="restart"/>
                  <w:tcBorders>
                    <w:left w:val="single" w:color="000000" w:sz="4" w:space="0"/>
                    <w:bottom w:val="single" w:color="000000" w:sz="4" w:space="0"/>
                    <w:right w:val="single" w:color="000000" w:sz="4" w:space="0"/>
                  </w:tcBorders>
                  <w:vAlign w:val="center"/>
                </w:tcPr>
                <w:p w14:paraId="3AAB09D3">
                  <w:pPr>
                    <w:pStyle w:val="9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测点位置</w:t>
                  </w:r>
                </w:p>
              </w:tc>
              <w:tc>
                <w:tcPr>
                  <w:tcW w:w="1459" w:type="dxa"/>
                  <w:gridSpan w:val="2"/>
                  <w:tcBorders>
                    <w:left w:val="single" w:color="000000" w:sz="4" w:space="0"/>
                    <w:bottom w:val="single" w:color="000000" w:sz="4" w:space="0"/>
                    <w:right w:val="single" w:color="000000" w:sz="4" w:space="0"/>
                  </w:tcBorders>
                  <w:vAlign w:val="center"/>
                </w:tcPr>
                <w:p w14:paraId="130A4920">
                  <w:pPr>
                    <w:pStyle w:val="9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olor w:val="auto"/>
                      <w:spacing w:val="-4"/>
                      <w:sz w:val="21"/>
                      <w:highlight w:val="none"/>
                      <w:lang w:val="en-US" w:eastAsia="zh-CN"/>
                    </w:rPr>
                  </w:pPr>
                  <w:r>
                    <w:rPr>
                      <w:rFonts w:hint="eastAsia" w:ascii="Times New Roman" w:hAnsi="Times New Roman" w:eastAsia="宋体"/>
                      <w:color w:val="auto"/>
                      <w:spacing w:val="-4"/>
                      <w:sz w:val="21"/>
                      <w:highlight w:val="none"/>
                      <w:lang w:val="en-US" w:eastAsia="zh-CN"/>
                    </w:rPr>
                    <w:t>现状值</w:t>
                  </w:r>
                </w:p>
              </w:tc>
              <w:tc>
                <w:tcPr>
                  <w:tcW w:w="1435" w:type="dxa"/>
                  <w:gridSpan w:val="2"/>
                  <w:tcBorders>
                    <w:left w:val="single" w:color="000000" w:sz="4" w:space="0"/>
                    <w:bottom w:val="single" w:color="000000" w:sz="4" w:space="0"/>
                    <w:right w:val="single" w:color="000000" w:sz="4" w:space="0"/>
                  </w:tcBorders>
                  <w:shd w:val="clear" w:color="auto" w:fill="auto"/>
                  <w:vAlign w:val="center"/>
                </w:tcPr>
                <w:p w14:paraId="0EAE221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宋体"/>
                      <w:i w:val="0"/>
                      <w:iCs w:val="0"/>
                      <w:color w:val="000000"/>
                      <w:kern w:val="0"/>
                      <w:sz w:val="21"/>
                      <w:szCs w:val="21"/>
                      <w:highlight w:val="none"/>
                      <w:u w:val="none"/>
                      <w:lang w:val="en-US" w:eastAsia="zh-CN" w:bidi="ar"/>
                    </w:rPr>
                  </w:pPr>
                  <w:r>
                    <w:rPr>
                      <w:rFonts w:hint="eastAsia" w:ascii="Times New Roman" w:hAnsi="Times New Roman" w:eastAsia="宋体" w:cs="宋体"/>
                      <w:i w:val="0"/>
                      <w:iCs w:val="0"/>
                      <w:color w:val="000000"/>
                      <w:kern w:val="0"/>
                      <w:sz w:val="21"/>
                      <w:szCs w:val="21"/>
                      <w:highlight w:val="none"/>
                      <w:u w:val="none"/>
                      <w:lang w:val="en-US" w:eastAsia="zh-CN" w:bidi="ar"/>
                    </w:rPr>
                    <w:t>贡献值</w:t>
                  </w:r>
                </w:p>
              </w:tc>
              <w:tc>
                <w:tcPr>
                  <w:tcW w:w="2100" w:type="dxa"/>
                  <w:gridSpan w:val="2"/>
                  <w:tcBorders>
                    <w:left w:val="single" w:color="000000" w:sz="4" w:space="0"/>
                    <w:bottom w:val="single" w:color="000000" w:sz="4" w:space="0"/>
                    <w:right w:val="single" w:color="000000" w:sz="4" w:space="0"/>
                  </w:tcBorders>
                  <w:vAlign w:val="center"/>
                </w:tcPr>
                <w:p w14:paraId="1E4F97EE">
                  <w:pPr>
                    <w:pStyle w:val="9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olor w:val="auto"/>
                      <w:spacing w:val="-4"/>
                      <w:sz w:val="21"/>
                      <w:highlight w:val="none"/>
                      <w:lang w:val="en-US" w:eastAsia="zh-CN"/>
                    </w:rPr>
                  </w:pPr>
                  <w:r>
                    <w:rPr>
                      <w:rFonts w:hint="eastAsia" w:ascii="Times New Roman" w:hAnsi="Times New Roman" w:eastAsia="宋体"/>
                      <w:color w:val="auto"/>
                      <w:spacing w:val="-4"/>
                      <w:sz w:val="21"/>
                      <w:highlight w:val="none"/>
                      <w:lang w:val="en-US" w:eastAsia="zh-CN"/>
                    </w:rPr>
                    <w:t>预测值</w:t>
                  </w:r>
                </w:p>
              </w:tc>
              <w:tc>
                <w:tcPr>
                  <w:tcW w:w="1387" w:type="dxa"/>
                  <w:vMerge w:val="restart"/>
                  <w:tcBorders>
                    <w:left w:val="single" w:color="000000" w:sz="4" w:space="0"/>
                    <w:bottom w:val="single" w:color="000000" w:sz="4" w:space="0"/>
                    <w:right w:val="single" w:color="000000" w:sz="4" w:space="0"/>
                  </w:tcBorders>
                  <w:vAlign w:val="center"/>
                </w:tcPr>
                <w:p w14:paraId="4155DAD4">
                  <w:pPr>
                    <w:pStyle w:val="9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2"/>
                      <w:sz w:val="21"/>
                      <w:highlight w:val="none"/>
                    </w:rPr>
                    <w:t>厂界噪声最大</w:t>
                  </w:r>
                  <w:r>
                    <w:rPr>
                      <w:rFonts w:ascii="Times New Roman" w:hAnsi="Times New Roman" w:eastAsia="宋体"/>
                      <w:color w:val="auto"/>
                      <w:spacing w:val="-4"/>
                      <w:sz w:val="21"/>
                      <w:highlight w:val="none"/>
                    </w:rPr>
                    <w:t>值及位置</w:t>
                  </w:r>
                </w:p>
              </w:tc>
              <w:tc>
                <w:tcPr>
                  <w:tcW w:w="668" w:type="dxa"/>
                  <w:vMerge w:val="restart"/>
                  <w:tcBorders>
                    <w:left w:val="single" w:color="000000" w:sz="4" w:space="0"/>
                    <w:right w:val="single" w:color="000000" w:sz="4" w:space="0"/>
                  </w:tcBorders>
                  <w:vAlign w:val="center"/>
                </w:tcPr>
                <w:p w14:paraId="14D9BAB9">
                  <w:pPr>
                    <w:pStyle w:val="9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5"/>
                      <w:sz w:val="21"/>
                      <w:highlight w:val="none"/>
                    </w:rPr>
                    <w:t>标准值</w:t>
                  </w:r>
                </w:p>
              </w:tc>
              <w:tc>
                <w:tcPr>
                  <w:tcW w:w="537" w:type="dxa"/>
                  <w:vMerge w:val="restart"/>
                  <w:tcBorders>
                    <w:left w:val="single" w:color="000000" w:sz="4" w:space="0"/>
                    <w:bottom w:val="single" w:color="000000" w:sz="4" w:space="0"/>
                    <w:right w:val="nil"/>
                  </w:tcBorders>
                  <w:vAlign w:val="center"/>
                </w:tcPr>
                <w:p w14:paraId="67A05119">
                  <w:pPr>
                    <w:pStyle w:val="9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达标情况</w:t>
                  </w:r>
                </w:p>
              </w:tc>
            </w:tr>
            <w:tr w14:paraId="280A25D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431" w:type="dxa"/>
                  <w:vMerge w:val="continue"/>
                  <w:tcBorders>
                    <w:top w:val="nil"/>
                    <w:left w:val="nil"/>
                    <w:bottom w:val="single" w:color="000000" w:sz="4" w:space="0"/>
                    <w:right w:val="single" w:color="000000" w:sz="4" w:space="0"/>
                  </w:tcBorders>
                  <w:vAlign w:val="center"/>
                </w:tcPr>
                <w:p w14:paraId="12E7E6D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szCs w:val="2"/>
                      <w:highlight w:val="none"/>
                    </w:rPr>
                  </w:pPr>
                </w:p>
              </w:tc>
              <w:tc>
                <w:tcPr>
                  <w:tcW w:w="704" w:type="dxa"/>
                  <w:vMerge w:val="continue"/>
                  <w:tcBorders>
                    <w:top w:val="nil"/>
                    <w:left w:val="single" w:color="000000" w:sz="4" w:space="0"/>
                    <w:bottom w:val="single" w:color="000000" w:sz="4" w:space="0"/>
                    <w:right w:val="single" w:color="000000" w:sz="4" w:space="0"/>
                  </w:tcBorders>
                  <w:vAlign w:val="center"/>
                </w:tcPr>
                <w:p w14:paraId="1B62021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szCs w:val="2"/>
                      <w:highlight w:val="none"/>
                    </w:rPr>
                  </w:pPr>
                </w:p>
              </w:tc>
              <w:tc>
                <w:tcPr>
                  <w:tcW w:w="730" w:type="dxa"/>
                  <w:tcBorders>
                    <w:top w:val="single" w:color="000000" w:sz="4" w:space="0"/>
                    <w:left w:val="single" w:color="000000" w:sz="4" w:space="0"/>
                    <w:bottom w:val="single" w:color="000000" w:sz="4" w:space="0"/>
                    <w:right w:val="single" w:color="000000" w:sz="4" w:space="0"/>
                  </w:tcBorders>
                  <w:vAlign w:val="center"/>
                </w:tcPr>
                <w:p w14:paraId="5E5188D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
                      <w:highlight w:val="none"/>
                    </w:rPr>
                  </w:pPr>
                  <w:r>
                    <w:rPr>
                      <w:rFonts w:hint="eastAsia" w:ascii="Times New Roman" w:hAnsi="Times New Roman" w:eastAsia="宋体"/>
                      <w:color w:val="auto"/>
                      <w:sz w:val="21"/>
                      <w:szCs w:val="2"/>
                      <w:highlight w:val="none"/>
                      <w:lang w:val="en-US" w:eastAsia="zh-CN"/>
                    </w:rPr>
                    <w:t>昼间</w:t>
                  </w:r>
                </w:p>
              </w:tc>
              <w:tc>
                <w:tcPr>
                  <w:tcW w:w="729" w:type="dxa"/>
                  <w:tcBorders>
                    <w:top w:val="single" w:color="000000" w:sz="4" w:space="0"/>
                    <w:left w:val="single" w:color="000000" w:sz="4" w:space="0"/>
                    <w:bottom w:val="single" w:color="000000" w:sz="4" w:space="0"/>
                    <w:right w:val="single" w:color="000000" w:sz="4" w:space="0"/>
                  </w:tcBorders>
                  <w:vAlign w:val="center"/>
                </w:tcPr>
                <w:p w14:paraId="4222CC7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
                      <w:highlight w:val="none"/>
                    </w:rPr>
                  </w:pPr>
                  <w:r>
                    <w:rPr>
                      <w:rFonts w:hint="eastAsia" w:ascii="Times New Roman" w:hAnsi="Times New Roman" w:eastAsia="宋体"/>
                      <w:color w:val="auto"/>
                      <w:sz w:val="21"/>
                      <w:szCs w:val="2"/>
                      <w:highlight w:val="none"/>
                      <w:lang w:val="en-US" w:eastAsia="zh-CN"/>
                    </w:rPr>
                    <w:t>夜间</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CE73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kern w:val="2"/>
                      <w:sz w:val="21"/>
                      <w:szCs w:val="2"/>
                      <w:highlight w:val="none"/>
                      <w:lang w:val="en-US" w:eastAsia="zh-CN" w:bidi="ar-SA"/>
                    </w:rPr>
                  </w:pPr>
                  <w:r>
                    <w:rPr>
                      <w:rFonts w:hint="eastAsia" w:ascii="Times New Roman" w:hAnsi="Times New Roman" w:eastAsia="宋体"/>
                      <w:color w:val="auto"/>
                      <w:sz w:val="21"/>
                      <w:szCs w:val="2"/>
                      <w:highlight w:val="none"/>
                      <w:lang w:val="en-US" w:eastAsia="zh-CN"/>
                    </w:rPr>
                    <w:t>昼间</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4CE8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kern w:val="2"/>
                      <w:sz w:val="21"/>
                      <w:szCs w:val="2"/>
                      <w:highlight w:val="none"/>
                      <w:lang w:val="en-US" w:eastAsia="zh-CN" w:bidi="ar-SA"/>
                    </w:rPr>
                  </w:pPr>
                  <w:r>
                    <w:rPr>
                      <w:rFonts w:hint="eastAsia" w:ascii="Times New Roman" w:hAnsi="Times New Roman" w:eastAsia="宋体"/>
                      <w:color w:val="auto"/>
                      <w:sz w:val="21"/>
                      <w:szCs w:val="2"/>
                      <w:highlight w:val="none"/>
                      <w:lang w:val="en-US" w:eastAsia="zh-CN"/>
                    </w:rPr>
                    <w:t>夜间</w:t>
                  </w:r>
                </w:p>
              </w:tc>
              <w:tc>
                <w:tcPr>
                  <w:tcW w:w="1005" w:type="dxa"/>
                  <w:tcBorders>
                    <w:top w:val="nil"/>
                    <w:left w:val="single" w:color="000000" w:sz="4" w:space="0"/>
                    <w:bottom w:val="single" w:color="000000" w:sz="4" w:space="0"/>
                    <w:right w:val="single" w:color="000000" w:sz="4" w:space="0"/>
                  </w:tcBorders>
                  <w:vAlign w:val="center"/>
                </w:tcPr>
                <w:p w14:paraId="0B08D50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olor w:val="auto"/>
                      <w:sz w:val="21"/>
                      <w:szCs w:val="2"/>
                      <w:highlight w:val="none"/>
                      <w:lang w:val="en-US" w:eastAsia="zh-CN"/>
                    </w:rPr>
                  </w:pPr>
                  <w:r>
                    <w:rPr>
                      <w:rFonts w:hint="eastAsia" w:ascii="Times New Roman" w:hAnsi="Times New Roman" w:eastAsia="宋体"/>
                      <w:color w:val="auto"/>
                      <w:sz w:val="21"/>
                      <w:szCs w:val="2"/>
                      <w:highlight w:val="none"/>
                      <w:lang w:val="en-US" w:eastAsia="zh-CN"/>
                    </w:rPr>
                    <w:t>昼间</w:t>
                  </w:r>
                </w:p>
              </w:tc>
              <w:tc>
                <w:tcPr>
                  <w:tcW w:w="1095" w:type="dxa"/>
                  <w:tcBorders>
                    <w:top w:val="nil"/>
                    <w:left w:val="single" w:color="000000" w:sz="4" w:space="0"/>
                    <w:bottom w:val="single" w:color="000000" w:sz="4" w:space="0"/>
                    <w:right w:val="single" w:color="000000" w:sz="4" w:space="0"/>
                  </w:tcBorders>
                  <w:vAlign w:val="center"/>
                </w:tcPr>
                <w:p w14:paraId="47738F7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olor w:val="auto"/>
                      <w:sz w:val="21"/>
                      <w:szCs w:val="2"/>
                      <w:highlight w:val="none"/>
                      <w:lang w:val="en-US" w:eastAsia="zh-CN"/>
                    </w:rPr>
                  </w:pPr>
                  <w:r>
                    <w:rPr>
                      <w:rFonts w:hint="eastAsia" w:ascii="Times New Roman" w:hAnsi="Times New Roman" w:eastAsia="宋体"/>
                      <w:color w:val="auto"/>
                      <w:sz w:val="21"/>
                      <w:szCs w:val="2"/>
                      <w:highlight w:val="none"/>
                      <w:lang w:val="en-US" w:eastAsia="zh-CN"/>
                    </w:rPr>
                    <w:t>夜间</w:t>
                  </w:r>
                </w:p>
              </w:tc>
              <w:tc>
                <w:tcPr>
                  <w:tcW w:w="1387" w:type="dxa"/>
                  <w:vMerge w:val="continue"/>
                  <w:tcBorders>
                    <w:top w:val="nil"/>
                    <w:left w:val="single" w:color="000000" w:sz="4" w:space="0"/>
                    <w:bottom w:val="single" w:color="000000" w:sz="4" w:space="0"/>
                    <w:right w:val="single" w:color="000000" w:sz="4" w:space="0"/>
                  </w:tcBorders>
                  <w:vAlign w:val="center"/>
                </w:tcPr>
                <w:p w14:paraId="60E87E4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szCs w:val="2"/>
                      <w:highlight w:val="none"/>
                    </w:rPr>
                  </w:pPr>
                </w:p>
              </w:tc>
              <w:tc>
                <w:tcPr>
                  <w:tcW w:w="668" w:type="dxa"/>
                  <w:vMerge w:val="continue"/>
                  <w:tcBorders>
                    <w:left w:val="single" w:color="000000" w:sz="4" w:space="0"/>
                    <w:bottom w:val="single" w:color="000000" w:sz="4" w:space="0"/>
                    <w:right w:val="single" w:color="000000" w:sz="4" w:space="0"/>
                  </w:tcBorders>
                  <w:vAlign w:val="center"/>
                </w:tcPr>
                <w:p w14:paraId="15AD9F29">
                  <w:pPr>
                    <w:pStyle w:val="9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p>
              </w:tc>
              <w:tc>
                <w:tcPr>
                  <w:tcW w:w="537" w:type="dxa"/>
                  <w:vMerge w:val="continue"/>
                  <w:tcBorders>
                    <w:top w:val="nil"/>
                    <w:left w:val="single" w:color="000000" w:sz="4" w:space="0"/>
                    <w:bottom w:val="single" w:color="000000" w:sz="4" w:space="0"/>
                    <w:right w:val="nil"/>
                  </w:tcBorders>
                  <w:vAlign w:val="center"/>
                </w:tcPr>
                <w:p w14:paraId="7F96CAF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szCs w:val="2"/>
                      <w:highlight w:val="none"/>
                    </w:rPr>
                  </w:pPr>
                </w:p>
              </w:tc>
            </w:tr>
            <w:tr w14:paraId="542584E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0" w:hRule="atLeast"/>
                <w:jc w:val="center"/>
              </w:trPr>
              <w:tc>
                <w:tcPr>
                  <w:tcW w:w="431" w:type="dxa"/>
                  <w:tcBorders>
                    <w:top w:val="single" w:color="000000" w:sz="4" w:space="0"/>
                    <w:left w:val="nil"/>
                    <w:bottom w:val="single" w:color="000000" w:sz="4" w:space="0"/>
                    <w:right w:val="single" w:color="000000" w:sz="4" w:space="0"/>
                  </w:tcBorders>
                  <w:vAlign w:val="center"/>
                </w:tcPr>
                <w:p w14:paraId="491FB23D">
                  <w:pPr>
                    <w:pStyle w:val="9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10"/>
                      <w:sz w:val="21"/>
                      <w:highlight w:val="none"/>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89420">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西南侧厂界</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AE208">
                  <w:pPr>
                    <w:pStyle w:val="146"/>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sz w:val="21"/>
                      <w:highlight w:val="none"/>
                      <w:vertAlign w:val="baseline"/>
                      <w:lang w:val="en-US" w:eastAsia="zh-CN" w:bidi="ar-SA"/>
                    </w:rPr>
                  </w:pPr>
                  <w:r>
                    <w:rPr>
                      <w:rFonts w:hint="eastAsia" w:ascii="Times New Roman" w:hAnsi="Times New Roman" w:eastAsia="宋体" w:cs="Times New Roman"/>
                      <w:b w:val="0"/>
                      <w:color w:val="auto"/>
                      <w:kern w:val="2"/>
                      <w:sz w:val="21"/>
                      <w:szCs w:val="21"/>
                      <w:highlight w:val="none"/>
                      <w:lang w:val="en-US" w:eastAsia="zh-CN" w:bidi="ar-SA"/>
                    </w:rPr>
                    <w:t>53.6</w:t>
                  </w:r>
                </w:p>
              </w:tc>
              <w:tc>
                <w:tcPr>
                  <w:tcW w:w="729" w:type="dxa"/>
                  <w:tcBorders>
                    <w:top w:val="single" w:color="000000" w:sz="4" w:space="0"/>
                    <w:left w:val="single" w:color="000000" w:sz="4" w:space="0"/>
                    <w:bottom w:val="single" w:color="000000" w:sz="4" w:space="0"/>
                    <w:right w:val="single" w:color="000000" w:sz="4" w:space="0"/>
                  </w:tcBorders>
                  <w:vAlign w:val="center"/>
                </w:tcPr>
                <w:p w14:paraId="2705B986">
                  <w:pPr>
                    <w:pStyle w:val="146"/>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cs="Times New Roman"/>
                      <w:b w:val="0"/>
                      <w:color w:val="auto"/>
                      <w:kern w:val="2"/>
                      <w:sz w:val="21"/>
                      <w:szCs w:val="21"/>
                      <w:highlight w:val="none"/>
                      <w:lang w:val="en-US" w:eastAsia="zh-CN" w:bidi="ar-SA"/>
                    </w:rPr>
                    <w:t>44.8</w:t>
                  </w:r>
                </w:p>
              </w:tc>
              <w:tc>
                <w:tcPr>
                  <w:tcW w:w="700" w:type="dxa"/>
                  <w:tcBorders>
                    <w:top w:val="single" w:color="000000" w:sz="4" w:space="0"/>
                    <w:left w:val="single" w:color="000000" w:sz="4" w:space="0"/>
                    <w:bottom w:val="single" w:color="000000" w:sz="4" w:space="0"/>
                    <w:right w:val="single" w:color="000000" w:sz="4" w:space="0"/>
                  </w:tcBorders>
                  <w:vAlign w:val="center"/>
                </w:tcPr>
                <w:p w14:paraId="27E706A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55.9</w:t>
                  </w:r>
                </w:p>
              </w:tc>
              <w:tc>
                <w:tcPr>
                  <w:tcW w:w="735" w:type="dxa"/>
                  <w:tcBorders>
                    <w:top w:val="single" w:color="000000" w:sz="4" w:space="0"/>
                    <w:left w:val="single" w:color="000000" w:sz="4" w:space="0"/>
                    <w:bottom w:val="single" w:color="000000" w:sz="4" w:space="0"/>
                    <w:right w:val="single" w:color="000000" w:sz="4" w:space="0"/>
                  </w:tcBorders>
                  <w:vAlign w:val="center"/>
                </w:tcPr>
                <w:p w14:paraId="25F27A6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46.5</w:t>
                  </w:r>
                </w:p>
              </w:tc>
              <w:tc>
                <w:tcPr>
                  <w:tcW w:w="1005" w:type="dxa"/>
                  <w:tcBorders>
                    <w:top w:val="single" w:color="000000" w:sz="4" w:space="0"/>
                    <w:left w:val="single" w:color="000000" w:sz="4" w:space="0"/>
                    <w:bottom w:val="single" w:color="000000" w:sz="4" w:space="0"/>
                    <w:right w:val="single" w:color="000000" w:sz="4" w:space="0"/>
                  </w:tcBorders>
                  <w:vAlign w:val="center"/>
                </w:tcPr>
                <w:p w14:paraId="1801C435">
                  <w:pPr>
                    <w:pStyle w:val="146"/>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cs="Times New Roman"/>
                      <w:b w:val="0"/>
                      <w:color w:val="auto"/>
                      <w:kern w:val="2"/>
                      <w:sz w:val="21"/>
                      <w:szCs w:val="21"/>
                      <w:highlight w:val="none"/>
                      <w:lang w:val="en-US" w:eastAsia="zh-CN" w:bidi="ar-SA"/>
                    </w:rPr>
                    <w:t>57.9</w:t>
                  </w:r>
                </w:p>
              </w:tc>
              <w:tc>
                <w:tcPr>
                  <w:tcW w:w="1095" w:type="dxa"/>
                  <w:tcBorders>
                    <w:top w:val="single" w:color="000000" w:sz="4" w:space="0"/>
                    <w:left w:val="single" w:color="000000" w:sz="4" w:space="0"/>
                    <w:bottom w:val="single" w:color="000000" w:sz="4" w:space="0"/>
                    <w:right w:val="single" w:color="000000" w:sz="4" w:space="0"/>
                  </w:tcBorders>
                  <w:vAlign w:val="center"/>
                </w:tcPr>
                <w:p w14:paraId="4CBCDB4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48.7</w:t>
                  </w:r>
                </w:p>
              </w:tc>
              <w:tc>
                <w:tcPr>
                  <w:tcW w:w="1387" w:type="dxa"/>
                  <w:vMerge w:val="restart"/>
                  <w:tcBorders>
                    <w:top w:val="single" w:color="000000" w:sz="4" w:space="0"/>
                    <w:left w:val="single" w:color="000000" w:sz="4" w:space="0"/>
                    <w:right w:val="single" w:color="000000" w:sz="4" w:space="0"/>
                  </w:tcBorders>
                  <w:vAlign w:val="center"/>
                </w:tcPr>
                <w:p w14:paraId="09D61B34">
                  <w:pPr>
                    <w:pStyle w:val="9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olor w:val="auto"/>
                      <w:sz w:val="21"/>
                      <w:highlight w:val="none"/>
                      <w:lang w:val="en-US" w:eastAsia="zh-CN"/>
                    </w:rPr>
                  </w:pPr>
                  <w:r>
                    <w:rPr>
                      <w:rFonts w:hint="eastAsia" w:ascii="Times New Roman" w:hAnsi="Times New Roman" w:eastAsia="宋体"/>
                      <w:color w:val="auto"/>
                      <w:spacing w:val="-11"/>
                      <w:sz w:val="21"/>
                      <w:highlight w:val="none"/>
                      <w:lang w:val="en-US" w:eastAsia="zh-CN"/>
                    </w:rPr>
                    <w:t>东北</w:t>
                  </w:r>
                  <w:r>
                    <w:rPr>
                      <w:rFonts w:ascii="Times New Roman" w:hAnsi="Times New Roman" w:eastAsia="宋体"/>
                      <w:color w:val="auto"/>
                      <w:spacing w:val="-11"/>
                      <w:sz w:val="21"/>
                      <w:highlight w:val="none"/>
                    </w:rPr>
                    <w:t>侧厂界</w:t>
                  </w:r>
                  <w:r>
                    <w:rPr>
                      <w:rFonts w:hint="eastAsia" w:ascii="Times New Roman" w:hAnsi="Times New Roman" w:eastAsia="宋体"/>
                      <w:color w:val="auto"/>
                      <w:spacing w:val="-4"/>
                      <w:sz w:val="21"/>
                      <w:highlight w:val="none"/>
                      <w:lang w:val="en-US" w:eastAsia="zh-CN"/>
                    </w:rPr>
                    <w:t>59.3（昼间）49.2（夜间）</w:t>
                  </w:r>
                </w:p>
              </w:tc>
              <w:tc>
                <w:tcPr>
                  <w:tcW w:w="668" w:type="dxa"/>
                  <w:vMerge w:val="restart"/>
                  <w:tcBorders>
                    <w:top w:val="single" w:color="000000" w:sz="4" w:space="0"/>
                    <w:left w:val="single" w:color="000000" w:sz="4" w:space="0"/>
                    <w:right w:val="single" w:color="000000" w:sz="4" w:space="0"/>
                  </w:tcBorders>
                  <w:vAlign w:val="center"/>
                </w:tcPr>
                <w:p w14:paraId="34ED67A0">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olor w:val="auto"/>
                      <w:sz w:val="21"/>
                      <w:szCs w:val="2"/>
                      <w:highlight w:val="none"/>
                      <w:lang w:val="en-US" w:eastAsia="zh-CN"/>
                    </w:rPr>
                  </w:pPr>
                  <w:r>
                    <w:rPr>
                      <w:rFonts w:hint="eastAsia" w:ascii="Times New Roman" w:hAnsi="Times New Roman" w:eastAsia="宋体"/>
                      <w:color w:val="auto"/>
                      <w:spacing w:val="-5"/>
                      <w:sz w:val="21"/>
                      <w:highlight w:val="none"/>
                      <w:lang w:val="en-US" w:eastAsia="zh-CN"/>
                    </w:rPr>
                    <w:t>昼间</w:t>
                  </w:r>
                  <w:r>
                    <w:rPr>
                      <w:rFonts w:hint="eastAsia" w:ascii="Times New Roman" w:hAnsi="Times New Roman" w:eastAsia="宋体" w:cs="微软雅黑"/>
                      <w:color w:val="auto"/>
                      <w:spacing w:val="-5"/>
                      <w:sz w:val="21"/>
                      <w:highlight w:val="none"/>
                      <w:lang w:val="en-US" w:eastAsia="zh-CN"/>
                    </w:rPr>
                    <w:t>≦</w:t>
                  </w:r>
                  <w:r>
                    <w:rPr>
                      <w:rFonts w:hint="eastAsia" w:ascii="Times New Roman" w:hAnsi="Times New Roman" w:eastAsia="宋体"/>
                      <w:color w:val="auto"/>
                      <w:spacing w:val="-5"/>
                      <w:sz w:val="21"/>
                      <w:highlight w:val="none"/>
                      <w:lang w:val="en-US" w:eastAsia="zh-CN"/>
                    </w:rPr>
                    <w:t>60；夜间</w:t>
                  </w:r>
                  <w:r>
                    <w:rPr>
                      <w:rFonts w:hint="eastAsia" w:ascii="Times New Roman" w:hAnsi="Times New Roman" w:eastAsia="宋体" w:cs="微软雅黑"/>
                      <w:color w:val="auto"/>
                      <w:spacing w:val="-5"/>
                      <w:sz w:val="21"/>
                      <w:highlight w:val="none"/>
                      <w:lang w:val="en-US" w:eastAsia="zh-CN"/>
                    </w:rPr>
                    <w:t>≦50</w:t>
                  </w:r>
                </w:p>
              </w:tc>
              <w:tc>
                <w:tcPr>
                  <w:tcW w:w="537" w:type="dxa"/>
                  <w:tcBorders>
                    <w:top w:val="single" w:color="000000" w:sz="4" w:space="0"/>
                    <w:left w:val="single" w:color="000000" w:sz="4" w:space="0"/>
                    <w:bottom w:val="single" w:color="000000" w:sz="4" w:space="0"/>
                    <w:right w:val="nil"/>
                  </w:tcBorders>
                  <w:vAlign w:val="center"/>
                </w:tcPr>
                <w:p w14:paraId="070313B3">
                  <w:pPr>
                    <w:pStyle w:val="9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8"/>
                      <w:sz w:val="21"/>
                      <w:highlight w:val="none"/>
                    </w:rPr>
                    <w:t>达标</w:t>
                  </w:r>
                </w:p>
              </w:tc>
            </w:tr>
            <w:tr w14:paraId="3F4DB49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jc w:val="center"/>
              </w:trPr>
              <w:tc>
                <w:tcPr>
                  <w:tcW w:w="431" w:type="dxa"/>
                  <w:tcBorders>
                    <w:top w:val="single" w:color="000000" w:sz="4" w:space="0"/>
                    <w:left w:val="nil"/>
                    <w:bottom w:val="single" w:color="000000" w:sz="4" w:space="0"/>
                    <w:right w:val="single" w:color="000000" w:sz="4" w:space="0"/>
                  </w:tcBorders>
                  <w:vAlign w:val="center"/>
                </w:tcPr>
                <w:p w14:paraId="7FFD88A4">
                  <w:pPr>
                    <w:pStyle w:val="9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10"/>
                      <w:sz w:val="21"/>
                      <w:highlight w:val="none"/>
                    </w:rPr>
                    <w:t>2</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52D8A">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东南侧厂界</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D0258">
                  <w:pPr>
                    <w:pStyle w:val="146"/>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sz w:val="21"/>
                      <w:highlight w:val="none"/>
                      <w:vertAlign w:val="baseli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5</w:t>
                  </w:r>
                  <w:r>
                    <w:rPr>
                      <w:rFonts w:hint="eastAsia" w:ascii="Times New Roman" w:hAnsi="Times New Roman" w:eastAsia="宋体" w:cs="Times New Roman"/>
                      <w:b w:val="0"/>
                      <w:color w:val="auto"/>
                      <w:kern w:val="2"/>
                      <w:sz w:val="21"/>
                      <w:szCs w:val="21"/>
                      <w:highlight w:val="none"/>
                      <w:lang w:val="en-US" w:eastAsia="zh-CN" w:bidi="ar-SA"/>
                    </w:rPr>
                    <w:t>2.7</w:t>
                  </w:r>
                </w:p>
              </w:tc>
              <w:tc>
                <w:tcPr>
                  <w:tcW w:w="729" w:type="dxa"/>
                  <w:tcBorders>
                    <w:top w:val="single" w:color="000000" w:sz="4" w:space="0"/>
                    <w:left w:val="single" w:color="000000" w:sz="4" w:space="0"/>
                    <w:bottom w:val="single" w:color="000000" w:sz="4" w:space="0"/>
                    <w:right w:val="single" w:color="000000" w:sz="4" w:space="0"/>
                  </w:tcBorders>
                  <w:vAlign w:val="center"/>
                </w:tcPr>
                <w:p w14:paraId="19EF9507">
                  <w:pPr>
                    <w:pStyle w:val="146"/>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cs="Times New Roman"/>
                      <w:b w:val="0"/>
                      <w:color w:val="auto"/>
                      <w:kern w:val="2"/>
                      <w:sz w:val="21"/>
                      <w:szCs w:val="21"/>
                      <w:highlight w:val="none"/>
                      <w:lang w:val="en-US" w:eastAsia="zh-CN" w:bidi="ar-SA"/>
                    </w:rPr>
                    <w:t>46.55</w:t>
                  </w:r>
                </w:p>
              </w:tc>
              <w:tc>
                <w:tcPr>
                  <w:tcW w:w="700" w:type="dxa"/>
                  <w:tcBorders>
                    <w:top w:val="single" w:color="000000" w:sz="4" w:space="0"/>
                    <w:left w:val="single" w:color="000000" w:sz="4" w:space="0"/>
                    <w:bottom w:val="single" w:color="000000" w:sz="4" w:space="0"/>
                    <w:right w:val="single" w:color="000000" w:sz="4" w:space="0"/>
                  </w:tcBorders>
                  <w:vAlign w:val="center"/>
                </w:tcPr>
                <w:p w14:paraId="471C48A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56.1</w:t>
                  </w:r>
                </w:p>
              </w:tc>
              <w:tc>
                <w:tcPr>
                  <w:tcW w:w="735" w:type="dxa"/>
                  <w:tcBorders>
                    <w:top w:val="single" w:color="000000" w:sz="4" w:space="0"/>
                    <w:left w:val="single" w:color="000000" w:sz="4" w:space="0"/>
                    <w:bottom w:val="single" w:color="000000" w:sz="4" w:space="0"/>
                    <w:right w:val="single" w:color="000000" w:sz="4" w:space="0"/>
                  </w:tcBorders>
                  <w:vAlign w:val="center"/>
                </w:tcPr>
                <w:p w14:paraId="41C2A5A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42.1</w:t>
                  </w:r>
                </w:p>
              </w:tc>
              <w:tc>
                <w:tcPr>
                  <w:tcW w:w="1005" w:type="dxa"/>
                  <w:tcBorders>
                    <w:top w:val="single" w:color="000000" w:sz="4" w:space="0"/>
                    <w:left w:val="single" w:color="000000" w:sz="4" w:space="0"/>
                    <w:bottom w:val="single" w:color="000000" w:sz="4" w:space="0"/>
                    <w:right w:val="single" w:color="000000" w:sz="4" w:space="0"/>
                  </w:tcBorders>
                  <w:vAlign w:val="center"/>
                </w:tcPr>
                <w:p w14:paraId="5D04FA17">
                  <w:pPr>
                    <w:pStyle w:val="146"/>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cs="Times New Roman"/>
                      <w:b w:val="0"/>
                      <w:color w:val="auto"/>
                      <w:kern w:val="2"/>
                      <w:sz w:val="21"/>
                      <w:szCs w:val="21"/>
                      <w:highlight w:val="none"/>
                      <w:lang w:val="en-US" w:eastAsia="zh-CN" w:bidi="ar-SA"/>
                    </w:rPr>
                    <w:t>57.7</w:t>
                  </w:r>
                </w:p>
              </w:tc>
              <w:tc>
                <w:tcPr>
                  <w:tcW w:w="1095" w:type="dxa"/>
                  <w:tcBorders>
                    <w:top w:val="single" w:color="000000" w:sz="4" w:space="0"/>
                    <w:left w:val="single" w:color="000000" w:sz="4" w:space="0"/>
                    <w:bottom w:val="single" w:color="000000" w:sz="4" w:space="0"/>
                    <w:right w:val="single" w:color="000000" w:sz="4" w:space="0"/>
                  </w:tcBorders>
                  <w:vAlign w:val="center"/>
                </w:tcPr>
                <w:p w14:paraId="19EB65F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47.9</w:t>
                  </w:r>
                </w:p>
              </w:tc>
              <w:tc>
                <w:tcPr>
                  <w:tcW w:w="1387" w:type="dxa"/>
                  <w:vMerge w:val="continue"/>
                  <w:tcBorders>
                    <w:left w:val="single" w:color="000000" w:sz="4" w:space="0"/>
                    <w:right w:val="single" w:color="000000" w:sz="4" w:space="0"/>
                  </w:tcBorders>
                  <w:vAlign w:val="center"/>
                </w:tcPr>
                <w:p w14:paraId="35C07E0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szCs w:val="2"/>
                      <w:highlight w:val="none"/>
                    </w:rPr>
                  </w:pPr>
                </w:p>
              </w:tc>
              <w:tc>
                <w:tcPr>
                  <w:tcW w:w="668" w:type="dxa"/>
                  <w:vMerge w:val="continue"/>
                  <w:tcBorders>
                    <w:left w:val="single" w:color="000000" w:sz="4" w:space="0"/>
                    <w:right w:val="single" w:color="000000" w:sz="4" w:space="0"/>
                  </w:tcBorders>
                  <w:vAlign w:val="center"/>
                </w:tcPr>
                <w:p w14:paraId="58083C40">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4"/>
                      <w:highlight w:val="none"/>
                      <w:lang w:val="en-US" w:eastAsia="zh-CN" w:bidi="ar-SA"/>
                    </w:rPr>
                  </w:pPr>
                </w:p>
              </w:tc>
              <w:tc>
                <w:tcPr>
                  <w:tcW w:w="537" w:type="dxa"/>
                  <w:tcBorders>
                    <w:top w:val="single" w:color="000000" w:sz="4" w:space="0"/>
                    <w:left w:val="single" w:color="000000" w:sz="4" w:space="0"/>
                    <w:bottom w:val="single" w:color="000000" w:sz="4" w:space="0"/>
                    <w:right w:val="nil"/>
                  </w:tcBorders>
                  <w:vAlign w:val="center"/>
                </w:tcPr>
                <w:p w14:paraId="3D1A5BB7">
                  <w:pPr>
                    <w:pStyle w:val="9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8"/>
                      <w:sz w:val="21"/>
                      <w:highlight w:val="none"/>
                    </w:rPr>
                    <w:t>达标</w:t>
                  </w:r>
                </w:p>
              </w:tc>
            </w:tr>
            <w:tr w14:paraId="722FA52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jc w:val="center"/>
              </w:trPr>
              <w:tc>
                <w:tcPr>
                  <w:tcW w:w="431" w:type="dxa"/>
                  <w:tcBorders>
                    <w:top w:val="single" w:color="000000" w:sz="4" w:space="0"/>
                    <w:left w:val="nil"/>
                    <w:bottom w:val="single" w:color="000000" w:sz="4" w:space="0"/>
                    <w:right w:val="single" w:color="000000" w:sz="4" w:space="0"/>
                  </w:tcBorders>
                  <w:vAlign w:val="center"/>
                </w:tcPr>
                <w:p w14:paraId="240A959C">
                  <w:pPr>
                    <w:pStyle w:val="9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10"/>
                      <w:sz w:val="21"/>
                      <w:highlight w:val="none"/>
                    </w:rPr>
                    <w:t>3</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EEBB6">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东北</w:t>
                  </w:r>
                  <w:r>
                    <w:rPr>
                      <w:rFonts w:hint="default" w:ascii="Times New Roman" w:hAnsi="Times New Roman" w:eastAsia="宋体" w:cs="Times New Roman"/>
                      <w:szCs w:val="21"/>
                      <w:lang w:val="en-US" w:eastAsia="zh-CN"/>
                    </w:rPr>
                    <w:t>侧</w:t>
                  </w:r>
                  <w:r>
                    <w:rPr>
                      <w:rFonts w:hint="eastAsia" w:ascii="Times New Roman" w:hAnsi="Times New Roman" w:eastAsia="宋体" w:cs="Times New Roman"/>
                      <w:szCs w:val="21"/>
                      <w:lang w:val="en-US" w:eastAsia="zh-CN"/>
                    </w:rPr>
                    <w:t>厂界</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36AC6">
                  <w:pPr>
                    <w:pStyle w:val="146"/>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sz w:val="21"/>
                      <w:highlight w:val="none"/>
                      <w:vertAlign w:val="baseline"/>
                      <w:lang w:val="en-US" w:eastAsia="zh-CN" w:bidi="ar-SA"/>
                    </w:rPr>
                  </w:pPr>
                  <w:r>
                    <w:rPr>
                      <w:rFonts w:hint="eastAsia" w:ascii="Times New Roman" w:hAnsi="Times New Roman" w:eastAsia="宋体" w:cs="Times New Roman"/>
                      <w:sz w:val="21"/>
                      <w:highlight w:val="none"/>
                      <w:vertAlign w:val="baseline"/>
                      <w:lang w:val="en-US" w:eastAsia="zh-CN" w:bidi="ar-SA"/>
                    </w:rPr>
                    <w:t>58.4</w:t>
                  </w:r>
                </w:p>
              </w:tc>
              <w:tc>
                <w:tcPr>
                  <w:tcW w:w="729" w:type="dxa"/>
                  <w:tcBorders>
                    <w:top w:val="single" w:color="000000" w:sz="4" w:space="0"/>
                    <w:left w:val="single" w:color="000000" w:sz="4" w:space="0"/>
                    <w:bottom w:val="single" w:color="000000" w:sz="4" w:space="0"/>
                    <w:right w:val="single" w:color="000000" w:sz="4" w:space="0"/>
                  </w:tcBorders>
                  <w:vAlign w:val="center"/>
                </w:tcPr>
                <w:p w14:paraId="54B05BCA">
                  <w:pPr>
                    <w:pStyle w:val="146"/>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sz w:val="21"/>
                      <w:highlight w:val="none"/>
                      <w:vertAlign w:val="baseline"/>
                      <w:lang w:val="en-US" w:eastAsia="zh-CN" w:bidi="ar-SA"/>
                    </w:rPr>
                  </w:pPr>
                  <w:r>
                    <w:rPr>
                      <w:rFonts w:hint="eastAsia" w:ascii="Times New Roman" w:hAnsi="Times New Roman" w:eastAsia="宋体" w:cs="Times New Roman"/>
                      <w:sz w:val="21"/>
                      <w:highlight w:val="none"/>
                      <w:vertAlign w:val="baseline"/>
                      <w:lang w:val="en-US" w:eastAsia="zh-CN" w:bidi="ar-SA"/>
                    </w:rPr>
                    <w:t>46.4</w:t>
                  </w:r>
                </w:p>
              </w:tc>
              <w:tc>
                <w:tcPr>
                  <w:tcW w:w="700" w:type="dxa"/>
                  <w:tcBorders>
                    <w:top w:val="single" w:color="000000" w:sz="4" w:space="0"/>
                    <w:left w:val="single" w:color="000000" w:sz="4" w:space="0"/>
                    <w:bottom w:val="single" w:color="000000" w:sz="4" w:space="0"/>
                    <w:right w:val="single" w:color="000000" w:sz="4" w:space="0"/>
                  </w:tcBorders>
                  <w:vAlign w:val="center"/>
                </w:tcPr>
                <w:p w14:paraId="474B7A0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52.1</w:t>
                  </w:r>
                </w:p>
              </w:tc>
              <w:tc>
                <w:tcPr>
                  <w:tcW w:w="735" w:type="dxa"/>
                  <w:tcBorders>
                    <w:top w:val="single" w:color="000000" w:sz="4" w:space="0"/>
                    <w:left w:val="single" w:color="000000" w:sz="4" w:space="0"/>
                    <w:bottom w:val="single" w:color="000000" w:sz="4" w:space="0"/>
                    <w:right w:val="single" w:color="000000" w:sz="4" w:space="0"/>
                  </w:tcBorders>
                  <w:vAlign w:val="center"/>
                </w:tcPr>
                <w:p w14:paraId="114CCBC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46</w:t>
                  </w:r>
                </w:p>
              </w:tc>
              <w:tc>
                <w:tcPr>
                  <w:tcW w:w="1005" w:type="dxa"/>
                  <w:tcBorders>
                    <w:top w:val="single" w:color="000000" w:sz="4" w:space="0"/>
                    <w:left w:val="single" w:color="000000" w:sz="4" w:space="0"/>
                    <w:bottom w:val="single" w:color="000000" w:sz="4" w:space="0"/>
                    <w:right w:val="single" w:color="000000" w:sz="4" w:space="0"/>
                  </w:tcBorders>
                  <w:vAlign w:val="center"/>
                </w:tcPr>
                <w:p w14:paraId="52A026E7">
                  <w:pPr>
                    <w:pStyle w:val="146"/>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cs="Times New Roman"/>
                      <w:b w:val="0"/>
                      <w:color w:val="auto"/>
                      <w:kern w:val="2"/>
                      <w:sz w:val="21"/>
                      <w:szCs w:val="21"/>
                      <w:highlight w:val="none"/>
                      <w:lang w:val="en-US" w:eastAsia="zh-CN" w:bidi="ar-SA"/>
                    </w:rPr>
                    <w:t>59.3</w:t>
                  </w:r>
                </w:p>
              </w:tc>
              <w:tc>
                <w:tcPr>
                  <w:tcW w:w="1095" w:type="dxa"/>
                  <w:tcBorders>
                    <w:top w:val="single" w:color="000000" w:sz="4" w:space="0"/>
                    <w:left w:val="single" w:color="000000" w:sz="4" w:space="0"/>
                    <w:bottom w:val="single" w:color="000000" w:sz="4" w:space="0"/>
                    <w:right w:val="single" w:color="000000" w:sz="4" w:space="0"/>
                  </w:tcBorders>
                  <w:vAlign w:val="center"/>
                </w:tcPr>
                <w:p w14:paraId="69F196A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49.2</w:t>
                  </w:r>
                </w:p>
              </w:tc>
              <w:tc>
                <w:tcPr>
                  <w:tcW w:w="1387" w:type="dxa"/>
                  <w:vMerge w:val="continue"/>
                  <w:tcBorders>
                    <w:left w:val="single" w:color="000000" w:sz="4" w:space="0"/>
                    <w:right w:val="single" w:color="000000" w:sz="4" w:space="0"/>
                  </w:tcBorders>
                  <w:vAlign w:val="center"/>
                </w:tcPr>
                <w:p w14:paraId="4928596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szCs w:val="2"/>
                      <w:highlight w:val="none"/>
                    </w:rPr>
                  </w:pPr>
                </w:p>
              </w:tc>
              <w:tc>
                <w:tcPr>
                  <w:tcW w:w="668" w:type="dxa"/>
                  <w:vMerge w:val="continue"/>
                  <w:tcBorders>
                    <w:left w:val="single" w:color="000000" w:sz="4" w:space="0"/>
                    <w:right w:val="single" w:color="000000" w:sz="4" w:space="0"/>
                  </w:tcBorders>
                  <w:vAlign w:val="center"/>
                </w:tcPr>
                <w:p w14:paraId="4A1EC39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szCs w:val="2"/>
                      <w:highlight w:val="none"/>
                    </w:rPr>
                  </w:pPr>
                </w:p>
              </w:tc>
              <w:tc>
                <w:tcPr>
                  <w:tcW w:w="537" w:type="dxa"/>
                  <w:tcBorders>
                    <w:top w:val="single" w:color="000000" w:sz="4" w:space="0"/>
                    <w:left w:val="single" w:color="000000" w:sz="4" w:space="0"/>
                    <w:bottom w:val="single" w:color="000000" w:sz="4" w:space="0"/>
                    <w:right w:val="nil"/>
                  </w:tcBorders>
                  <w:vAlign w:val="center"/>
                </w:tcPr>
                <w:p w14:paraId="40ADA0BD">
                  <w:pPr>
                    <w:pStyle w:val="9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8"/>
                      <w:sz w:val="21"/>
                      <w:highlight w:val="none"/>
                    </w:rPr>
                    <w:t>达标</w:t>
                  </w:r>
                </w:p>
              </w:tc>
            </w:tr>
            <w:tr w14:paraId="7D4DC66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9" w:hRule="atLeast"/>
                <w:jc w:val="center"/>
              </w:trPr>
              <w:tc>
                <w:tcPr>
                  <w:tcW w:w="431" w:type="dxa"/>
                  <w:tcBorders>
                    <w:top w:val="single" w:color="000000" w:sz="4" w:space="0"/>
                    <w:left w:val="nil"/>
                    <w:bottom w:val="single" w:color="000000" w:sz="4" w:space="0"/>
                    <w:right w:val="single" w:color="000000" w:sz="4" w:space="0"/>
                  </w:tcBorders>
                  <w:vAlign w:val="center"/>
                </w:tcPr>
                <w:p w14:paraId="4C4E3C54">
                  <w:pPr>
                    <w:pStyle w:val="9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10"/>
                      <w:sz w:val="21"/>
                      <w:highlight w:val="none"/>
                    </w:rPr>
                    <w:t>4</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46A27">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西北侧厂界</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477A1">
                  <w:pPr>
                    <w:pStyle w:val="146"/>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sz w:val="21"/>
                      <w:highlight w:val="none"/>
                      <w:vertAlign w:val="baseline"/>
                      <w:lang w:val="en-US" w:eastAsia="zh-CN" w:bidi="ar-SA"/>
                    </w:rPr>
                  </w:pPr>
                  <w:r>
                    <w:rPr>
                      <w:rFonts w:hint="eastAsia" w:ascii="Times New Roman" w:hAnsi="Times New Roman" w:eastAsia="宋体" w:cs="Times New Roman"/>
                      <w:sz w:val="21"/>
                      <w:highlight w:val="none"/>
                      <w:vertAlign w:val="baseline"/>
                      <w:lang w:val="en-US" w:eastAsia="zh-CN" w:bidi="ar-SA"/>
                    </w:rPr>
                    <w:t>53.6</w:t>
                  </w:r>
                </w:p>
              </w:tc>
              <w:tc>
                <w:tcPr>
                  <w:tcW w:w="729" w:type="dxa"/>
                  <w:tcBorders>
                    <w:top w:val="single" w:color="000000" w:sz="4" w:space="0"/>
                    <w:left w:val="single" w:color="000000" w:sz="4" w:space="0"/>
                    <w:bottom w:val="single" w:color="000000" w:sz="4" w:space="0"/>
                    <w:right w:val="single" w:color="000000" w:sz="4" w:space="0"/>
                  </w:tcBorders>
                  <w:vAlign w:val="center"/>
                </w:tcPr>
                <w:p w14:paraId="60F90B17">
                  <w:pPr>
                    <w:pStyle w:val="146"/>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sz w:val="21"/>
                      <w:highlight w:val="none"/>
                      <w:vertAlign w:val="baseline"/>
                      <w:lang w:val="en-US" w:eastAsia="zh-CN" w:bidi="ar-SA"/>
                    </w:rPr>
                  </w:pPr>
                  <w:r>
                    <w:rPr>
                      <w:rFonts w:hint="eastAsia" w:ascii="Times New Roman" w:hAnsi="Times New Roman" w:eastAsia="宋体" w:cs="Times New Roman"/>
                      <w:sz w:val="21"/>
                      <w:highlight w:val="none"/>
                      <w:vertAlign w:val="baseline"/>
                      <w:lang w:val="en-US" w:eastAsia="zh-CN" w:bidi="ar-SA"/>
                    </w:rPr>
                    <w:t>45.9</w:t>
                  </w:r>
                </w:p>
              </w:tc>
              <w:tc>
                <w:tcPr>
                  <w:tcW w:w="700" w:type="dxa"/>
                  <w:tcBorders>
                    <w:top w:val="single" w:color="000000" w:sz="4" w:space="0"/>
                    <w:left w:val="single" w:color="000000" w:sz="4" w:space="0"/>
                    <w:bottom w:val="single" w:color="000000" w:sz="4" w:space="0"/>
                    <w:right w:val="single" w:color="000000" w:sz="4" w:space="0"/>
                  </w:tcBorders>
                  <w:vAlign w:val="center"/>
                </w:tcPr>
                <w:p w14:paraId="1C36452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56.8</w:t>
                  </w:r>
                </w:p>
              </w:tc>
              <w:tc>
                <w:tcPr>
                  <w:tcW w:w="735" w:type="dxa"/>
                  <w:tcBorders>
                    <w:top w:val="single" w:color="000000" w:sz="4" w:space="0"/>
                    <w:left w:val="single" w:color="000000" w:sz="4" w:space="0"/>
                    <w:bottom w:val="single" w:color="000000" w:sz="4" w:space="0"/>
                    <w:right w:val="single" w:color="000000" w:sz="4" w:space="0"/>
                  </w:tcBorders>
                  <w:vAlign w:val="center"/>
                </w:tcPr>
                <w:p w14:paraId="571575F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44.5</w:t>
                  </w:r>
                </w:p>
              </w:tc>
              <w:tc>
                <w:tcPr>
                  <w:tcW w:w="1005" w:type="dxa"/>
                  <w:tcBorders>
                    <w:top w:val="single" w:color="000000" w:sz="4" w:space="0"/>
                    <w:left w:val="single" w:color="000000" w:sz="4" w:space="0"/>
                    <w:bottom w:val="single" w:color="000000" w:sz="4" w:space="0"/>
                    <w:right w:val="single" w:color="000000" w:sz="4" w:space="0"/>
                  </w:tcBorders>
                  <w:vAlign w:val="center"/>
                </w:tcPr>
                <w:p w14:paraId="62A99C36">
                  <w:pPr>
                    <w:pStyle w:val="146"/>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cs="Times New Roman"/>
                      <w:b w:val="0"/>
                      <w:color w:val="auto"/>
                      <w:kern w:val="2"/>
                      <w:sz w:val="21"/>
                      <w:szCs w:val="21"/>
                      <w:highlight w:val="none"/>
                      <w:lang w:val="en-US" w:eastAsia="zh-CN" w:bidi="ar-SA"/>
                    </w:rPr>
                    <w:t>58.5</w:t>
                  </w:r>
                </w:p>
              </w:tc>
              <w:tc>
                <w:tcPr>
                  <w:tcW w:w="1095" w:type="dxa"/>
                  <w:tcBorders>
                    <w:top w:val="single" w:color="000000" w:sz="4" w:space="0"/>
                    <w:left w:val="single" w:color="000000" w:sz="4" w:space="0"/>
                    <w:bottom w:val="single" w:color="000000" w:sz="4" w:space="0"/>
                    <w:right w:val="single" w:color="000000" w:sz="4" w:space="0"/>
                  </w:tcBorders>
                  <w:vAlign w:val="center"/>
                </w:tcPr>
                <w:p w14:paraId="5B8712C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48.3</w:t>
                  </w:r>
                </w:p>
              </w:tc>
              <w:tc>
                <w:tcPr>
                  <w:tcW w:w="1387" w:type="dxa"/>
                  <w:vMerge w:val="continue"/>
                  <w:tcBorders>
                    <w:left w:val="single" w:color="000000" w:sz="4" w:space="0"/>
                    <w:right w:val="single" w:color="000000" w:sz="4" w:space="0"/>
                  </w:tcBorders>
                  <w:vAlign w:val="center"/>
                </w:tcPr>
                <w:p w14:paraId="16C0F37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szCs w:val="2"/>
                      <w:highlight w:val="none"/>
                    </w:rPr>
                  </w:pPr>
                </w:p>
              </w:tc>
              <w:tc>
                <w:tcPr>
                  <w:tcW w:w="668" w:type="dxa"/>
                  <w:vMerge w:val="continue"/>
                  <w:tcBorders>
                    <w:left w:val="single" w:color="000000" w:sz="4" w:space="0"/>
                    <w:right w:val="single" w:color="000000" w:sz="4" w:space="0"/>
                  </w:tcBorders>
                  <w:vAlign w:val="center"/>
                </w:tcPr>
                <w:p w14:paraId="4BB4E8E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szCs w:val="2"/>
                      <w:highlight w:val="none"/>
                    </w:rPr>
                  </w:pPr>
                </w:p>
              </w:tc>
              <w:tc>
                <w:tcPr>
                  <w:tcW w:w="537" w:type="dxa"/>
                  <w:tcBorders>
                    <w:top w:val="single" w:color="000000" w:sz="4" w:space="0"/>
                    <w:left w:val="single" w:color="000000" w:sz="4" w:space="0"/>
                    <w:bottom w:val="single" w:color="000000" w:sz="4" w:space="0"/>
                    <w:right w:val="nil"/>
                  </w:tcBorders>
                  <w:vAlign w:val="center"/>
                </w:tcPr>
                <w:p w14:paraId="157ECD7A">
                  <w:pPr>
                    <w:pStyle w:val="9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8"/>
                      <w:sz w:val="21"/>
                      <w:highlight w:val="none"/>
                    </w:rPr>
                    <w:t>达标</w:t>
                  </w:r>
                </w:p>
              </w:tc>
            </w:tr>
            <w:tr w14:paraId="7A263BA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9" w:hRule="atLeast"/>
                <w:jc w:val="center"/>
              </w:trPr>
              <w:tc>
                <w:tcPr>
                  <w:tcW w:w="431" w:type="dxa"/>
                  <w:tcBorders>
                    <w:top w:val="single" w:color="000000" w:sz="4" w:space="0"/>
                    <w:left w:val="nil"/>
                    <w:right w:val="single" w:color="000000" w:sz="4" w:space="0"/>
                  </w:tcBorders>
                  <w:vAlign w:val="center"/>
                </w:tcPr>
                <w:p w14:paraId="53E61D0E">
                  <w:pPr>
                    <w:pStyle w:val="9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olor w:val="auto"/>
                      <w:spacing w:val="-10"/>
                      <w:sz w:val="21"/>
                      <w:highlight w:val="none"/>
                      <w:lang w:val="en-US" w:eastAsia="zh-CN"/>
                    </w:rPr>
                  </w:pPr>
                  <w:r>
                    <w:rPr>
                      <w:rFonts w:hint="eastAsia" w:ascii="Times New Roman" w:hAnsi="Times New Roman" w:eastAsia="宋体"/>
                      <w:color w:val="auto"/>
                      <w:spacing w:val="-10"/>
                      <w:sz w:val="21"/>
                      <w:highlight w:val="none"/>
                      <w:lang w:val="en-US" w:eastAsia="zh-CN"/>
                    </w:rPr>
                    <w:t>5</w:t>
                  </w:r>
                </w:p>
              </w:tc>
              <w:tc>
                <w:tcPr>
                  <w:tcW w:w="704" w:type="dxa"/>
                  <w:tcBorders>
                    <w:top w:val="single" w:color="000000" w:sz="4" w:space="0"/>
                    <w:left w:val="single" w:color="000000" w:sz="4" w:space="0"/>
                    <w:right w:val="single" w:color="000000" w:sz="4" w:space="0"/>
                  </w:tcBorders>
                  <w:shd w:val="clear" w:color="auto" w:fill="auto"/>
                  <w:vAlign w:val="center"/>
                </w:tcPr>
                <w:p w14:paraId="5705D407">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东侧丽山村</w:t>
                  </w:r>
                </w:p>
              </w:tc>
              <w:tc>
                <w:tcPr>
                  <w:tcW w:w="730" w:type="dxa"/>
                  <w:tcBorders>
                    <w:top w:val="single" w:color="000000" w:sz="4" w:space="0"/>
                    <w:left w:val="single" w:color="000000" w:sz="4" w:space="0"/>
                    <w:right w:val="single" w:color="000000" w:sz="4" w:space="0"/>
                  </w:tcBorders>
                  <w:shd w:val="clear" w:color="auto" w:fill="auto"/>
                  <w:vAlign w:val="center"/>
                </w:tcPr>
                <w:p w14:paraId="334B2C60">
                  <w:pPr>
                    <w:pStyle w:val="146"/>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sz w:val="21"/>
                      <w:highlight w:val="none"/>
                      <w:vertAlign w:val="baseline"/>
                      <w:lang w:val="en-US" w:eastAsia="zh-CN" w:bidi="ar-SA"/>
                    </w:rPr>
                  </w:pPr>
                  <w:r>
                    <w:rPr>
                      <w:rFonts w:hint="eastAsia" w:ascii="Times New Roman" w:hAnsi="Times New Roman" w:eastAsia="宋体" w:cs="Times New Roman"/>
                      <w:b w:val="0"/>
                      <w:color w:val="auto"/>
                      <w:kern w:val="2"/>
                      <w:sz w:val="21"/>
                      <w:szCs w:val="21"/>
                      <w:highlight w:val="none"/>
                      <w:lang w:val="en-US" w:eastAsia="zh-CN" w:bidi="ar-SA"/>
                    </w:rPr>
                    <w:t>54.8</w:t>
                  </w:r>
                </w:p>
              </w:tc>
              <w:tc>
                <w:tcPr>
                  <w:tcW w:w="729" w:type="dxa"/>
                  <w:tcBorders>
                    <w:top w:val="single" w:color="000000" w:sz="4" w:space="0"/>
                    <w:left w:val="single" w:color="000000" w:sz="4" w:space="0"/>
                    <w:right w:val="single" w:color="000000" w:sz="4" w:space="0"/>
                  </w:tcBorders>
                  <w:vAlign w:val="center"/>
                </w:tcPr>
                <w:p w14:paraId="324280DF">
                  <w:pPr>
                    <w:pStyle w:val="146"/>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cs="Times New Roman"/>
                      <w:b w:val="0"/>
                      <w:color w:val="auto"/>
                      <w:kern w:val="2"/>
                      <w:sz w:val="21"/>
                      <w:szCs w:val="21"/>
                      <w:highlight w:val="none"/>
                      <w:lang w:val="en-US" w:eastAsia="zh-CN" w:bidi="ar-SA"/>
                    </w:rPr>
                    <w:t>46.15</w:t>
                  </w:r>
                </w:p>
              </w:tc>
              <w:tc>
                <w:tcPr>
                  <w:tcW w:w="700" w:type="dxa"/>
                  <w:tcBorders>
                    <w:top w:val="single" w:color="000000" w:sz="4" w:space="0"/>
                    <w:left w:val="single" w:color="000000" w:sz="4" w:space="0"/>
                    <w:right w:val="single" w:color="000000" w:sz="4" w:space="0"/>
                  </w:tcBorders>
                  <w:vAlign w:val="center"/>
                </w:tcPr>
                <w:p w14:paraId="711CC331">
                  <w:pPr>
                    <w:pStyle w:val="146"/>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cs="Times New Roman"/>
                      <w:b w:val="0"/>
                      <w:color w:val="auto"/>
                      <w:kern w:val="2"/>
                      <w:sz w:val="21"/>
                      <w:szCs w:val="21"/>
                      <w:highlight w:val="none"/>
                      <w:lang w:val="en-US" w:eastAsia="zh-CN" w:bidi="ar-SA"/>
                    </w:rPr>
                    <w:t>57.1</w:t>
                  </w:r>
                </w:p>
              </w:tc>
              <w:tc>
                <w:tcPr>
                  <w:tcW w:w="735" w:type="dxa"/>
                  <w:tcBorders>
                    <w:top w:val="single" w:color="000000" w:sz="4" w:space="0"/>
                    <w:left w:val="single" w:color="000000" w:sz="4" w:space="0"/>
                    <w:right w:val="single" w:color="000000" w:sz="4" w:space="0"/>
                  </w:tcBorders>
                  <w:vAlign w:val="center"/>
                </w:tcPr>
                <w:p w14:paraId="215C7824">
                  <w:pPr>
                    <w:pStyle w:val="146"/>
                    <w:keepNext w:val="0"/>
                    <w:keepLines w:val="0"/>
                    <w:pageBreakBefore w:val="0"/>
                    <w:widowControl/>
                    <w:tabs>
                      <w:tab w:val="left" w:pos="295"/>
                    </w:tabs>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cs="Times New Roman"/>
                      <w:b w:val="0"/>
                      <w:color w:val="auto"/>
                      <w:kern w:val="2"/>
                      <w:sz w:val="21"/>
                      <w:szCs w:val="21"/>
                      <w:highlight w:val="none"/>
                      <w:lang w:val="en-US" w:eastAsia="zh-CN" w:bidi="ar-SA"/>
                    </w:rPr>
                    <w:t>42.6</w:t>
                  </w:r>
                </w:p>
              </w:tc>
              <w:tc>
                <w:tcPr>
                  <w:tcW w:w="1005" w:type="dxa"/>
                  <w:tcBorders>
                    <w:top w:val="single" w:color="000000" w:sz="4" w:space="0"/>
                    <w:left w:val="single" w:color="000000" w:sz="4" w:space="0"/>
                    <w:right w:val="single" w:color="000000" w:sz="4" w:space="0"/>
                  </w:tcBorders>
                  <w:vAlign w:val="center"/>
                </w:tcPr>
                <w:p w14:paraId="04F443B0">
                  <w:pPr>
                    <w:pStyle w:val="146"/>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cs="Times New Roman"/>
                      <w:b w:val="0"/>
                      <w:color w:val="auto"/>
                      <w:kern w:val="2"/>
                      <w:sz w:val="21"/>
                      <w:szCs w:val="21"/>
                      <w:highlight w:val="none"/>
                      <w:lang w:val="en-US" w:eastAsia="zh-CN" w:bidi="ar-SA"/>
                    </w:rPr>
                    <w:t>59.1</w:t>
                  </w:r>
                </w:p>
              </w:tc>
              <w:tc>
                <w:tcPr>
                  <w:tcW w:w="1095" w:type="dxa"/>
                  <w:tcBorders>
                    <w:top w:val="single" w:color="000000" w:sz="4" w:space="0"/>
                    <w:left w:val="single" w:color="000000" w:sz="4" w:space="0"/>
                    <w:right w:val="single" w:color="000000" w:sz="4" w:space="0"/>
                  </w:tcBorders>
                  <w:vAlign w:val="center"/>
                </w:tcPr>
                <w:p w14:paraId="53EBD1D8">
                  <w:pPr>
                    <w:pStyle w:val="146"/>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cs="Times New Roman"/>
                      <w:b w:val="0"/>
                      <w:color w:val="auto"/>
                      <w:kern w:val="2"/>
                      <w:sz w:val="21"/>
                      <w:szCs w:val="21"/>
                      <w:highlight w:val="none"/>
                      <w:lang w:val="en-US" w:eastAsia="zh-CN" w:bidi="ar-SA"/>
                    </w:rPr>
                    <w:t>47.7</w:t>
                  </w:r>
                </w:p>
              </w:tc>
              <w:tc>
                <w:tcPr>
                  <w:tcW w:w="1387" w:type="dxa"/>
                  <w:vMerge w:val="continue"/>
                  <w:tcBorders>
                    <w:left w:val="single" w:color="000000" w:sz="4" w:space="0"/>
                    <w:right w:val="single" w:color="000000" w:sz="4" w:space="0"/>
                  </w:tcBorders>
                  <w:vAlign w:val="center"/>
                </w:tcPr>
                <w:p w14:paraId="02AECAB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szCs w:val="2"/>
                      <w:highlight w:val="none"/>
                    </w:rPr>
                  </w:pPr>
                </w:p>
              </w:tc>
              <w:tc>
                <w:tcPr>
                  <w:tcW w:w="668" w:type="dxa"/>
                  <w:vMerge w:val="continue"/>
                  <w:tcBorders>
                    <w:left w:val="single" w:color="000000" w:sz="4" w:space="0"/>
                    <w:right w:val="single" w:color="000000" w:sz="4" w:space="0"/>
                  </w:tcBorders>
                  <w:vAlign w:val="center"/>
                </w:tcPr>
                <w:p w14:paraId="02E5C39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olor w:val="auto"/>
                      <w:sz w:val="21"/>
                      <w:szCs w:val="2"/>
                      <w:highlight w:val="none"/>
                      <w:lang w:val="en-US" w:eastAsia="zh-CN"/>
                    </w:rPr>
                  </w:pPr>
                </w:p>
              </w:tc>
              <w:tc>
                <w:tcPr>
                  <w:tcW w:w="537" w:type="dxa"/>
                  <w:tcBorders>
                    <w:top w:val="single" w:color="000000" w:sz="4" w:space="0"/>
                    <w:left w:val="single" w:color="000000" w:sz="4" w:space="0"/>
                    <w:right w:val="nil"/>
                  </w:tcBorders>
                  <w:vAlign w:val="center"/>
                </w:tcPr>
                <w:p w14:paraId="572D958B">
                  <w:pPr>
                    <w:pStyle w:val="9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pacing w:val="-8"/>
                      <w:sz w:val="21"/>
                      <w:highlight w:val="none"/>
                    </w:rPr>
                  </w:pPr>
                  <w:r>
                    <w:rPr>
                      <w:rFonts w:ascii="Times New Roman" w:hAnsi="Times New Roman" w:eastAsia="宋体"/>
                      <w:color w:val="auto"/>
                      <w:spacing w:val="-8"/>
                      <w:sz w:val="21"/>
                      <w:highlight w:val="none"/>
                    </w:rPr>
                    <w:t>达标</w:t>
                  </w:r>
                </w:p>
              </w:tc>
            </w:tr>
          </w:tbl>
          <w:p w14:paraId="5DF40EF6">
            <w:pPr>
              <w:pStyle w:val="101"/>
              <w:widowControl/>
              <w:autoSpaceDE w:val="0"/>
              <w:autoSpaceDN w:val="0"/>
              <w:spacing w:before="120" w:beforeLines="50" w:line="360" w:lineRule="auto"/>
              <w:ind w:firstLine="482"/>
              <w:jc w:val="both"/>
              <w:rPr>
                <w:rFonts w:hint="eastAsia" w:eastAsia="宋体" w:cs="宋体"/>
                <w:color w:val="000000" w:themeColor="text1"/>
                <w:highlight w:val="none"/>
                <w:lang w:eastAsia="zh-CN"/>
                <w14:textFill>
                  <w14:solidFill>
                    <w14:schemeClr w14:val="tx1"/>
                  </w14:solidFill>
                </w14:textFill>
              </w:rPr>
            </w:pPr>
            <w:r>
              <w:rPr>
                <w:rFonts w:ascii="Times New Roman" w:hAnsi="Times New Roman" w:eastAsia="宋体" w:cs="宋体"/>
                <w:color w:val="000000" w:themeColor="text1"/>
                <w:kern w:val="0"/>
                <w:sz w:val="24"/>
                <w:szCs w:val="20"/>
                <w:highlight w:val="none"/>
                <w:lang w:bidi="ar-SA"/>
                <w14:textFill>
                  <w14:solidFill>
                    <w14:schemeClr w14:val="tx1"/>
                  </w14:solidFill>
                </w14:textFill>
              </w:rPr>
              <w:t>本项目针对高噪声设备，已采取基础减振装置安装及配套消声器等综合治理措施。经综合降噪治理后，厂界噪声等效声级可控制在≤70dB(A)范围内。经对噪声监测现状值与贡献值叠加影响的预测分析表明，项目投产运行后，厂界噪声监测值</w:t>
            </w:r>
            <w:r>
              <w:rPr>
                <w:rFonts w:hint="eastAsia" w:ascii="Times New Roman" w:hAnsi="Times New Roman" w:eastAsia="宋体" w:cs="宋体"/>
                <w:color w:val="000000" w:themeColor="text1"/>
                <w:kern w:val="0"/>
                <w:sz w:val="24"/>
                <w:szCs w:val="20"/>
                <w:highlight w:val="none"/>
                <w:lang w:val="en-US" w:eastAsia="zh-CN" w:bidi="ar-SA"/>
                <w14:textFill>
                  <w14:solidFill>
                    <w14:schemeClr w14:val="tx1"/>
                  </w14:solidFill>
                </w14:textFill>
              </w:rPr>
              <w:t>均符合</w:t>
            </w:r>
            <w:r>
              <w:rPr>
                <w:rFonts w:ascii="Times New Roman" w:hAnsi="Times New Roman" w:eastAsia="宋体" w:cs="宋体"/>
                <w:color w:val="000000" w:themeColor="text1"/>
                <w:kern w:val="0"/>
                <w:sz w:val="24"/>
                <w:szCs w:val="20"/>
                <w:highlight w:val="none"/>
                <w:lang w:bidi="ar-SA"/>
                <w14:textFill>
                  <w14:solidFill>
                    <w14:schemeClr w14:val="tx1"/>
                  </w14:solidFill>
                </w14:textFill>
              </w:rPr>
              <w:t>《工业企业厂界环境噪声排放标准》（GB 12348-2008）2类功能区限值要求，对周边声环境质量影响处于可控范围内。</w:t>
            </w:r>
          </w:p>
          <w:p w14:paraId="31FA0B68">
            <w:pPr>
              <w:pStyle w:val="4"/>
              <w:numPr>
                <w:ilvl w:val="2"/>
                <w:numId w:val="1"/>
              </w:numPr>
              <w:bidi w:val="0"/>
              <w:ind w:left="720" w:leftChars="0" w:hanging="720" w:firstLineChars="0"/>
              <w:rPr>
                <w:rFonts w:hint="eastAsia"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噪声环境监测要求</w:t>
            </w:r>
          </w:p>
          <w:p w14:paraId="63D98E69">
            <w:pPr>
              <w:pStyle w:val="44"/>
              <w:ind w:firstLine="48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项目噪声监测计划见下表</w:t>
            </w:r>
            <w:r>
              <w:rPr>
                <w:rFonts w:hint="eastAsia"/>
                <w:color w:val="000000" w:themeColor="text1"/>
                <w:highlight w:val="none"/>
                <w:lang w:eastAsia="zh-CN"/>
                <w14:textFill>
                  <w14:solidFill>
                    <w14:schemeClr w14:val="tx1"/>
                  </w14:solidFill>
                </w14:textFill>
              </w:rPr>
              <w:t>。</w:t>
            </w:r>
          </w:p>
          <w:p w14:paraId="735C1242">
            <w:pPr>
              <w:pStyle w:val="42"/>
              <w:keepNext/>
              <w:keepLines/>
              <w:pageBreakBefore w:val="0"/>
              <w:widowControl w:val="0"/>
              <w:numPr>
                <w:ilvl w:val="7"/>
                <w:numId w:val="16"/>
              </w:numPr>
              <w:tabs>
                <w:tab w:val="left" w:pos="0"/>
              </w:tabs>
              <w:kinsoku/>
              <w:wordWrap/>
              <w:overflowPunct/>
              <w:topLinePunct w:val="0"/>
              <w:autoSpaceDE/>
              <w:autoSpaceDN/>
              <w:bidi w:val="0"/>
              <w:adjustRightInd/>
              <w:snapToGrid/>
              <w:spacing w:after="0"/>
              <w:ind w:left="630" w:leftChars="0" w:firstLine="0" w:firstLineChars="0"/>
              <w:jc w:val="center"/>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噪声监测计划</w:t>
            </w:r>
          </w:p>
          <w:tbl>
            <w:tblPr>
              <w:tblStyle w:val="32"/>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7"/>
              <w:gridCol w:w="1328"/>
              <w:gridCol w:w="4194"/>
              <w:gridCol w:w="2067"/>
            </w:tblGrid>
            <w:tr w14:paraId="3EBBEA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61" w:type="pct"/>
                  <w:vAlign w:val="center"/>
                </w:tcPr>
                <w:p w14:paraId="322CAB3C">
                  <w:pPr>
                    <w:pStyle w:val="46"/>
                    <w:tabs>
                      <w:tab w:val="left" w:pos="0"/>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监测点位</w:t>
                  </w:r>
                </w:p>
              </w:tc>
              <w:tc>
                <w:tcPr>
                  <w:tcW w:w="759" w:type="pct"/>
                  <w:vAlign w:val="center"/>
                </w:tcPr>
                <w:p w14:paraId="30468C1C">
                  <w:pPr>
                    <w:pStyle w:val="46"/>
                    <w:tabs>
                      <w:tab w:val="left" w:pos="0"/>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监测项目</w:t>
                  </w:r>
                </w:p>
              </w:tc>
              <w:tc>
                <w:tcPr>
                  <w:tcW w:w="2397" w:type="pct"/>
                  <w:vAlign w:val="center"/>
                </w:tcPr>
                <w:p w14:paraId="0CA84CEF">
                  <w:pPr>
                    <w:pStyle w:val="46"/>
                    <w:tabs>
                      <w:tab w:val="left" w:pos="0"/>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执行标准</w:t>
                  </w:r>
                </w:p>
              </w:tc>
              <w:tc>
                <w:tcPr>
                  <w:tcW w:w="1181" w:type="pct"/>
                  <w:vAlign w:val="center"/>
                </w:tcPr>
                <w:p w14:paraId="6C1D73B3">
                  <w:pPr>
                    <w:pStyle w:val="46"/>
                    <w:tabs>
                      <w:tab w:val="left" w:pos="0"/>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监测频率</w:t>
                  </w:r>
                </w:p>
              </w:tc>
            </w:tr>
            <w:tr w14:paraId="6DFC9A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61" w:type="pct"/>
                  <w:vAlign w:val="center"/>
                </w:tcPr>
                <w:p w14:paraId="6D26F8FC">
                  <w:pPr>
                    <w:pStyle w:val="46"/>
                    <w:tabs>
                      <w:tab w:val="left" w:pos="0"/>
                    </w:tabs>
                    <w:ind w:left="0" w:leftChars="0" w:firstLine="0" w:firstLineChars="0"/>
                    <w:rPr>
                      <w:rFonts w:hint="eastAsia"/>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厂界</w:t>
                  </w:r>
                </w:p>
              </w:tc>
              <w:tc>
                <w:tcPr>
                  <w:tcW w:w="759" w:type="pct"/>
                  <w:vAlign w:val="center"/>
                </w:tcPr>
                <w:p w14:paraId="7C051808">
                  <w:pPr>
                    <w:pStyle w:val="46"/>
                    <w:tabs>
                      <w:tab w:val="left" w:pos="0"/>
                    </w:tabs>
                    <w:ind w:left="0" w:leftChars="0"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Leq(A)</w:t>
                  </w:r>
                </w:p>
              </w:tc>
              <w:tc>
                <w:tcPr>
                  <w:tcW w:w="2397" w:type="pct"/>
                  <w:vAlign w:val="center"/>
                </w:tcPr>
                <w:p w14:paraId="01541A79">
                  <w:pPr>
                    <w:pStyle w:val="46"/>
                    <w:tabs>
                      <w:tab w:val="left" w:pos="0"/>
                    </w:tabs>
                    <w:ind w:left="0" w:leftChars="0"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《工业企业厂界环境噪声排放标准》(GB12348-2008)的</w:t>
                  </w:r>
                  <w:r>
                    <w:rPr>
                      <w:rFonts w:hint="eastAsia"/>
                      <w:color w:val="000000" w:themeColor="text1"/>
                      <w:highlight w:val="none"/>
                      <w:lang w:val="en-US" w:eastAsia="zh-CN"/>
                      <w14:textFill>
                        <w14:solidFill>
                          <w14:schemeClr w14:val="tx1"/>
                        </w14:solidFill>
                      </w14:textFill>
                    </w:rPr>
                    <w:t>2</w:t>
                  </w:r>
                  <w:r>
                    <w:rPr>
                      <w:color w:val="000000" w:themeColor="text1"/>
                      <w:highlight w:val="none"/>
                      <w14:textFill>
                        <w14:solidFill>
                          <w14:schemeClr w14:val="tx1"/>
                        </w14:solidFill>
                      </w14:textFill>
                    </w:rPr>
                    <w:t>类</w:t>
                  </w:r>
                </w:p>
              </w:tc>
              <w:tc>
                <w:tcPr>
                  <w:tcW w:w="1181" w:type="pct"/>
                  <w:vAlign w:val="center"/>
                </w:tcPr>
                <w:p w14:paraId="02A0220A">
                  <w:pPr>
                    <w:pStyle w:val="46"/>
                    <w:tabs>
                      <w:tab w:val="left" w:pos="0"/>
                    </w:tabs>
                    <w:ind w:left="0" w:leftChars="0"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1次/季</w:t>
                  </w:r>
                </w:p>
              </w:tc>
            </w:tr>
          </w:tbl>
          <w:p w14:paraId="3CE8EACE">
            <w:pPr>
              <w:pStyle w:val="3"/>
              <w:numPr>
                <w:ilvl w:val="1"/>
                <w:numId w:val="1"/>
              </w:numPr>
              <w:bidi w:val="0"/>
              <w:ind w:left="0" w:leftChars="0" w:firstLine="0" w:firstLineChars="0"/>
              <w:rPr>
                <w:rFonts w:hint="eastAsia"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固体废物</w:t>
            </w:r>
          </w:p>
          <w:p w14:paraId="39F7DCBB">
            <w:pPr>
              <w:pStyle w:val="4"/>
              <w:numPr>
                <w:ilvl w:val="2"/>
                <w:numId w:val="1"/>
              </w:numPr>
              <w:bidi w:val="0"/>
              <w:ind w:left="720" w:leftChars="0" w:hanging="720" w:firstLineChars="0"/>
              <w:rPr>
                <w:rFonts w:hint="eastAsia"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固废污染源分析</w:t>
            </w:r>
          </w:p>
          <w:p w14:paraId="522C5FE2">
            <w:pPr>
              <w:pStyle w:val="116"/>
              <w:spacing w:line="360" w:lineRule="auto"/>
              <w:jc w:val="both"/>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①</w:t>
            </w:r>
            <w:r>
              <w:rPr>
                <w:spacing w:val="-2"/>
                <w:sz w:val="24"/>
                <w:szCs w:val="24"/>
              </w:rPr>
              <w:t>钢筋边角料</w:t>
            </w:r>
          </w:p>
          <w:p w14:paraId="43080DB0">
            <w:pPr>
              <w:pStyle w:val="116"/>
              <w:spacing w:line="360" w:lineRule="auto"/>
              <w:jc w:val="both"/>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项目在</w:t>
            </w:r>
            <w:r>
              <w:rPr>
                <w:rFonts w:hint="eastAsia" w:cs="Times New Roman"/>
                <w:color w:val="000000" w:themeColor="text1"/>
                <w:highlight w:val="none"/>
                <w:lang w:val="en-US" w:eastAsia="zh-CN"/>
                <w14:textFill>
                  <w14:solidFill>
                    <w14:schemeClr w14:val="tx1"/>
                  </w14:solidFill>
                </w14:textFill>
              </w:rPr>
              <w:t>钢筋</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加工过程中会产生边角料，本项目</w:t>
            </w:r>
            <w:r>
              <w:rPr>
                <w:rFonts w:hint="eastAsia" w:cs="Times New Roman"/>
                <w:color w:val="000000" w:themeColor="text1"/>
                <w:highlight w:val="none"/>
                <w:lang w:val="en-US" w:eastAsia="zh-CN"/>
                <w14:textFill>
                  <w14:solidFill>
                    <w14:schemeClr w14:val="tx1"/>
                  </w14:solidFill>
                </w14:textFill>
              </w:rPr>
              <w:t>钢筋</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使用量为</w:t>
            </w:r>
            <w:r>
              <w:rPr>
                <w:rFonts w:hint="eastAsia" w:cs="Times New Roman"/>
                <w:color w:val="000000" w:themeColor="text1"/>
                <w:highlight w:val="none"/>
                <w:lang w:val="en-US" w:eastAsia="zh-CN"/>
                <w14:textFill>
                  <w14:solidFill>
                    <w14:schemeClr w14:val="tx1"/>
                  </w14:solidFill>
                </w14:textFill>
              </w:rPr>
              <w:t>975t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a</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。根据建设单位提供的资料，原料利用率达95%以上，则</w:t>
            </w:r>
            <w:r>
              <w:rPr>
                <w:rFonts w:hint="eastAsia" w:cs="Times New Roman"/>
                <w:color w:val="000000" w:themeColor="text1"/>
                <w:highlight w:val="none"/>
                <w:lang w:val="en-US" w:eastAsia="zh-CN"/>
                <w14:textFill>
                  <w14:solidFill>
                    <w14:schemeClr w14:val="tx1"/>
                  </w14:solidFill>
                </w14:textFill>
              </w:rPr>
              <w:t>钢筋</w:t>
            </w:r>
            <w:r>
              <w:rPr>
                <w:rFonts w:hint="eastAsia" w:ascii="Times New Roman" w:hAnsi="Times New Roman" w:eastAsia="宋体" w:cs="Times New Roman"/>
                <w:color w:val="000000" w:themeColor="text1"/>
                <w:highlight w:val="none"/>
                <w:lang w:val="en-US" w:eastAsia="zh-CN"/>
                <w14:textFill>
                  <w14:solidFill>
                    <w14:schemeClr w14:val="tx1"/>
                  </w14:solidFill>
                </w14:textFill>
              </w:rPr>
              <w:t>边角料产生量为</w:t>
            </w:r>
            <w:r>
              <w:rPr>
                <w:rFonts w:hint="eastAsia" w:cs="Times New Roman"/>
                <w:color w:val="000000" w:themeColor="text1"/>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highlight w:val="none"/>
                <w:lang w:val="en-US" w:eastAsia="zh-CN"/>
                <w14:textFill>
                  <w14:solidFill>
                    <w14:schemeClr w14:val="tx1"/>
                  </w14:solidFill>
                </w14:textFill>
              </w:rPr>
              <w:t>t/a，经收集后出售给回收企业综合利用。</w:t>
            </w:r>
          </w:p>
          <w:p w14:paraId="329D0023">
            <w:pPr>
              <w:pStyle w:val="116"/>
              <w:spacing w:line="360" w:lineRule="auto"/>
              <w:jc w:val="both"/>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②边角料</w:t>
            </w:r>
          </w:p>
          <w:p w14:paraId="1A3B204B">
            <w:pPr>
              <w:pStyle w:val="116"/>
              <w:spacing w:line="360" w:lineRule="auto"/>
              <w:jc w:val="both"/>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项目在切割和清理过程中会产生边角料，边角料的产生量为</w:t>
            </w:r>
            <w:r>
              <w:rPr>
                <w:rFonts w:hint="eastAsia" w:cs="Times New Roman"/>
                <w:color w:val="000000" w:themeColor="text1"/>
                <w:highlight w:val="none"/>
                <w:lang w:val="en-US" w:eastAsia="zh-CN"/>
                <w14:textFill>
                  <w14:solidFill>
                    <w14:schemeClr w14:val="tx1"/>
                  </w14:solidFill>
                </w14:textFill>
              </w:rPr>
              <w:t>879</w:t>
            </w:r>
            <w:r>
              <w:rPr>
                <w:rFonts w:hint="eastAsia" w:ascii="Times New Roman" w:hAnsi="Times New Roman" w:eastAsia="宋体" w:cs="Times New Roman"/>
                <w:color w:val="000000" w:themeColor="text1"/>
                <w:highlight w:val="none"/>
                <w:lang w:val="en-US" w:eastAsia="zh-CN"/>
                <w14:textFill>
                  <w14:solidFill>
                    <w14:schemeClr w14:val="tx1"/>
                  </w14:solidFill>
                </w14:textFill>
              </w:rPr>
              <w:t>t/a，边角料破碎后重复利用。</w:t>
            </w:r>
          </w:p>
          <w:p w14:paraId="333E64DD">
            <w:pPr>
              <w:pStyle w:val="116"/>
              <w:spacing w:line="360" w:lineRule="auto"/>
              <w:jc w:val="both"/>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③</w:t>
            </w:r>
            <w:r>
              <w:rPr>
                <w:rFonts w:hint="eastAsia" w:cs="Times New Roman"/>
                <w:color w:val="000000" w:themeColor="text1"/>
                <w:highlight w:val="none"/>
                <w:lang w:val="en-US" w:eastAsia="zh-CN"/>
                <w14:textFill>
                  <w14:solidFill>
                    <w14:schemeClr w14:val="tx1"/>
                  </w14:solidFill>
                </w14:textFill>
              </w:rPr>
              <w:t>布袋除尘器</w:t>
            </w:r>
            <w:r>
              <w:rPr>
                <w:spacing w:val="-2"/>
                <w:sz w:val="24"/>
                <w:szCs w:val="24"/>
              </w:rPr>
              <w:t>收集的</w:t>
            </w:r>
            <w:r>
              <w:rPr>
                <w:rFonts w:hint="eastAsia"/>
                <w:spacing w:val="-2"/>
                <w:sz w:val="24"/>
                <w:szCs w:val="24"/>
                <w:lang w:val="en-US" w:eastAsia="zh-CN"/>
              </w:rPr>
              <w:t>颗粒物</w:t>
            </w:r>
          </w:p>
          <w:p w14:paraId="7DC313C4">
            <w:pPr>
              <w:pStyle w:val="116"/>
              <w:spacing w:line="360" w:lineRule="auto"/>
              <w:jc w:val="both"/>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布袋除尘器收集的颗粒物量约为40.5925t/a，收集后回用生产，不外排。</w:t>
            </w:r>
          </w:p>
          <w:p w14:paraId="5289E909">
            <w:pPr>
              <w:pStyle w:val="116"/>
              <w:spacing w:line="360" w:lineRule="auto"/>
              <w:jc w:val="both"/>
              <w:rPr>
                <w:rFonts w:hint="default" w:eastAsia="宋体"/>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④</w:t>
            </w:r>
            <w:r>
              <w:rPr>
                <w:rFonts w:hint="eastAsia"/>
                <w:color w:val="000000" w:themeColor="text1"/>
                <w:highlight w:val="none"/>
                <w:lang w:val="en-US" w:eastAsia="zh-CN"/>
                <w14:textFill>
                  <w14:solidFill>
                    <w14:schemeClr w14:val="tx1"/>
                  </w14:solidFill>
                </w14:textFill>
              </w:rPr>
              <w:t>炉渣</w:t>
            </w:r>
          </w:p>
          <w:p w14:paraId="0B4471D4">
            <w:pPr>
              <w:pStyle w:val="116"/>
              <w:spacing w:line="360" w:lineRule="auto"/>
              <w:jc w:val="both"/>
              <w:rPr>
                <w:rFonts w:hint="eastAsia"/>
                <w:bCs/>
                <w:color w:val="000000" w:themeColor="text1"/>
                <w:szCs w:val="2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本项目所用生物质成型燃料收到基灰分2.32%，按《污染源源强核算技术指南锅炉》（HJ 991-2018）灰渣平衡公式计算，918t/a燃料可产灰渣总量约18.9t，其中约40%以炉渣形式排出，炉渣产生量预计7.6t/a，属于《固体废物分类与代码目录》中，废物代码443-002-03。</w:t>
            </w:r>
          </w:p>
          <w:p w14:paraId="0C193776">
            <w:pPr>
              <w:pStyle w:val="116"/>
              <w:spacing w:line="360" w:lineRule="auto"/>
              <w:jc w:val="both"/>
              <w:rPr>
                <w:rFonts w:hint="eastAsia"/>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⑤</w:t>
            </w:r>
            <w:r>
              <w:rPr>
                <w:rFonts w:hint="eastAsia"/>
                <w:color w:val="000000" w:themeColor="text1"/>
                <w:szCs w:val="21"/>
                <w:highlight w:val="none"/>
                <w:lang w:val="en-US" w:eastAsia="zh-CN"/>
                <w14:textFill>
                  <w14:solidFill>
                    <w14:schemeClr w14:val="tx1"/>
                  </w14:solidFill>
                </w14:textFill>
              </w:rPr>
              <w:t>废布袋</w:t>
            </w:r>
          </w:p>
          <w:p w14:paraId="361EC6BE">
            <w:pPr>
              <w:pStyle w:val="116"/>
              <w:spacing w:line="360" w:lineRule="auto"/>
              <w:jc w:val="both"/>
              <w:rPr>
                <w:rFonts w:hint="default"/>
                <w:color w:val="000000" w:themeColor="text1"/>
                <w:szCs w:val="21"/>
                <w:highlight w:val="none"/>
                <w:lang w:val="en-US" w:eastAsia="zh-CN"/>
                <w14:textFill>
                  <w14:solidFill>
                    <w14:schemeClr w14:val="tx1"/>
                  </w14:solidFill>
                </w14:textFill>
              </w:rPr>
            </w:pPr>
            <w:r>
              <w:rPr>
                <w:rFonts w:hint="default"/>
                <w:color w:val="000000" w:themeColor="text1"/>
                <w:szCs w:val="21"/>
                <w:highlight w:val="none"/>
                <w:lang w:val="en-US" w:eastAsia="zh-CN"/>
                <w14:textFill>
                  <w14:solidFill>
                    <w14:schemeClr w14:val="tx1"/>
                  </w14:solidFill>
                </w14:textFill>
              </w:rPr>
              <w:t>类比同类企业，布袋除尘器废布袋产生量约为1.5t/a，收集后外售物资回收单位。</w:t>
            </w:r>
          </w:p>
          <w:p w14:paraId="4E2442DC">
            <w:pPr>
              <w:pStyle w:val="44"/>
              <w:ind w:firstLine="480"/>
              <w:rPr>
                <w:rFonts w:hint="eastAsia"/>
                <w:color w:val="000000" w:themeColor="text1"/>
                <w:highlight w:val="yellow"/>
                <w14:textFill>
                  <w14:solidFill>
                    <w14:schemeClr w14:val="tx1"/>
                  </w14:solidFill>
                </w14:textFill>
              </w:rPr>
            </w:pPr>
            <w:r>
              <w:rPr>
                <w:color w:val="000000" w:themeColor="text1"/>
                <w:highlight w:val="none"/>
                <w14:textFill>
                  <w14:solidFill>
                    <w14:schemeClr w14:val="tx1"/>
                  </w14:solidFill>
                </w14:textFill>
              </w:rPr>
              <w:t>本项目</w:t>
            </w:r>
            <w:r>
              <w:rPr>
                <w:rFonts w:hint="eastAsia"/>
                <w:color w:val="000000" w:themeColor="text1"/>
                <w:highlight w:val="none"/>
                <w:lang w:val="en-US" w:eastAsia="zh-CN"/>
                <w14:textFill>
                  <w14:solidFill>
                    <w14:schemeClr w14:val="tx1"/>
                  </w14:solidFill>
                </w14:textFill>
              </w:rPr>
              <w:t>一般</w:t>
            </w:r>
            <w:r>
              <w:rPr>
                <w:color w:val="000000" w:themeColor="text1"/>
                <w:highlight w:val="none"/>
                <w14:textFill>
                  <w14:solidFill>
                    <w14:schemeClr w14:val="tx1"/>
                  </w14:solidFill>
                </w14:textFill>
              </w:rPr>
              <w:t>固废产生情况及处置见</w:t>
            </w:r>
            <w:r>
              <w:rPr>
                <w:rFonts w:hint="eastAsia"/>
                <w:color w:val="000000" w:themeColor="text1"/>
                <w:highlight w:val="none"/>
                <w14:textFill>
                  <w14:solidFill>
                    <w14:schemeClr w14:val="tx1"/>
                  </w14:solidFill>
                </w14:textFill>
              </w:rPr>
              <w:t>下表</w:t>
            </w:r>
            <w:r>
              <w:rPr>
                <w:rFonts w:hint="eastAsia"/>
                <w:color w:val="000000" w:themeColor="text1"/>
                <w:highlight w:val="none"/>
                <w:lang w:val="en-US" w:eastAsia="zh-CN"/>
                <w14:textFill>
                  <w14:solidFill>
                    <w14:schemeClr w14:val="tx1"/>
                  </w14:solidFill>
                </w14:textFill>
              </w:rPr>
              <w:t>4.5-1</w:t>
            </w:r>
            <w:r>
              <w:rPr>
                <w:rFonts w:hint="eastAsia"/>
                <w:color w:val="000000" w:themeColor="text1"/>
                <w:highlight w:val="none"/>
                <w14:textFill>
                  <w14:solidFill>
                    <w14:schemeClr w14:val="tx1"/>
                  </w14:solidFill>
                </w14:textFill>
              </w:rPr>
              <w:t>。</w:t>
            </w:r>
            <w:bookmarkStart w:id="57" w:name="_Ref31352"/>
            <w:bookmarkStart w:id="58" w:name="_Ref28204"/>
            <w:bookmarkStart w:id="59" w:name="OLE_LINK21"/>
            <w:bookmarkStart w:id="60" w:name="OLE_LINK22"/>
          </w:p>
          <w:p w14:paraId="65147314">
            <w:pPr>
              <w:pStyle w:val="42"/>
              <w:keepNext/>
              <w:keepLines/>
              <w:pageBreakBefore w:val="0"/>
              <w:widowControl w:val="0"/>
              <w:numPr>
                <w:ilvl w:val="7"/>
                <w:numId w:val="18"/>
              </w:numPr>
              <w:tabs>
                <w:tab w:val="left" w:pos="0"/>
              </w:tabs>
              <w:kinsoku/>
              <w:wordWrap/>
              <w:overflowPunct/>
              <w:topLinePunct w:val="0"/>
              <w:autoSpaceDE/>
              <w:autoSpaceDN/>
              <w:bidi w:val="0"/>
              <w:adjustRightInd/>
              <w:snapToGrid/>
              <w:spacing w:before="157" w:beforeLines="50" w:after="0"/>
              <w:ind w:left="630" w:leftChars="0" w:firstLine="0" w:firstLineChars="0"/>
              <w:jc w:val="center"/>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本项目</w:t>
            </w:r>
            <w:r>
              <w:rPr>
                <w:rFonts w:hint="eastAsia" w:cs="Times New Roman"/>
                <w:color w:val="000000" w:themeColor="text1"/>
                <w:highlight w:val="none"/>
                <w:lang w:val="en-US" w:eastAsia="zh-CN"/>
                <w14:textFill>
                  <w14:solidFill>
                    <w14:schemeClr w14:val="tx1"/>
                  </w14:solidFill>
                </w14:textFill>
              </w:rPr>
              <w:t>一般</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固废产生情况及处置一览</w:t>
            </w:r>
            <w:bookmarkEnd w:id="57"/>
            <w:bookmarkEnd w:id="58"/>
            <w:r>
              <w:rPr>
                <w:rFonts w:hint="eastAsia" w:ascii="Times New Roman" w:hAnsi="Times New Roman" w:eastAsia="宋体" w:cs="Times New Roman"/>
                <w:color w:val="000000" w:themeColor="text1"/>
                <w:highlight w:val="none"/>
                <w:lang w:val="en-US" w:eastAsia="zh-CN"/>
                <w14:textFill>
                  <w14:solidFill>
                    <w14:schemeClr w14:val="tx1"/>
                  </w14:solidFill>
                </w14:textFill>
              </w:rPr>
              <w:t>表</w:t>
            </w:r>
          </w:p>
          <w:tbl>
            <w:tblPr>
              <w:tblStyle w:val="32"/>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24"/>
              <w:gridCol w:w="1231"/>
              <w:gridCol w:w="1290"/>
              <w:gridCol w:w="693"/>
              <w:gridCol w:w="1014"/>
              <w:gridCol w:w="589"/>
              <w:gridCol w:w="720"/>
              <w:gridCol w:w="659"/>
              <w:gridCol w:w="674"/>
              <w:gridCol w:w="1452"/>
            </w:tblGrid>
            <w:tr w14:paraId="706E2D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243" w:type="pct"/>
                  <w:vAlign w:val="center"/>
                </w:tcPr>
                <w:p w14:paraId="039567DB">
                  <w:pPr>
                    <w:pStyle w:val="46"/>
                    <w:tabs>
                      <w:tab w:val="left" w:pos="0"/>
                    </w:tabs>
                    <w:jc w:val="center"/>
                    <w:rPr>
                      <w:b w:val="0"/>
                      <w:bCs w:val="0"/>
                      <w:color w:val="000000" w:themeColor="text1"/>
                      <w:szCs w:val="21"/>
                      <w:highlight w:val="none"/>
                      <w14:textFill>
                        <w14:solidFill>
                          <w14:schemeClr w14:val="tx1"/>
                        </w14:solidFill>
                      </w14:textFill>
                    </w:rPr>
                  </w:pPr>
                  <w:r>
                    <w:rPr>
                      <w:b w:val="0"/>
                      <w:bCs w:val="0"/>
                      <w:color w:val="000000" w:themeColor="text1"/>
                      <w:szCs w:val="21"/>
                      <w:highlight w:val="none"/>
                      <w14:textFill>
                        <w14:solidFill>
                          <w14:schemeClr w14:val="tx1"/>
                        </w14:solidFill>
                      </w14:textFill>
                    </w:rPr>
                    <w:t>序号</w:t>
                  </w:r>
                </w:p>
              </w:tc>
              <w:tc>
                <w:tcPr>
                  <w:tcW w:w="704" w:type="pct"/>
                  <w:vAlign w:val="center"/>
                </w:tcPr>
                <w:p w14:paraId="69F49D63">
                  <w:pPr>
                    <w:pStyle w:val="46"/>
                    <w:tabs>
                      <w:tab w:val="left" w:pos="0"/>
                    </w:tabs>
                    <w:jc w:val="center"/>
                    <w:rPr>
                      <w:b w:val="0"/>
                      <w:bCs w:val="0"/>
                      <w:color w:val="000000" w:themeColor="text1"/>
                      <w:szCs w:val="21"/>
                      <w:highlight w:val="none"/>
                      <w14:textFill>
                        <w14:solidFill>
                          <w14:schemeClr w14:val="tx1"/>
                        </w14:solidFill>
                      </w14:textFill>
                    </w:rPr>
                  </w:pPr>
                  <w:r>
                    <w:rPr>
                      <w:b w:val="0"/>
                      <w:bCs w:val="0"/>
                      <w:color w:val="000000" w:themeColor="text1"/>
                      <w:szCs w:val="21"/>
                      <w:highlight w:val="none"/>
                      <w14:textFill>
                        <w14:solidFill>
                          <w14:schemeClr w14:val="tx1"/>
                        </w14:solidFill>
                      </w14:textFill>
                    </w:rPr>
                    <w:t>固废名称</w:t>
                  </w:r>
                </w:p>
              </w:tc>
              <w:tc>
                <w:tcPr>
                  <w:tcW w:w="738" w:type="pct"/>
                  <w:vAlign w:val="center"/>
                </w:tcPr>
                <w:p w14:paraId="15D8E281">
                  <w:pPr>
                    <w:pStyle w:val="46"/>
                    <w:tabs>
                      <w:tab w:val="left" w:pos="0"/>
                    </w:tabs>
                    <w:jc w:val="center"/>
                    <w:rPr>
                      <w:b w:val="0"/>
                      <w:bCs w:val="0"/>
                      <w:color w:val="000000" w:themeColor="text1"/>
                      <w:szCs w:val="21"/>
                      <w:highlight w:val="none"/>
                      <w14:textFill>
                        <w14:solidFill>
                          <w14:schemeClr w14:val="tx1"/>
                        </w14:solidFill>
                      </w14:textFill>
                    </w:rPr>
                  </w:pPr>
                  <w:r>
                    <w:rPr>
                      <w:b w:val="0"/>
                      <w:bCs w:val="0"/>
                      <w:color w:val="000000" w:themeColor="text1"/>
                      <w:szCs w:val="21"/>
                      <w:highlight w:val="none"/>
                      <w14:textFill>
                        <w14:solidFill>
                          <w14:schemeClr w14:val="tx1"/>
                        </w14:solidFill>
                      </w14:textFill>
                    </w:rPr>
                    <w:t>类别编号</w:t>
                  </w:r>
                </w:p>
              </w:tc>
              <w:tc>
                <w:tcPr>
                  <w:tcW w:w="393" w:type="pct"/>
                  <w:vAlign w:val="center"/>
                </w:tcPr>
                <w:p w14:paraId="5F4B2925">
                  <w:pPr>
                    <w:pStyle w:val="46"/>
                    <w:tabs>
                      <w:tab w:val="left" w:pos="0"/>
                    </w:tabs>
                    <w:jc w:val="center"/>
                    <w:rPr>
                      <w:b w:val="0"/>
                      <w:bCs w:val="0"/>
                      <w:color w:val="000000" w:themeColor="text1"/>
                      <w:szCs w:val="21"/>
                      <w:highlight w:val="none"/>
                      <w14:textFill>
                        <w14:solidFill>
                          <w14:schemeClr w14:val="tx1"/>
                        </w14:solidFill>
                      </w14:textFill>
                    </w:rPr>
                  </w:pPr>
                  <w:r>
                    <w:rPr>
                      <w:b w:val="0"/>
                      <w:bCs w:val="0"/>
                      <w:color w:val="000000" w:themeColor="text1"/>
                      <w:szCs w:val="21"/>
                      <w:highlight w:val="none"/>
                      <w14:textFill>
                        <w14:solidFill>
                          <w14:schemeClr w14:val="tx1"/>
                        </w14:solidFill>
                      </w14:textFill>
                    </w:rPr>
                    <w:t>产生量(t/a)</w:t>
                  </w:r>
                </w:p>
              </w:tc>
              <w:tc>
                <w:tcPr>
                  <w:tcW w:w="580" w:type="pct"/>
                  <w:vAlign w:val="center"/>
                </w:tcPr>
                <w:p w14:paraId="5B759561">
                  <w:pPr>
                    <w:pStyle w:val="46"/>
                    <w:tabs>
                      <w:tab w:val="left" w:pos="0"/>
                    </w:tabs>
                    <w:jc w:val="center"/>
                    <w:rPr>
                      <w:b w:val="0"/>
                      <w:bCs w:val="0"/>
                      <w:color w:val="000000" w:themeColor="text1"/>
                      <w:szCs w:val="21"/>
                      <w:highlight w:val="none"/>
                      <w14:textFill>
                        <w14:solidFill>
                          <w14:schemeClr w14:val="tx1"/>
                        </w14:solidFill>
                      </w14:textFill>
                    </w:rPr>
                  </w:pPr>
                  <w:r>
                    <w:rPr>
                      <w:b w:val="0"/>
                      <w:bCs w:val="0"/>
                      <w:color w:val="000000" w:themeColor="text1"/>
                      <w:szCs w:val="21"/>
                      <w:highlight w:val="none"/>
                      <w14:textFill>
                        <w14:solidFill>
                          <w14:schemeClr w14:val="tx1"/>
                        </w14:solidFill>
                      </w14:textFill>
                    </w:rPr>
                    <w:t>产生工序及装置</w:t>
                  </w:r>
                </w:p>
              </w:tc>
              <w:tc>
                <w:tcPr>
                  <w:tcW w:w="337" w:type="pct"/>
                  <w:vAlign w:val="center"/>
                </w:tcPr>
                <w:p w14:paraId="272D150B">
                  <w:pPr>
                    <w:pStyle w:val="46"/>
                    <w:tabs>
                      <w:tab w:val="left" w:pos="0"/>
                    </w:tabs>
                    <w:jc w:val="center"/>
                    <w:rPr>
                      <w:b w:val="0"/>
                      <w:bCs w:val="0"/>
                      <w:color w:val="000000" w:themeColor="text1"/>
                      <w:szCs w:val="21"/>
                      <w:highlight w:val="none"/>
                      <w14:textFill>
                        <w14:solidFill>
                          <w14:schemeClr w14:val="tx1"/>
                        </w14:solidFill>
                      </w14:textFill>
                    </w:rPr>
                  </w:pPr>
                  <w:r>
                    <w:rPr>
                      <w:b w:val="0"/>
                      <w:bCs w:val="0"/>
                      <w:color w:val="000000" w:themeColor="text1"/>
                      <w:szCs w:val="21"/>
                      <w:highlight w:val="none"/>
                      <w14:textFill>
                        <w14:solidFill>
                          <w14:schemeClr w14:val="tx1"/>
                        </w14:solidFill>
                      </w14:textFill>
                    </w:rPr>
                    <w:t>形态</w:t>
                  </w:r>
                </w:p>
              </w:tc>
              <w:tc>
                <w:tcPr>
                  <w:tcW w:w="412" w:type="pct"/>
                  <w:vAlign w:val="center"/>
                </w:tcPr>
                <w:p w14:paraId="069A3534">
                  <w:pPr>
                    <w:pStyle w:val="46"/>
                    <w:tabs>
                      <w:tab w:val="left" w:pos="0"/>
                    </w:tabs>
                    <w:jc w:val="center"/>
                    <w:rPr>
                      <w:b w:val="0"/>
                      <w:bCs w:val="0"/>
                      <w:color w:val="000000" w:themeColor="text1"/>
                      <w:szCs w:val="21"/>
                      <w:highlight w:val="none"/>
                      <w14:textFill>
                        <w14:solidFill>
                          <w14:schemeClr w14:val="tx1"/>
                        </w14:solidFill>
                      </w14:textFill>
                    </w:rPr>
                  </w:pPr>
                  <w:r>
                    <w:rPr>
                      <w:b w:val="0"/>
                      <w:bCs w:val="0"/>
                      <w:color w:val="000000" w:themeColor="text1"/>
                      <w:szCs w:val="21"/>
                      <w:highlight w:val="none"/>
                      <w14:textFill>
                        <w14:solidFill>
                          <w14:schemeClr w14:val="tx1"/>
                        </w14:solidFill>
                      </w14:textFill>
                    </w:rPr>
                    <w:t>主要成分</w:t>
                  </w:r>
                </w:p>
              </w:tc>
              <w:tc>
                <w:tcPr>
                  <w:tcW w:w="377" w:type="pct"/>
                  <w:vAlign w:val="center"/>
                </w:tcPr>
                <w:p w14:paraId="78764DAC">
                  <w:pPr>
                    <w:pStyle w:val="46"/>
                    <w:tabs>
                      <w:tab w:val="left" w:pos="0"/>
                    </w:tabs>
                    <w:jc w:val="center"/>
                    <w:rPr>
                      <w:b w:val="0"/>
                      <w:bCs w:val="0"/>
                      <w:color w:val="000000" w:themeColor="text1"/>
                      <w:szCs w:val="21"/>
                      <w:highlight w:val="none"/>
                      <w14:textFill>
                        <w14:solidFill>
                          <w14:schemeClr w14:val="tx1"/>
                        </w14:solidFill>
                      </w14:textFill>
                    </w:rPr>
                  </w:pPr>
                  <w:r>
                    <w:rPr>
                      <w:b w:val="0"/>
                      <w:bCs w:val="0"/>
                      <w:color w:val="000000" w:themeColor="text1"/>
                      <w:szCs w:val="21"/>
                      <w:highlight w:val="none"/>
                      <w14:textFill>
                        <w14:solidFill>
                          <w14:schemeClr w14:val="tx1"/>
                        </w14:solidFill>
                      </w14:textFill>
                    </w:rPr>
                    <w:t>有害成分</w:t>
                  </w:r>
                </w:p>
              </w:tc>
              <w:tc>
                <w:tcPr>
                  <w:tcW w:w="385" w:type="pct"/>
                  <w:vAlign w:val="center"/>
                </w:tcPr>
                <w:p w14:paraId="5E251FE5">
                  <w:pPr>
                    <w:pStyle w:val="46"/>
                    <w:tabs>
                      <w:tab w:val="left" w:pos="0"/>
                    </w:tabs>
                    <w:jc w:val="center"/>
                    <w:rPr>
                      <w:b w:val="0"/>
                      <w:bCs w:val="0"/>
                      <w:color w:val="000000" w:themeColor="text1"/>
                      <w:szCs w:val="21"/>
                      <w:highlight w:val="none"/>
                      <w14:textFill>
                        <w14:solidFill>
                          <w14:schemeClr w14:val="tx1"/>
                        </w14:solidFill>
                      </w14:textFill>
                    </w:rPr>
                  </w:pPr>
                  <w:r>
                    <w:rPr>
                      <w:b w:val="0"/>
                      <w:bCs w:val="0"/>
                      <w:color w:val="000000" w:themeColor="text1"/>
                      <w:szCs w:val="21"/>
                      <w:highlight w:val="none"/>
                      <w14:textFill>
                        <w14:solidFill>
                          <w14:schemeClr w14:val="tx1"/>
                        </w14:solidFill>
                      </w14:textFill>
                    </w:rPr>
                    <w:t>产废规律</w:t>
                  </w:r>
                </w:p>
              </w:tc>
              <w:tc>
                <w:tcPr>
                  <w:tcW w:w="828" w:type="pct"/>
                  <w:vAlign w:val="center"/>
                </w:tcPr>
                <w:p w14:paraId="15634194">
                  <w:pPr>
                    <w:pStyle w:val="46"/>
                    <w:tabs>
                      <w:tab w:val="left" w:pos="0"/>
                    </w:tabs>
                    <w:jc w:val="center"/>
                    <w:rPr>
                      <w:b w:val="0"/>
                      <w:bCs w:val="0"/>
                      <w:color w:val="000000" w:themeColor="text1"/>
                      <w:szCs w:val="21"/>
                      <w:highlight w:val="none"/>
                      <w14:textFill>
                        <w14:solidFill>
                          <w14:schemeClr w14:val="tx1"/>
                        </w14:solidFill>
                      </w14:textFill>
                    </w:rPr>
                  </w:pPr>
                  <w:r>
                    <w:rPr>
                      <w:rFonts w:hint="eastAsia"/>
                      <w:b w:val="0"/>
                      <w:bCs w:val="0"/>
                      <w:color w:val="000000" w:themeColor="text1"/>
                      <w:szCs w:val="21"/>
                      <w:highlight w:val="none"/>
                      <w14:textFill>
                        <w14:solidFill>
                          <w14:schemeClr w14:val="tx1"/>
                        </w14:solidFill>
                      </w14:textFill>
                    </w:rPr>
                    <w:t>处置去向</w:t>
                  </w:r>
                </w:p>
              </w:tc>
            </w:tr>
            <w:tr w14:paraId="5EB9D4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43" w:hRule="atLeast"/>
              </w:trPr>
              <w:tc>
                <w:tcPr>
                  <w:tcW w:w="243" w:type="pct"/>
                  <w:shd w:val="clear" w:color="auto" w:fill="auto"/>
                  <w:vAlign w:val="center"/>
                </w:tcPr>
                <w:p w14:paraId="6A380C3B">
                  <w:pPr>
                    <w:pStyle w:val="46"/>
                    <w:tabs>
                      <w:tab w:val="left" w:pos="0"/>
                    </w:tabs>
                    <w:ind w:left="0" w:leftChars="0" w:firstLine="0" w:firstLineChars="0"/>
                    <w:jc w:val="center"/>
                    <w:rPr>
                      <w:rFonts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b w:val="0"/>
                      <w:bCs w:val="0"/>
                      <w:color w:val="000000" w:themeColor="text1"/>
                      <w:szCs w:val="21"/>
                      <w:highlight w:val="none"/>
                      <w14:textFill>
                        <w14:solidFill>
                          <w14:schemeClr w14:val="tx1"/>
                        </w14:solidFill>
                      </w14:textFill>
                    </w:rPr>
                    <w:t>1</w:t>
                  </w:r>
                </w:p>
              </w:tc>
              <w:tc>
                <w:tcPr>
                  <w:tcW w:w="704" w:type="pct"/>
                  <w:vAlign w:val="center"/>
                </w:tcPr>
                <w:p w14:paraId="515FE47B">
                  <w:pPr>
                    <w:pStyle w:val="46"/>
                    <w:tabs>
                      <w:tab w:val="left" w:pos="0"/>
                    </w:tabs>
                    <w:ind w:left="0" w:leftChars="0" w:firstLine="0" w:firstLineChars="0"/>
                    <w:jc w:val="center"/>
                    <w:rPr>
                      <w:rFonts w:hint="eastAsia" w:eastAsia="宋体"/>
                      <w:b w:val="0"/>
                      <w:bCs w:val="0"/>
                      <w:color w:val="000000" w:themeColor="text1"/>
                      <w:szCs w:val="21"/>
                      <w:highlight w:val="none"/>
                      <w:lang w:eastAsia="zh-CN"/>
                      <w14:textFill>
                        <w14:solidFill>
                          <w14:schemeClr w14:val="tx1"/>
                        </w14:solidFill>
                      </w14:textFill>
                    </w:rPr>
                  </w:pPr>
                  <w:r>
                    <w:rPr>
                      <w:rFonts w:hint="eastAsia"/>
                      <w:b w:val="0"/>
                      <w:bCs w:val="0"/>
                      <w:color w:val="000000" w:themeColor="text1"/>
                      <w:highlight w:val="none"/>
                      <w:lang w:val="en-US" w:eastAsia="zh-CN"/>
                      <w14:textFill>
                        <w14:solidFill>
                          <w14:schemeClr w14:val="tx1"/>
                        </w14:solidFill>
                      </w14:textFill>
                    </w:rPr>
                    <w:t>钢筋边角料</w:t>
                  </w:r>
                </w:p>
              </w:tc>
              <w:tc>
                <w:tcPr>
                  <w:tcW w:w="738" w:type="pct"/>
                  <w:vAlign w:val="center"/>
                </w:tcPr>
                <w:p w14:paraId="4695ECC4">
                  <w:pPr>
                    <w:pStyle w:val="46"/>
                    <w:tabs>
                      <w:tab w:val="left" w:pos="0"/>
                    </w:tabs>
                    <w:ind w:left="0" w:leftChars="0" w:firstLine="0" w:firstLineChars="0"/>
                    <w:jc w:val="center"/>
                    <w:rPr>
                      <w:rFonts w:hint="eastAsia"/>
                      <w:b w:val="0"/>
                      <w:bCs w:val="0"/>
                      <w:color w:val="000000" w:themeColor="text1"/>
                      <w:szCs w:val="21"/>
                      <w:highlight w:val="none"/>
                      <w14:textFill>
                        <w14:solidFill>
                          <w14:schemeClr w14:val="tx1"/>
                        </w14:solidFill>
                      </w14:textFill>
                    </w:rPr>
                  </w:pPr>
                  <w:r>
                    <w:rPr>
                      <w:rFonts w:hint="eastAsia"/>
                      <w:b w:val="0"/>
                      <w:bCs w:val="0"/>
                      <w:color w:val="000000" w:themeColor="text1"/>
                      <w:szCs w:val="21"/>
                      <w:highlight w:val="none"/>
                      <w14:textFill>
                        <w14:solidFill>
                          <w14:schemeClr w14:val="tx1"/>
                        </w14:solidFill>
                      </w14:textFill>
                    </w:rPr>
                    <w:t>339-001-07</w:t>
                  </w:r>
                </w:p>
              </w:tc>
              <w:tc>
                <w:tcPr>
                  <w:tcW w:w="393" w:type="pct"/>
                  <w:vAlign w:val="center"/>
                </w:tcPr>
                <w:p w14:paraId="6F9836BF">
                  <w:pPr>
                    <w:pStyle w:val="46"/>
                    <w:tabs>
                      <w:tab w:val="left" w:pos="0"/>
                    </w:tabs>
                    <w:jc w:val="center"/>
                    <w:rPr>
                      <w:rFonts w:hint="default" w:eastAsia="宋体"/>
                      <w:b w:val="0"/>
                      <w:bCs w:val="0"/>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5</w:t>
                  </w:r>
                </w:p>
              </w:tc>
              <w:tc>
                <w:tcPr>
                  <w:tcW w:w="580" w:type="pct"/>
                  <w:vAlign w:val="center"/>
                </w:tcPr>
                <w:p w14:paraId="29FE83BF">
                  <w:pPr>
                    <w:pStyle w:val="46"/>
                    <w:tabs>
                      <w:tab w:val="left" w:pos="0"/>
                    </w:tabs>
                    <w:jc w:val="center"/>
                    <w:rPr>
                      <w:rFonts w:hint="default" w:eastAsia="宋体"/>
                      <w:b w:val="0"/>
                      <w:bCs w:val="0"/>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钢筋加工</w:t>
                  </w:r>
                </w:p>
              </w:tc>
              <w:tc>
                <w:tcPr>
                  <w:tcW w:w="337" w:type="pct"/>
                  <w:vAlign w:val="center"/>
                </w:tcPr>
                <w:p w14:paraId="3676B6C0">
                  <w:pPr>
                    <w:pStyle w:val="46"/>
                    <w:tabs>
                      <w:tab w:val="left" w:pos="0"/>
                    </w:tabs>
                    <w:jc w:val="center"/>
                    <w:rPr>
                      <w:b w:val="0"/>
                      <w:bCs w:val="0"/>
                      <w:color w:val="000000" w:themeColor="text1"/>
                      <w:szCs w:val="21"/>
                      <w:highlight w:val="none"/>
                      <w14:textFill>
                        <w14:solidFill>
                          <w14:schemeClr w14:val="tx1"/>
                        </w14:solidFill>
                      </w14:textFill>
                    </w:rPr>
                  </w:pPr>
                  <w:r>
                    <w:rPr>
                      <w:b w:val="0"/>
                      <w:bCs w:val="0"/>
                      <w:color w:val="000000" w:themeColor="text1"/>
                      <w:szCs w:val="21"/>
                      <w:highlight w:val="none"/>
                      <w14:textFill>
                        <w14:solidFill>
                          <w14:schemeClr w14:val="tx1"/>
                        </w14:solidFill>
                      </w14:textFill>
                    </w:rPr>
                    <w:t>固态</w:t>
                  </w:r>
                </w:p>
              </w:tc>
              <w:tc>
                <w:tcPr>
                  <w:tcW w:w="412" w:type="pct"/>
                  <w:vAlign w:val="center"/>
                </w:tcPr>
                <w:p w14:paraId="395DFFBB">
                  <w:pPr>
                    <w:pStyle w:val="46"/>
                    <w:tabs>
                      <w:tab w:val="left" w:pos="0"/>
                    </w:tabs>
                    <w:jc w:val="center"/>
                    <w:rPr>
                      <w:rFonts w:hint="default" w:eastAsia="宋体"/>
                      <w:b w:val="0"/>
                      <w:bCs w:val="0"/>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钢筋</w:t>
                  </w:r>
                </w:p>
              </w:tc>
              <w:tc>
                <w:tcPr>
                  <w:tcW w:w="377" w:type="pct"/>
                  <w:vAlign w:val="center"/>
                </w:tcPr>
                <w:p w14:paraId="7F35EB99">
                  <w:pPr>
                    <w:pStyle w:val="46"/>
                    <w:tabs>
                      <w:tab w:val="left" w:pos="0"/>
                    </w:tabs>
                    <w:ind w:left="0" w:leftChars="0" w:firstLine="0" w:firstLineChars="0"/>
                    <w:jc w:val="center"/>
                    <w:rPr>
                      <w:b w:val="0"/>
                      <w:bCs w:val="0"/>
                      <w:color w:val="000000" w:themeColor="text1"/>
                      <w:szCs w:val="21"/>
                      <w:highlight w:val="none"/>
                      <w14:textFill>
                        <w14:solidFill>
                          <w14:schemeClr w14:val="tx1"/>
                        </w14:solidFill>
                      </w14:textFill>
                    </w:rPr>
                  </w:pPr>
                  <w:r>
                    <w:rPr>
                      <w:b w:val="0"/>
                      <w:bCs w:val="0"/>
                      <w:color w:val="000000" w:themeColor="text1"/>
                      <w:szCs w:val="21"/>
                      <w:highlight w:val="none"/>
                      <w14:textFill>
                        <w14:solidFill>
                          <w14:schemeClr w14:val="tx1"/>
                        </w14:solidFill>
                      </w14:textFill>
                    </w:rPr>
                    <w:t>/</w:t>
                  </w:r>
                </w:p>
              </w:tc>
              <w:tc>
                <w:tcPr>
                  <w:tcW w:w="385" w:type="pct"/>
                  <w:vAlign w:val="center"/>
                </w:tcPr>
                <w:p w14:paraId="7E0B64D5">
                  <w:pPr>
                    <w:pStyle w:val="46"/>
                    <w:tabs>
                      <w:tab w:val="left" w:pos="0"/>
                    </w:tabs>
                    <w:ind w:left="0" w:leftChars="0" w:firstLine="0" w:firstLineChars="0"/>
                    <w:jc w:val="center"/>
                    <w:rPr>
                      <w:b w:val="0"/>
                      <w:bCs w:val="0"/>
                      <w:color w:val="000000" w:themeColor="text1"/>
                      <w:szCs w:val="21"/>
                      <w:highlight w:val="none"/>
                      <w14:textFill>
                        <w14:solidFill>
                          <w14:schemeClr w14:val="tx1"/>
                        </w14:solidFill>
                      </w14:textFill>
                    </w:rPr>
                  </w:pPr>
                  <w:r>
                    <w:rPr>
                      <w:b w:val="0"/>
                      <w:bCs w:val="0"/>
                      <w:color w:val="000000" w:themeColor="text1"/>
                      <w:szCs w:val="21"/>
                      <w:highlight w:val="none"/>
                      <w14:textFill>
                        <w14:solidFill>
                          <w14:schemeClr w14:val="tx1"/>
                        </w14:solidFill>
                      </w14:textFill>
                    </w:rPr>
                    <w:t>持续</w:t>
                  </w:r>
                </w:p>
              </w:tc>
              <w:tc>
                <w:tcPr>
                  <w:tcW w:w="828" w:type="pct"/>
                  <w:vAlign w:val="center"/>
                </w:tcPr>
                <w:p w14:paraId="7B8DD79B">
                  <w:pPr>
                    <w:pStyle w:val="46"/>
                    <w:tabs>
                      <w:tab w:val="left" w:pos="0"/>
                    </w:tabs>
                    <w:jc w:val="center"/>
                    <w:rPr>
                      <w:rFonts w:hint="default" w:eastAsia="宋体"/>
                      <w:b w:val="0"/>
                      <w:bCs w:val="0"/>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回用生产</w:t>
                  </w:r>
                </w:p>
              </w:tc>
            </w:tr>
            <w:tr w14:paraId="30FFB5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43" w:hRule="atLeast"/>
              </w:trPr>
              <w:tc>
                <w:tcPr>
                  <w:tcW w:w="243" w:type="pct"/>
                  <w:shd w:val="clear" w:color="auto" w:fill="auto"/>
                  <w:vAlign w:val="center"/>
                </w:tcPr>
                <w:p w14:paraId="0364DBB1">
                  <w:pPr>
                    <w:pStyle w:val="46"/>
                    <w:tabs>
                      <w:tab w:val="left" w:pos="0"/>
                    </w:tabs>
                    <w:ind w:left="0" w:leftChars="0" w:firstLine="0" w:firstLineChars="0"/>
                    <w:jc w:val="center"/>
                    <w:rPr>
                      <w:rFonts w:hint="eastAsia" w:eastAsia="宋体"/>
                      <w:b w:val="0"/>
                      <w:bCs w:val="0"/>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2</w:t>
                  </w:r>
                </w:p>
              </w:tc>
              <w:tc>
                <w:tcPr>
                  <w:tcW w:w="704" w:type="pct"/>
                  <w:vAlign w:val="center"/>
                </w:tcPr>
                <w:p w14:paraId="47264A76">
                  <w:pPr>
                    <w:pStyle w:val="46"/>
                    <w:tabs>
                      <w:tab w:val="left" w:pos="0"/>
                    </w:tabs>
                    <w:ind w:left="0" w:leftChars="0" w:firstLine="0" w:firstLineChars="0"/>
                    <w:jc w:val="center"/>
                    <w:rPr>
                      <w:rFonts w:hint="default"/>
                      <w:b w:val="0"/>
                      <w:bCs w:val="0"/>
                      <w:color w:val="000000" w:themeColor="text1"/>
                      <w:highlight w:val="none"/>
                      <w:lang w:val="en-US" w:eastAsia="zh-CN"/>
                      <w14:textFill>
                        <w14:solidFill>
                          <w14:schemeClr w14:val="tx1"/>
                        </w14:solidFill>
                      </w14:textFill>
                    </w:rPr>
                  </w:pPr>
                  <w:r>
                    <w:rPr>
                      <w:rFonts w:hint="eastAsia"/>
                      <w:b w:val="0"/>
                      <w:bCs w:val="0"/>
                      <w:color w:val="000000" w:themeColor="text1"/>
                      <w:highlight w:val="none"/>
                      <w:lang w:val="en-US" w:eastAsia="zh-CN"/>
                      <w14:textFill>
                        <w14:solidFill>
                          <w14:schemeClr w14:val="tx1"/>
                        </w14:solidFill>
                      </w14:textFill>
                    </w:rPr>
                    <w:t>边角料</w:t>
                  </w:r>
                </w:p>
              </w:tc>
              <w:tc>
                <w:tcPr>
                  <w:tcW w:w="738" w:type="pct"/>
                  <w:vAlign w:val="center"/>
                </w:tcPr>
                <w:p w14:paraId="210120A0">
                  <w:pPr>
                    <w:pStyle w:val="46"/>
                    <w:tabs>
                      <w:tab w:val="left" w:pos="0"/>
                    </w:tabs>
                    <w:ind w:left="0" w:leftChars="0" w:firstLine="0" w:firstLineChars="0"/>
                    <w:jc w:val="center"/>
                    <w:rPr>
                      <w:rFonts w:hint="eastAsia"/>
                      <w:b w:val="0"/>
                      <w:bCs w:val="0"/>
                      <w:color w:val="000000" w:themeColor="text1"/>
                      <w:szCs w:val="21"/>
                      <w:highlight w:val="none"/>
                      <w14:textFill>
                        <w14:solidFill>
                          <w14:schemeClr w14:val="tx1"/>
                        </w14:solidFill>
                      </w14:textFill>
                    </w:rPr>
                  </w:pPr>
                  <w:r>
                    <w:rPr>
                      <w:rFonts w:hint="eastAsia"/>
                      <w:b w:val="0"/>
                      <w:bCs w:val="0"/>
                      <w:color w:val="000000" w:themeColor="text1"/>
                      <w:szCs w:val="21"/>
                      <w:highlight w:val="none"/>
                      <w14:textFill>
                        <w14:solidFill>
                          <w14:schemeClr w14:val="tx1"/>
                        </w14:solidFill>
                      </w14:textFill>
                    </w:rPr>
                    <w:t>339-001-07</w:t>
                  </w:r>
                </w:p>
              </w:tc>
              <w:tc>
                <w:tcPr>
                  <w:tcW w:w="393" w:type="pct"/>
                  <w:vAlign w:val="center"/>
                </w:tcPr>
                <w:p w14:paraId="2BC2141A">
                  <w:pPr>
                    <w:pStyle w:val="46"/>
                    <w:tabs>
                      <w:tab w:val="left" w:pos="0"/>
                    </w:tabs>
                    <w:jc w:val="center"/>
                    <w:rPr>
                      <w:rFonts w:hint="default"/>
                      <w:b w:val="0"/>
                      <w:bCs w:val="0"/>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879</w:t>
                  </w:r>
                </w:p>
              </w:tc>
              <w:tc>
                <w:tcPr>
                  <w:tcW w:w="580" w:type="pct"/>
                  <w:vAlign w:val="center"/>
                </w:tcPr>
                <w:p w14:paraId="7B35E278">
                  <w:pPr>
                    <w:pStyle w:val="46"/>
                    <w:tabs>
                      <w:tab w:val="left" w:pos="0"/>
                    </w:tabs>
                    <w:jc w:val="center"/>
                    <w:rPr>
                      <w:rFonts w:hint="default"/>
                      <w:b w:val="0"/>
                      <w:bCs w:val="0"/>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切割清理</w:t>
                  </w:r>
                </w:p>
              </w:tc>
              <w:tc>
                <w:tcPr>
                  <w:tcW w:w="337" w:type="pct"/>
                  <w:vAlign w:val="center"/>
                </w:tcPr>
                <w:p w14:paraId="38819F6C">
                  <w:pPr>
                    <w:pStyle w:val="46"/>
                    <w:tabs>
                      <w:tab w:val="left" w:pos="0"/>
                    </w:tabs>
                    <w:jc w:val="center"/>
                    <w:rPr>
                      <w:rFonts w:hint="eastAsia" w:eastAsia="宋体"/>
                      <w:b w:val="0"/>
                      <w:bCs w:val="0"/>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固态</w:t>
                  </w:r>
                </w:p>
              </w:tc>
              <w:tc>
                <w:tcPr>
                  <w:tcW w:w="412" w:type="pct"/>
                  <w:vAlign w:val="center"/>
                </w:tcPr>
                <w:p w14:paraId="11EDC23F">
                  <w:pPr>
                    <w:pStyle w:val="46"/>
                    <w:tabs>
                      <w:tab w:val="left" w:pos="0"/>
                    </w:tabs>
                    <w:jc w:val="center"/>
                    <w:rPr>
                      <w:rFonts w:hint="default"/>
                      <w:b w:val="0"/>
                      <w:bCs w:val="0"/>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水泥、石灰等</w:t>
                  </w:r>
                </w:p>
              </w:tc>
              <w:tc>
                <w:tcPr>
                  <w:tcW w:w="377" w:type="pct"/>
                  <w:vAlign w:val="center"/>
                </w:tcPr>
                <w:p w14:paraId="540D2BE5">
                  <w:pPr>
                    <w:pStyle w:val="46"/>
                    <w:tabs>
                      <w:tab w:val="left" w:pos="0"/>
                    </w:tabs>
                    <w:ind w:left="0" w:leftChars="0" w:firstLine="0" w:firstLineChars="0"/>
                    <w:jc w:val="center"/>
                    <w:rPr>
                      <w:b w:val="0"/>
                      <w:bCs w:val="0"/>
                      <w:color w:val="000000" w:themeColor="text1"/>
                      <w:szCs w:val="21"/>
                      <w:highlight w:val="none"/>
                      <w14:textFill>
                        <w14:solidFill>
                          <w14:schemeClr w14:val="tx1"/>
                        </w14:solidFill>
                      </w14:textFill>
                    </w:rPr>
                  </w:pPr>
                  <w:r>
                    <w:rPr>
                      <w:b w:val="0"/>
                      <w:bCs w:val="0"/>
                      <w:color w:val="000000" w:themeColor="text1"/>
                      <w:szCs w:val="21"/>
                      <w:highlight w:val="none"/>
                      <w14:textFill>
                        <w14:solidFill>
                          <w14:schemeClr w14:val="tx1"/>
                        </w14:solidFill>
                      </w14:textFill>
                    </w:rPr>
                    <w:t>/</w:t>
                  </w:r>
                </w:p>
              </w:tc>
              <w:tc>
                <w:tcPr>
                  <w:tcW w:w="385" w:type="pct"/>
                  <w:vAlign w:val="center"/>
                </w:tcPr>
                <w:p w14:paraId="38B4BB04">
                  <w:pPr>
                    <w:pStyle w:val="46"/>
                    <w:tabs>
                      <w:tab w:val="left" w:pos="0"/>
                    </w:tabs>
                    <w:ind w:left="0" w:leftChars="0" w:firstLine="0" w:firstLineChars="0"/>
                    <w:jc w:val="center"/>
                    <w:rPr>
                      <w:b w:val="0"/>
                      <w:bCs w:val="0"/>
                      <w:color w:val="000000" w:themeColor="text1"/>
                      <w:szCs w:val="21"/>
                      <w:highlight w:val="none"/>
                      <w14:textFill>
                        <w14:solidFill>
                          <w14:schemeClr w14:val="tx1"/>
                        </w14:solidFill>
                      </w14:textFill>
                    </w:rPr>
                  </w:pPr>
                  <w:r>
                    <w:rPr>
                      <w:b w:val="0"/>
                      <w:bCs w:val="0"/>
                      <w:color w:val="000000" w:themeColor="text1"/>
                      <w:szCs w:val="21"/>
                      <w:highlight w:val="none"/>
                      <w14:textFill>
                        <w14:solidFill>
                          <w14:schemeClr w14:val="tx1"/>
                        </w14:solidFill>
                      </w14:textFill>
                    </w:rPr>
                    <w:t>持续</w:t>
                  </w:r>
                </w:p>
              </w:tc>
              <w:tc>
                <w:tcPr>
                  <w:tcW w:w="828" w:type="pct"/>
                  <w:vAlign w:val="center"/>
                </w:tcPr>
                <w:p w14:paraId="3249814A">
                  <w:pPr>
                    <w:pStyle w:val="46"/>
                    <w:tabs>
                      <w:tab w:val="left" w:pos="0"/>
                    </w:tabs>
                    <w:jc w:val="center"/>
                    <w:rPr>
                      <w:b w:val="0"/>
                      <w:bCs w:val="0"/>
                      <w:color w:val="000000" w:themeColor="text1"/>
                      <w:szCs w:val="21"/>
                      <w:highlight w:val="none"/>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回用生产</w:t>
                  </w:r>
                </w:p>
              </w:tc>
            </w:tr>
            <w:tr w14:paraId="5F967C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243" w:type="pct"/>
                  <w:shd w:val="clear" w:color="auto" w:fill="auto"/>
                  <w:vAlign w:val="center"/>
                </w:tcPr>
                <w:p w14:paraId="48E6A5E5">
                  <w:pPr>
                    <w:pStyle w:val="46"/>
                    <w:tabs>
                      <w:tab w:val="left" w:pos="0"/>
                    </w:tabs>
                    <w:ind w:left="0" w:leftChars="0" w:firstLine="0" w:firstLineChars="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3</w:t>
                  </w:r>
                </w:p>
              </w:tc>
              <w:tc>
                <w:tcPr>
                  <w:tcW w:w="704" w:type="pct"/>
                  <w:vAlign w:val="center"/>
                </w:tcPr>
                <w:p w14:paraId="16CD8FC8">
                  <w:pPr>
                    <w:pStyle w:val="46"/>
                    <w:tabs>
                      <w:tab w:val="left" w:pos="0"/>
                    </w:tabs>
                    <w:jc w:val="center"/>
                    <w:rPr>
                      <w:rFonts w:hint="default" w:eastAsia="宋体"/>
                      <w:b w:val="0"/>
                      <w:bCs w:val="0"/>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布袋除尘器收集的颗粒物</w:t>
                  </w:r>
                </w:p>
              </w:tc>
              <w:tc>
                <w:tcPr>
                  <w:tcW w:w="738" w:type="pct"/>
                  <w:vAlign w:val="center"/>
                </w:tcPr>
                <w:p w14:paraId="189DE28D">
                  <w:pPr>
                    <w:pStyle w:val="46"/>
                    <w:tabs>
                      <w:tab w:val="left" w:pos="0"/>
                    </w:tabs>
                    <w:ind w:left="0" w:leftChars="0" w:firstLine="0" w:firstLineChars="0"/>
                    <w:jc w:val="center"/>
                    <w:rPr>
                      <w:rFonts w:hint="eastAsia"/>
                      <w:b w:val="0"/>
                      <w:bCs w:val="0"/>
                      <w:color w:val="000000" w:themeColor="text1"/>
                      <w:szCs w:val="21"/>
                      <w:highlight w:val="none"/>
                      <w14:textFill>
                        <w14:solidFill>
                          <w14:schemeClr w14:val="tx1"/>
                        </w14:solidFill>
                      </w14:textFill>
                    </w:rPr>
                  </w:pPr>
                  <w:r>
                    <w:rPr>
                      <w:rFonts w:hint="eastAsia"/>
                      <w:b w:val="0"/>
                      <w:bCs w:val="0"/>
                      <w:color w:val="000000" w:themeColor="text1"/>
                      <w:szCs w:val="21"/>
                      <w:highlight w:val="none"/>
                      <w14:textFill>
                        <w14:solidFill>
                          <w14:schemeClr w14:val="tx1"/>
                        </w14:solidFill>
                      </w14:textFill>
                    </w:rPr>
                    <w:t>443-001-07</w:t>
                  </w:r>
                </w:p>
              </w:tc>
              <w:tc>
                <w:tcPr>
                  <w:tcW w:w="393" w:type="pct"/>
                  <w:vAlign w:val="center"/>
                </w:tcPr>
                <w:p w14:paraId="6D33B7CE">
                  <w:pPr>
                    <w:pStyle w:val="46"/>
                    <w:tabs>
                      <w:tab w:val="left" w:pos="0"/>
                    </w:tabs>
                    <w:jc w:val="center"/>
                    <w:rPr>
                      <w:rFonts w:hint="default" w:eastAsia="宋体"/>
                      <w:b w:val="0"/>
                      <w:bCs w:val="0"/>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auto"/>
                      <w:kern w:val="2"/>
                      <w:sz w:val="21"/>
                      <w:szCs w:val="21"/>
                      <w:highlight w:val="none"/>
                      <w:lang w:val="en-US" w:eastAsia="zh-CN"/>
                    </w:rPr>
                    <w:t>40.5925</w:t>
                  </w:r>
                </w:p>
              </w:tc>
              <w:tc>
                <w:tcPr>
                  <w:tcW w:w="580" w:type="pct"/>
                  <w:vAlign w:val="center"/>
                </w:tcPr>
                <w:p w14:paraId="4A37AAAB">
                  <w:pPr>
                    <w:pStyle w:val="46"/>
                    <w:tabs>
                      <w:tab w:val="left" w:pos="0"/>
                    </w:tabs>
                    <w:jc w:val="center"/>
                    <w:rPr>
                      <w:rFonts w:hint="default" w:eastAsia="宋体"/>
                      <w:b w:val="0"/>
                      <w:bCs w:val="0"/>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锅炉废气处理设施</w:t>
                  </w:r>
                </w:p>
              </w:tc>
              <w:tc>
                <w:tcPr>
                  <w:tcW w:w="337" w:type="pct"/>
                  <w:vAlign w:val="center"/>
                </w:tcPr>
                <w:p w14:paraId="5E2E3F6A">
                  <w:pPr>
                    <w:pStyle w:val="46"/>
                    <w:tabs>
                      <w:tab w:val="left" w:pos="0"/>
                    </w:tabs>
                    <w:jc w:val="center"/>
                    <w:rPr>
                      <w:b w:val="0"/>
                      <w:bCs w:val="0"/>
                      <w:color w:val="000000" w:themeColor="text1"/>
                      <w:szCs w:val="21"/>
                      <w:highlight w:val="none"/>
                      <w14:textFill>
                        <w14:solidFill>
                          <w14:schemeClr w14:val="tx1"/>
                        </w14:solidFill>
                      </w14:textFill>
                    </w:rPr>
                  </w:pPr>
                  <w:r>
                    <w:rPr>
                      <w:b w:val="0"/>
                      <w:bCs w:val="0"/>
                      <w:color w:val="000000" w:themeColor="text1"/>
                      <w:szCs w:val="21"/>
                      <w:highlight w:val="none"/>
                      <w14:textFill>
                        <w14:solidFill>
                          <w14:schemeClr w14:val="tx1"/>
                        </w14:solidFill>
                      </w14:textFill>
                    </w:rPr>
                    <w:t>固态</w:t>
                  </w:r>
                </w:p>
              </w:tc>
              <w:tc>
                <w:tcPr>
                  <w:tcW w:w="412" w:type="pct"/>
                  <w:vAlign w:val="center"/>
                </w:tcPr>
                <w:p w14:paraId="15B6BC30">
                  <w:pPr>
                    <w:pStyle w:val="46"/>
                    <w:tabs>
                      <w:tab w:val="left" w:pos="0"/>
                    </w:tabs>
                    <w:jc w:val="center"/>
                    <w:rPr>
                      <w:rFonts w:hint="eastAsia" w:eastAsia="宋体"/>
                      <w:b w:val="0"/>
                      <w:bCs w:val="0"/>
                      <w:color w:val="000000" w:themeColor="text1"/>
                      <w:szCs w:val="21"/>
                      <w:highlight w:val="none"/>
                      <w:lang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颗粒物</w:t>
                  </w:r>
                </w:p>
              </w:tc>
              <w:tc>
                <w:tcPr>
                  <w:tcW w:w="377" w:type="pct"/>
                  <w:vAlign w:val="center"/>
                </w:tcPr>
                <w:p w14:paraId="5FE0CAB3">
                  <w:pPr>
                    <w:pStyle w:val="46"/>
                    <w:tabs>
                      <w:tab w:val="left" w:pos="0"/>
                    </w:tabs>
                    <w:jc w:val="center"/>
                    <w:rPr>
                      <w:b w:val="0"/>
                      <w:bCs w:val="0"/>
                      <w:color w:val="000000" w:themeColor="text1"/>
                      <w:szCs w:val="21"/>
                      <w:highlight w:val="none"/>
                      <w14:textFill>
                        <w14:solidFill>
                          <w14:schemeClr w14:val="tx1"/>
                        </w14:solidFill>
                      </w14:textFill>
                    </w:rPr>
                  </w:pPr>
                  <w:r>
                    <w:rPr>
                      <w:b w:val="0"/>
                      <w:bCs w:val="0"/>
                      <w:color w:val="000000" w:themeColor="text1"/>
                      <w:szCs w:val="21"/>
                      <w:highlight w:val="none"/>
                      <w14:textFill>
                        <w14:solidFill>
                          <w14:schemeClr w14:val="tx1"/>
                        </w14:solidFill>
                      </w14:textFill>
                    </w:rPr>
                    <w:t>/</w:t>
                  </w:r>
                </w:p>
              </w:tc>
              <w:tc>
                <w:tcPr>
                  <w:tcW w:w="385" w:type="pct"/>
                  <w:vAlign w:val="center"/>
                </w:tcPr>
                <w:p w14:paraId="4F9A0833">
                  <w:pPr>
                    <w:pStyle w:val="46"/>
                    <w:tabs>
                      <w:tab w:val="left" w:pos="0"/>
                    </w:tabs>
                    <w:jc w:val="center"/>
                    <w:rPr>
                      <w:b w:val="0"/>
                      <w:bCs w:val="0"/>
                      <w:color w:val="000000" w:themeColor="text1"/>
                      <w:szCs w:val="21"/>
                      <w:highlight w:val="none"/>
                      <w14:textFill>
                        <w14:solidFill>
                          <w14:schemeClr w14:val="tx1"/>
                        </w14:solidFill>
                      </w14:textFill>
                    </w:rPr>
                  </w:pPr>
                  <w:r>
                    <w:rPr>
                      <w:b w:val="0"/>
                      <w:bCs w:val="0"/>
                      <w:color w:val="000000" w:themeColor="text1"/>
                      <w:szCs w:val="21"/>
                      <w:highlight w:val="none"/>
                      <w14:textFill>
                        <w14:solidFill>
                          <w14:schemeClr w14:val="tx1"/>
                        </w14:solidFill>
                      </w14:textFill>
                    </w:rPr>
                    <w:t>持续</w:t>
                  </w:r>
                </w:p>
              </w:tc>
              <w:tc>
                <w:tcPr>
                  <w:tcW w:w="828" w:type="pct"/>
                  <w:vAlign w:val="center"/>
                </w:tcPr>
                <w:p w14:paraId="773DEB13">
                  <w:pPr>
                    <w:pStyle w:val="46"/>
                    <w:tabs>
                      <w:tab w:val="left" w:pos="0"/>
                    </w:tabs>
                    <w:jc w:val="center"/>
                    <w:rPr>
                      <w:b w:val="0"/>
                      <w:bCs w:val="0"/>
                      <w:color w:val="000000" w:themeColor="text1"/>
                      <w:szCs w:val="21"/>
                      <w:highlight w:val="none"/>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回用生产</w:t>
                  </w:r>
                </w:p>
              </w:tc>
            </w:tr>
            <w:tr w14:paraId="705679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243" w:type="pct"/>
                  <w:shd w:val="clear" w:color="auto" w:fill="auto"/>
                  <w:vAlign w:val="center"/>
                </w:tcPr>
                <w:p w14:paraId="64809FC8">
                  <w:pPr>
                    <w:pStyle w:val="46"/>
                    <w:tabs>
                      <w:tab w:val="left" w:pos="0"/>
                    </w:tabs>
                    <w:ind w:left="0" w:leftChars="0" w:firstLine="0" w:firstLineChars="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4</w:t>
                  </w:r>
                </w:p>
              </w:tc>
              <w:tc>
                <w:tcPr>
                  <w:tcW w:w="704" w:type="pct"/>
                  <w:vAlign w:val="center"/>
                </w:tcPr>
                <w:p w14:paraId="7CC7C0DD">
                  <w:pPr>
                    <w:pStyle w:val="46"/>
                    <w:tabs>
                      <w:tab w:val="left" w:pos="0"/>
                    </w:tabs>
                    <w:jc w:val="center"/>
                    <w:rPr>
                      <w:rFonts w:hint="default"/>
                      <w:b w:val="0"/>
                      <w:bCs w:val="0"/>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炉渣</w:t>
                  </w:r>
                </w:p>
              </w:tc>
              <w:tc>
                <w:tcPr>
                  <w:tcW w:w="738" w:type="pct"/>
                  <w:vAlign w:val="center"/>
                </w:tcPr>
                <w:p w14:paraId="667B6561">
                  <w:pPr>
                    <w:pStyle w:val="46"/>
                    <w:tabs>
                      <w:tab w:val="left" w:pos="0"/>
                    </w:tabs>
                    <w:ind w:left="0" w:leftChars="0" w:firstLine="0" w:firstLineChars="0"/>
                    <w:jc w:val="center"/>
                    <w:rPr>
                      <w:rFonts w:hint="eastAsia"/>
                      <w:b w:val="0"/>
                      <w:bCs w:val="0"/>
                      <w:color w:val="000000" w:themeColor="text1"/>
                      <w:szCs w:val="2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443-002-03</w:t>
                  </w:r>
                </w:p>
              </w:tc>
              <w:tc>
                <w:tcPr>
                  <w:tcW w:w="393" w:type="pct"/>
                  <w:vAlign w:val="center"/>
                </w:tcPr>
                <w:p w14:paraId="6A68CEF7">
                  <w:pPr>
                    <w:pStyle w:val="46"/>
                    <w:tabs>
                      <w:tab w:val="left" w:pos="0"/>
                    </w:tabs>
                    <w:jc w:val="center"/>
                    <w:rPr>
                      <w:rFonts w:hint="default" w:eastAsia="宋体"/>
                      <w:b w:val="0"/>
                      <w:bCs w:val="0"/>
                      <w:color w:val="000000" w:themeColor="text1"/>
                      <w:szCs w:val="21"/>
                      <w:highlight w:val="yellow"/>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7.6</w:t>
                  </w:r>
                </w:p>
              </w:tc>
              <w:tc>
                <w:tcPr>
                  <w:tcW w:w="580" w:type="pct"/>
                  <w:vAlign w:val="center"/>
                </w:tcPr>
                <w:p w14:paraId="387F2666">
                  <w:pPr>
                    <w:pStyle w:val="46"/>
                    <w:tabs>
                      <w:tab w:val="left" w:pos="0"/>
                    </w:tabs>
                    <w:jc w:val="center"/>
                    <w:rPr>
                      <w:rFonts w:hint="default"/>
                      <w:b w:val="0"/>
                      <w:bCs w:val="0"/>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燃生物质锅炉</w:t>
                  </w:r>
                </w:p>
              </w:tc>
              <w:tc>
                <w:tcPr>
                  <w:tcW w:w="337" w:type="pct"/>
                  <w:vAlign w:val="center"/>
                </w:tcPr>
                <w:p w14:paraId="5C8AB424">
                  <w:pPr>
                    <w:pStyle w:val="46"/>
                    <w:tabs>
                      <w:tab w:val="left" w:pos="0"/>
                    </w:tabs>
                    <w:jc w:val="center"/>
                    <w:rPr>
                      <w:b w:val="0"/>
                      <w:bCs w:val="0"/>
                      <w:color w:val="000000" w:themeColor="text1"/>
                      <w:szCs w:val="21"/>
                      <w:highlight w:val="none"/>
                      <w14:textFill>
                        <w14:solidFill>
                          <w14:schemeClr w14:val="tx1"/>
                        </w14:solidFill>
                      </w14:textFill>
                    </w:rPr>
                  </w:pPr>
                  <w:r>
                    <w:rPr>
                      <w:b w:val="0"/>
                      <w:bCs w:val="0"/>
                      <w:color w:val="000000" w:themeColor="text1"/>
                      <w:szCs w:val="21"/>
                      <w:highlight w:val="none"/>
                      <w14:textFill>
                        <w14:solidFill>
                          <w14:schemeClr w14:val="tx1"/>
                        </w14:solidFill>
                      </w14:textFill>
                    </w:rPr>
                    <w:t>固态</w:t>
                  </w:r>
                </w:p>
              </w:tc>
              <w:tc>
                <w:tcPr>
                  <w:tcW w:w="412" w:type="pct"/>
                  <w:vAlign w:val="center"/>
                </w:tcPr>
                <w:p w14:paraId="068BC560">
                  <w:pPr>
                    <w:pStyle w:val="46"/>
                    <w:tabs>
                      <w:tab w:val="left" w:pos="0"/>
                    </w:tabs>
                    <w:jc w:val="center"/>
                    <w:rPr>
                      <w:rFonts w:hint="default"/>
                      <w:b w:val="0"/>
                      <w:bCs w:val="0"/>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二氧化硅</w:t>
                  </w:r>
                </w:p>
              </w:tc>
              <w:tc>
                <w:tcPr>
                  <w:tcW w:w="377" w:type="pct"/>
                  <w:vAlign w:val="center"/>
                </w:tcPr>
                <w:p w14:paraId="6AD57456">
                  <w:pPr>
                    <w:pStyle w:val="46"/>
                    <w:tabs>
                      <w:tab w:val="left" w:pos="0"/>
                    </w:tabs>
                    <w:jc w:val="center"/>
                    <w:rPr>
                      <w:b w:val="0"/>
                      <w:bCs w:val="0"/>
                      <w:color w:val="000000" w:themeColor="text1"/>
                      <w:szCs w:val="21"/>
                      <w:highlight w:val="none"/>
                      <w14:textFill>
                        <w14:solidFill>
                          <w14:schemeClr w14:val="tx1"/>
                        </w14:solidFill>
                      </w14:textFill>
                    </w:rPr>
                  </w:pPr>
                  <w:r>
                    <w:rPr>
                      <w:b w:val="0"/>
                      <w:bCs w:val="0"/>
                      <w:color w:val="000000" w:themeColor="text1"/>
                      <w:szCs w:val="21"/>
                      <w:highlight w:val="none"/>
                      <w14:textFill>
                        <w14:solidFill>
                          <w14:schemeClr w14:val="tx1"/>
                        </w14:solidFill>
                      </w14:textFill>
                    </w:rPr>
                    <w:t>/</w:t>
                  </w:r>
                </w:p>
              </w:tc>
              <w:tc>
                <w:tcPr>
                  <w:tcW w:w="385" w:type="pct"/>
                  <w:vAlign w:val="center"/>
                </w:tcPr>
                <w:p w14:paraId="4BE33505">
                  <w:pPr>
                    <w:pStyle w:val="46"/>
                    <w:tabs>
                      <w:tab w:val="left" w:pos="0"/>
                    </w:tabs>
                    <w:jc w:val="center"/>
                    <w:rPr>
                      <w:rFonts w:hint="eastAsia" w:eastAsia="宋体"/>
                      <w:b w:val="0"/>
                      <w:bCs w:val="0"/>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连续</w:t>
                  </w:r>
                </w:p>
              </w:tc>
              <w:tc>
                <w:tcPr>
                  <w:tcW w:w="828" w:type="pct"/>
                  <w:vAlign w:val="center"/>
                </w:tcPr>
                <w:p w14:paraId="0B960578">
                  <w:pPr>
                    <w:pStyle w:val="46"/>
                    <w:tabs>
                      <w:tab w:val="left" w:pos="0"/>
                    </w:tabs>
                    <w:jc w:val="center"/>
                    <w:rPr>
                      <w:b w:val="0"/>
                      <w:bCs w:val="0"/>
                      <w:color w:val="000000" w:themeColor="text1"/>
                      <w:szCs w:val="21"/>
                      <w:highlight w:val="none"/>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回用生产</w:t>
                  </w:r>
                </w:p>
              </w:tc>
            </w:tr>
            <w:tr w14:paraId="635FC8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243" w:type="pct"/>
                  <w:shd w:val="clear" w:color="auto" w:fill="auto"/>
                  <w:vAlign w:val="center"/>
                </w:tcPr>
                <w:p w14:paraId="7B7ADD47">
                  <w:pPr>
                    <w:pStyle w:val="46"/>
                    <w:tabs>
                      <w:tab w:val="left" w:pos="0"/>
                    </w:tabs>
                    <w:ind w:left="0" w:leftChars="0"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5</w:t>
                  </w:r>
                </w:p>
              </w:tc>
              <w:tc>
                <w:tcPr>
                  <w:tcW w:w="704" w:type="pct"/>
                  <w:vAlign w:val="center"/>
                </w:tcPr>
                <w:p w14:paraId="728E1EB7">
                  <w:pPr>
                    <w:pStyle w:val="46"/>
                    <w:tabs>
                      <w:tab w:val="left" w:pos="0"/>
                    </w:tabs>
                    <w:jc w:val="center"/>
                    <w:rPr>
                      <w:rFonts w:hint="default" w:eastAsia="宋体"/>
                      <w:b w:val="0"/>
                      <w:bCs w:val="0"/>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废布袋</w:t>
                  </w:r>
                </w:p>
              </w:tc>
              <w:tc>
                <w:tcPr>
                  <w:tcW w:w="738" w:type="pct"/>
                  <w:vAlign w:val="center"/>
                </w:tcPr>
                <w:p w14:paraId="0C9A5022">
                  <w:pPr>
                    <w:pStyle w:val="46"/>
                    <w:tabs>
                      <w:tab w:val="left" w:pos="0"/>
                    </w:tabs>
                    <w:ind w:left="0" w:leftChars="0" w:firstLine="0" w:firstLineChars="0"/>
                    <w:jc w:val="center"/>
                    <w:rPr>
                      <w:rFonts w:hint="eastAsia"/>
                      <w:b w:val="0"/>
                      <w:bCs w:val="0"/>
                      <w:color w:val="000000" w:themeColor="text1"/>
                      <w:szCs w:val="21"/>
                      <w:highlight w:val="none"/>
                      <w14:textFill>
                        <w14:solidFill>
                          <w14:schemeClr w14:val="tx1"/>
                        </w14:solidFill>
                      </w14:textFill>
                    </w:rPr>
                  </w:pPr>
                  <w:r>
                    <w:rPr>
                      <w:rFonts w:hint="eastAsia"/>
                      <w:b w:val="0"/>
                      <w:bCs w:val="0"/>
                      <w:color w:val="000000" w:themeColor="text1"/>
                      <w:szCs w:val="21"/>
                      <w:highlight w:val="none"/>
                      <w14:textFill>
                        <w14:solidFill>
                          <w14:schemeClr w14:val="tx1"/>
                        </w14:solidFill>
                      </w14:textFill>
                    </w:rPr>
                    <w:t>900-099-S03</w:t>
                  </w:r>
                </w:p>
              </w:tc>
              <w:tc>
                <w:tcPr>
                  <w:tcW w:w="393" w:type="pct"/>
                  <w:vAlign w:val="center"/>
                </w:tcPr>
                <w:p w14:paraId="429D87E6">
                  <w:pPr>
                    <w:pStyle w:val="46"/>
                    <w:tabs>
                      <w:tab w:val="left" w:pos="0"/>
                    </w:tabs>
                    <w:jc w:val="center"/>
                    <w:rPr>
                      <w:rFonts w:hint="default" w:eastAsia="宋体"/>
                      <w:b w:val="0"/>
                      <w:bCs w:val="0"/>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1.5</w:t>
                  </w:r>
                </w:p>
              </w:tc>
              <w:tc>
                <w:tcPr>
                  <w:tcW w:w="580" w:type="pct"/>
                  <w:vAlign w:val="center"/>
                </w:tcPr>
                <w:p w14:paraId="46FAFA4A">
                  <w:pPr>
                    <w:pStyle w:val="46"/>
                    <w:tabs>
                      <w:tab w:val="left" w:pos="0"/>
                    </w:tabs>
                    <w:jc w:val="center"/>
                    <w:rPr>
                      <w:b w:val="0"/>
                      <w:bCs w:val="0"/>
                      <w:color w:val="000000" w:themeColor="text1"/>
                      <w:szCs w:val="21"/>
                      <w:highlight w:val="none"/>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锅炉废气处理设施</w:t>
                  </w:r>
                </w:p>
              </w:tc>
              <w:tc>
                <w:tcPr>
                  <w:tcW w:w="337" w:type="pct"/>
                  <w:vAlign w:val="center"/>
                </w:tcPr>
                <w:p w14:paraId="5B65AECC">
                  <w:pPr>
                    <w:pStyle w:val="46"/>
                    <w:tabs>
                      <w:tab w:val="left" w:pos="0"/>
                    </w:tabs>
                    <w:jc w:val="center"/>
                    <w:rPr>
                      <w:b w:val="0"/>
                      <w:bCs w:val="0"/>
                      <w:color w:val="000000" w:themeColor="text1"/>
                      <w:szCs w:val="21"/>
                      <w:highlight w:val="none"/>
                      <w14:textFill>
                        <w14:solidFill>
                          <w14:schemeClr w14:val="tx1"/>
                        </w14:solidFill>
                      </w14:textFill>
                    </w:rPr>
                  </w:pPr>
                  <w:r>
                    <w:rPr>
                      <w:b w:val="0"/>
                      <w:bCs w:val="0"/>
                      <w:color w:val="000000" w:themeColor="text1"/>
                      <w:szCs w:val="21"/>
                      <w:highlight w:val="none"/>
                      <w14:textFill>
                        <w14:solidFill>
                          <w14:schemeClr w14:val="tx1"/>
                        </w14:solidFill>
                      </w14:textFill>
                    </w:rPr>
                    <w:t>固态</w:t>
                  </w:r>
                </w:p>
              </w:tc>
              <w:tc>
                <w:tcPr>
                  <w:tcW w:w="412" w:type="pct"/>
                  <w:vAlign w:val="center"/>
                </w:tcPr>
                <w:p w14:paraId="7058F626">
                  <w:pPr>
                    <w:pStyle w:val="46"/>
                    <w:tabs>
                      <w:tab w:val="left" w:pos="0"/>
                    </w:tabs>
                    <w:jc w:val="center"/>
                    <w:rPr>
                      <w:rFonts w:hint="eastAsia" w:eastAsia="宋体"/>
                      <w:b w:val="0"/>
                      <w:bCs w:val="0"/>
                      <w:color w:val="000000" w:themeColor="text1"/>
                      <w:szCs w:val="21"/>
                      <w:highlight w:val="none"/>
                      <w:lang w:val="en-US" w:eastAsia="zh-CN"/>
                      <w14:textFill>
                        <w14:solidFill>
                          <w14:schemeClr w14:val="tx1"/>
                        </w14:solidFill>
                      </w14:textFill>
                    </w:rPr>
                  </w:pPr>
                  <w:r>
                    <w:rPr>
                      <w:b w:val="0"/>
                      <w:bCs w:val="0"/>
                      <w:color w:val="000000" w:themeColor="text1"/>
                      <w:szCs w:val="21"/>
                      <w:highlight w:val="none"/>
                      <w14:textFill>
                        <w14:solidFill>
                          <w14:schemeClr w14:val="tx1"/>
                        </w14:solidFill>
                      </w14:textFill>
                    </w:rPr>
                    <w:t>废</w:t>
                  </w:r>
                  <w:r>
                    <w:rPr>
                      <w:rFonts w:hint="eastAsia"/>
                      <w:b w:val="0"/>
                      <w:bCs w:val="0"/>
                      <w:color w:val="000000" w:themeColor="text1"/>
                      <w:szCs w:val="21"/>
                      <w:highlight w:val="none"/>
                      <w:lang w:val="en-US" w:eastAsia="zh-CN"/>
                      <w14:textFill>
                        <w14:solidFill>
                          <w14:schemeClr w14:val="tx1"/>
                        </w14:solidFill>
                      </w14:textFill>
                    </w:rPr>
                    <w:t>布袋</w:t>
                  </w:r>
                </w:p>
              </w:tc>
              <w:tc>
                <w:tcPr>
                  <w:tcW w:w="377" w:type="pct"/>
                  <w:vAlign w:val="center"/>
                </w:tcPr>
                <w:p w14:paraId="3BC3654C">
                  <w:pPr>
                    <w:pStyle w:val="46"/>
                    <w:tabs>
                      <w:tab w:val="left" w:pos="0"/>
                    </w:tabs>
                    <w:jc w:val="center"/>
                    <w:rPr>
                      <w:b w:val="0"/>
                      <w:bCs w:val="0"/>
                      <w:color w:val="000000" w:themeColor="text1"/>
                      <w:szCs w:val="21"/>
                      <w:highlight w:val="none"/>
                      <w14:textFill>
                        <w14:solidFill>
                          <w14:schemeClr w14:val="tx1"/>
                        </w14:solidFill>
                      </w14:textFill>
                    </w:rPr>
                  </w:pPr>
                  <w:r>
                    <w:rPr>
                      <w:b w:val="0"/>
                      <w:bCs w:val="0"/>
                      <w:color w:val="000000" w:themeColor="text1"/>
                      <w:szCs w:val="21"/>
                      <w:highlight w:val="none"/>
                      <w14:textFill>
                        <w14:solidFill>
                          <w14:schemeClr w14:val="tx1"/>
                        </w14:solidFill>
                      </w14:textFill>
                    </w:rPr>
                    <w:t>/</w:t>
                  </w:r>
                </w:p>
              </w:tc>
              <w:tc>
                <w:tcPr>
                  <w:tcW w:w="385" w:type="pct"/>
                  <w:vAlign w:val="center"/>
                </w:tcPr>
                <w:p w14:paraId="4F48D0C1">
                  <w:pPr>
                    <w:pStyle w:val="46"/>
                    <w:tabs>
                      <w:tab w:val="left" w:pos="0"/>
                    </w:tabs>
                    <w:jc w:val="center"/>
                    <w:rPr>
                      <w:b w:val="0"/>
                      <w:bCs w:val="0"/>
                      <w:color w:val="000000" w:themeColor="text1"/>
                      <w:szCs w:val="21"/>
                      <w:highlight w:val="none"/>
                      <w14:textFill>
                        <w14:solidFill>
                          <w14:schemeClr w14:val="tx1"/>
                        </w14:solidFill>
                      </w14:textFill>
                    </w:rPr>
                  </w:pPr>
                  <w:r>
                    <w:rPr>
                      <w:rFonts w:hint="eastAsia"/>
                      <w:b w:val="0"/>
                      <w:bCs w:val="0"/>
                      <w:color w:val="000000" w:themeColor="text1"/>
                      <w:szCs w:val="21"/>
                      <w:highlight w:val="none"/>
                      <w14:textFill>
                        <w14:solidFill>
                          <w14:schemeClr w14:val="tx1"/>
                        </w14:solidFill>
                      </w14:textFill>
                    </w:rPr>
                    <w:t>间歇</w:t>
                  </w:r>
                </w:p>
              </w:tc>
              <w:tc>
                <w:tcPr>
                  <w:tcW w:w="828" w:type="pct"/>
                  <w:vAlign w:val="center"/>
                </w:tcPr>
                <w:p w14:paraId="56FF4871">
                  <w:pPr>
                    <w:pStyle w:val="46"/>
                    <w:tabs>
                      <w:tab w:val="left" w:pos="0"/>
                    </w:tabs>
                    <w:jc w:val="center"/>
                    <w:rPr>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color w:val="000000"/>
                      <w:spacing w:val="-6"/>
                      <w:sz w:val="21"/>
                      <w:szCs w:val="21"/>
                      <w:lang w:val="en-US" w:eastAsia="zh-CN"/>
                    </w:rPr>
                    <w:t>收集外售</w:t>
                  </w:r>
                </w:p>
              </w:tc>
            </w:tr>
            <w:tr w14:paraId="60033A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85" w:type="pct"/>
                  <w:gridSpan w:val="3"/>
                  <w:vAlign w:val="center"/>
                </w:tcPr>
                <w:p w14:paraId="150E1F55">
                  <w:pPr>
                    <w:pStyle w:val="46"/>
                    <w:tabs>
                      <w:tab w:val="left" w:pos="0"/>
                    </w:tabs>
                    <w:ind w:left="0" w:leftChars="0" w:firstLine="0" w:firstLineChars="0"/>
                    <w:jc w:val="center"/>
                    <w:rPr>
                      <w:rFonts w:hint="eastAsia" w:eastAsia="宋体"/>
                      <w:b w:val="0"/>
                      <w:bCs w:val="0"/>
                      <w:color w:val="000000" w:themeColor="text1"/>
                      <w:szCs w:val="21"/>
                      <w:highlight w:val="none"/>
                      <w:lang w:eastAsia="zh-CN"/>
                      <w14:textFill>
                        <w14:solidFill>
                          <w14:schemeClr w14:val="tx1"/>
                        </w14:solidFill>
                      </w14:textFill>
                    </w:rPr>
                  </w:pPr>
                  <w:r>
                    <w:rPr>
                      <w:b w:val="0"/>
                      <w:bCs w:val="0"/>
                      <w:color w:val="000000" w:themeColor="text1"/>
                      <w:szCs w:val="21"/>
                      <w:highlight w:val="none"/>
                      <w14:textFill>
                        <w14:solidFill>
                          <w14:schemeClr w14:val="tx1"/>
                        </w14:solidFill>
                      </w14:textFill>
                    </w:rPr>
                    <w:t>一般工业固废合计</w:t>
                  </w:r>
                  <w:r>
                    <w:rPr>
                      <w:rFonts w:hint="eastAsia"/>
                      <w:b w:val="0"/>
                      <w:bCs w:val="0"/>
                      <w:color w:val="000000" w:themeColor="text1"/>
                      <w:szCs w:val="21"/>
                      <w:highlight w:val="none"/>
                      <w:lang w:eastAsia="zh-CN"/>
                      <w14:textFill>
                        <w14:solidFill>
                          <w14:schemeClr w14:val="tx1"/>
                        </w14:solidFill>
                      </w14:textFill>
                    </w:rPr>
                    <w:t>（</w:t>
                  </w:r>
                  <w:r>
                    <w:rPr>
                      <w:b w:val="0"/>
                      <w:bCs w:val="0"/>
                      <w:color w:val="000000" w:themeColor="text1"/>
                      <w:szCs w:val="21"/>
                      <w:highlight w:val="none"/>
                      <w14:textFill>
                        <w14:solidFill>
                          <w14:schemeClr w14:val="tx1"/>
                        </w14:solidFill>
                      </w14:textFill>
                    </w:rPr>
                    <w:t>t/a</w:t>
                  </w:r>
                  <w:r>
                    <w:rPr>
                      <w:rFonts w:hint="eastAsia"/>
                      <w:b w:val="0"/>
                      <w:bCs w:val="0"/>
                      <w:color w:val="000000" w:themeColor="text1"/>
                      <w:szCs w:val="21"/>
                      <w:highlight w:val="none"/>
                      <w:lang w:eastAsia="zh-CN"/>
                      <w14:textFill>
                        <w14:solidFill>
                          <w14:schemeClr w14:val="tx1"/>
                        </w14:solidFill>
                      </w14:textFill>
                    </w:rPr>
                    <w:t>）</w:t>
                  </w:r>
                </w:p>
              </w:tc>
              <w:tc>
                <w:tcPr>
                  <w:tcW w:w="3314" w:type="pct"/>
                  <w:gridSpan w:val="7"/>
                  <w:shd w:val="clear" w:color="auto" w:fill="auto"/>
                  <w:vAlign w:val="center"/>
                </w:tcPr>
                <w:p w14:paraId="402715AA">
                  <w:pPr>
                    <w:pStyle w:val="46"/>
                    <w:tabs>
                      <w:tab w:val="left" w:pos="0"/>
                    </w:tabs>
                    <w:ind w:left="0" w:leftChars="0" w:firstLine="0" w:firstLineChars="0"/>
                    <w:jc w:val="center"/>
                    <w:rPr>
                      <w:rFonts w:hint="default" w:ascii="宋体" w:hAnsi="宋体" w:eastAsia="宋体" w:cs="宋体"/>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Times New Roman" w:hAnsi="Times New Roman" w:cs="宋体"/>
                      <w:i w:val="0"/>
                      <w:iCs w:val="0"/>
                      <w:color w:val="000000" w:themeColor="text1"/>
                      <w:kern w:val="2"/>
                      <w:sz w:val="22"/>
                      <w:szCs w:val="22"/>
                      <w:highlight w:val="none"/>
                      <w:u w:val="none"/>
                      <w:lang w:val="en-US" w:eastAsia="zh-CN" w:bidi="ar-SA"/>
                      <w14:textFill>
                        <w14:solidFill>
                          <w14:schemeClr w14:val="tx1"/>
                        </w14:solidFill>
                      </w14:textFill>
                    </w:rPr>
                    <w:t>933.</w:t>
                  </w:r>
                  <w:r>
                    <w:rPr>
                      <w:rFonts w:hint="eastAsia" w:cs="宋体"/>
                      <w:i w:val="0"/>
                      <w:iCs w:val="0"/>
                      <w:color w:val="000000" w:themeColor="text1"/>
                      <w:kern w:val="2"/>
                      <w:sz w:val="22"/>
                      <w:szCs w:val="22"/>
                      <w:highlight w:val="none"/>
                      <w:u w:val="none"/>
                      <w:lang w:val="en-US" w:eastAsia="zh-CN" w:bidi="ar-SA"/>
                      <w14:textFill>
                        <w14:solidFill>
                          <w14:schemeClr w14:val="tx1"/>
                        </w14:solidFill>
                      </w14:textFill>
                    </w:rPr>
                    <w:t>7</w:t>
                  </w:r>
                </w:p>
              </w:tc>
            </w:tr>
            <w:bookmarkEnd w:id="59"/>
            <w:bookmarkEnd w:id="60"/>
          </w:tbl>
          <w:p w14:paraId="57D27ABC">
            <w:pPr>
              <w:pStyle w:val="4"/>
              <w:numPr>
                <w:ilvl w:val="2"/>
                <w:numId w:val="1"/>
              </w:numPr>
              <w:bidi w:val="0"/>
              <w:ind w:left="720" w:leftChars="0" w:hanging="720" w:firstLineChars="0"/>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环境管理要求</w:t>
            </w:r>
          </w:p>
          <w:p w14:paraId="4CE5305D">
            <w:pPr>
              <w:pStyle w:val="30"/>
              <w:widowControl w:val="0"/>
              <w:spacing w:before="0" w:beforeAutospacing="0" w:after="0" w:afterAutospacing="0" w:line="360" w:lineRule="auto"/>
              <w:ind w:firstLine="480" w:firstLineChars="200"/>
              <w:jc w:val="both"/>
              <w:rPr>
                <w:color w:val="000000" w:themeColor="text1"/>
                <w:highlight w:val="none"/>
                <w14:textFill>
                  <w14:solidFill>
                    <w14:schemeClr w14:val="tx1"/>
                  </w14:solidFill>
                </w14:textFill>
              </w:rPr>
            </w:pPr>
            <w:r>
              <w:rPr>
                <w:rFonts w:hint="eastAsia" w:ascii="Times New Roman" w:hAnsi="Times New Roman" w:cs="宋体"/>
                <w:color w:val="000000" w:themeColor="text1"/>
                <w:kern w:val="2"/>
                <w:szCs w:val="24"/>
                <w:highlight w:val="none"/>
                <w:lang w:bidi="ar"/>
                <w14:textFill>
                  <w14:solidFill>
                    <w14:schemeClr w14:val="tx1"/>
                  </w14:solidFill>
                </w14:textFill>
              </w:rPr>
              <w:t>固体废物的收集方式强调采用分类收集，即各种垃圾按不同性质，分别收集处置。</w:t>
            </w:r>
          </w:p>
          <w:p w14:paraId="24EF5A4E">
            <w:pPr>
              <w:pStyle w:val="30"/>
              <w:widowControl w:val="0"/>
              <w:spacing w:before="0" w:beforeAutospacing="0" w:after="0" w:afterAutospacing="0" w:line="360" w:lineRule="auto"/>
              <w:ind w:firstLine="480" w:firstLineChars="200"/>
              <w:jc w:val="both"/>
              <w:rPr>
                <w:rFonts w:hint="eastAsia" w:ascii="Times New Roman" w:hAnsi="Times New Roman" w:eastAsia="宋体" w:cs="宋体"/>
                <w:color w:val="000000" w:themeColor="text1"/>
                <w:kern w:val="2"/>
                <w:szCs w:val="24"/>
                <w:highlight w:val="none"/>
                <w:lang w:bidi="ar"/>
                <w14:textFill>
                  <w14:solidFill>
                    <w14:schemeClr w14:val="tx1"/>
                  </w14:solidFill>
                </w14:textFill>
              </w:rPr>
            </w:pPr>
            <w:r>
              <w:rPr>
                <w:rFonts w:hint="eastAsia" w:ascii="Times New Roman" w:hAnsi="Times New Roman" w:eastAsia="宋体" w:cs="宋体"/>
                <w:color w:val="000000" w:themeColor="text1"/>
                <w:kern w:val="2"/>
                <w:szCs w:val="24"/>
                <w:highlight w:val="none"/>
                <w:lang w:bidi="ar"/>
                <w14:textFill>
                  <w14:solidFill>
                    <w14:schemeClr w14:val="tx1"/>
                  </w14:solidFill>
                </w14:textFill>
              </w:rPr>
              <w:t>厂区内一般固体废物临时贮存应采取以下措施：</w:t>
            </w:r>
          </w:p>
          <w:p w14:paraId="43A985DE">
            <w:pPr>
              <w:pStyle w:val="30"/>
              <w:widowControl w:val="0"/>
              <w:spacing w:before="0" w:beforeAutospacing="0" w:after="0" w:afterAutospacing="0" w:line="360" w:lineRule="auto"/>
              <w:ind w:firstLine="480" w:firstLineChars="200"/>
              <w:jc w:val="both"/>
              <w:rPr>
                <w:rFonts w:hint="eastAsia" w:ascii="Times New Roman" w:hAnsi="Times New Roman" w:eastAsia="宋体" w:cs="宋体"/>
                <w:color w:val="000000" w:themeColor="text1"/>
                <w:kern w:val="2"/>
                <w:szCs w:val="24"/>
                <w:highlight w:val="none"/>
                <w:lang w:bidi="ar"/>
                <w14:textFill>
                  <w14:solidFill>
                    <w14:schemeClr w14:val="tx1"/>
                  </w14:solidFill>
                </w14:textFill>
              </w:rPr>
            </w:pPr>
            <w:r>
              <w:rPr>
                <w:rFonts w:hint="eastAsia" w:ascii="Times New Roman" w:hAnsi="Times New Roman" w:eastAsia="宋体" w:cs="宋体"/>
                <w:color w:val="000000" w:themeColor="text1"/>
                <w:kern w:val="2"/>
                <w:szCs w:val="24"/>
                <w:highlight w:val="none"/>
                <w:lang w:bidi="ar"/>
                <w14:textFill>
                  <w14:solidFill>
                    <w14:schemeClr w14:val="tx1"/>
                  </w14:solidFill>
                </w14:textFill>
              </w:rPr>
              <w:fldChar w:fldCharType="begin"/>
            </w:r>
            <w:r>
              <w:rPr>
                <w:rFonts w:hint="eastAsia" w:ascii="Times New Roman" w:hAnsi="Times New Roman" w:eastAsia="宋体" w:cs="宋体"/>
                <w:color w:val="000000" w:themeColor="text1"/>
                <w:kern w:val="2"/>
                <w:szCs w:val="24"/>
                <w:highlight w:val="none"/>
                <w:lang w:bidi="ar"/>
                <w14:textFill>
                  <w14:solidFill>
                    <w14:schemeClr w14:val="tx1"/>
                  </w14:solidFill>
                </w14:textFill>
              </w:rPr>
              <w:instrText xml:space="preserve"> = 1 \* GB3 \* MERGEFORMAT </w:instrText>
            </w:r>
            <w:r>
              <w:rPr>
                <w:rFonts w:hint="eastAsia" w:ascii="Times New Roman" w:hAnsi="Times New Roman" w:eastAsia="宋体" w:cs="宋体"/>
                <w:color w:val="000000" w:themeColor="text1"/>
                <w:kern w:val="2"/>
                <w:szCs w:val="24"/>
                <w:highlight w:val="none"/>
                <w:lang w:bidi="ar"/>
                <w14:textFill>
                  <w14:solidFill>
                    <w14:schemeClr w14:val="tx1"/>
                  </w14:solidFill>
                </w14:textFill>
              </w:rPr>
              <w:fldChar w:fldCharType="separate"/>
            </w:r>
            <w:r>
              <w:rPr>
                <w:rFonts w:hint="eastAsia" w:ascii="Times New Roman" w:hAnsi="Times New Roman" w:eastAsia="宋体" w:cs="宋体"/>
                <w:color w:val="000000" w:themeColor="text1"/>
                <w:kern w:val="2"/>
                <w:szCs w:val="24"/>
                <w:highlight w:val="none"/>
                <w:lang w:bidi="ar"/>
                <w14:textFill>
                  <w14:solidFill>
                    <w14:schemeClr w14:val="tx1"/>
                  </w14:solidFill>
                </w14:textFill>
              </w:rPr>
              <w:t>①</w:t>
            </w:r>
            <w:r>
              <w:rPr>
                <w:rFonts w:hint="eastAsia" w:ascii="Times New Roman" w:hAnsi="Times New Roman" w:eastAsia="宋体" w:cs="宋体"/>
                <w:color w:val="000000" w:themeColor="text1"/>
                <w:kern w:val="2"/>
                <w:szCs w:val="24"/>
                <w:highlight w:val="none"/>
                <w:lang w:bidi="ar"/>
                <w14:textFill>
                  <w14:solidFill>
                    <w14:schemeClr w14:val="tx1"/>
                  </w14:solidFill>
                </w14:textFill>
              </w:rPr>
              <w:fldChar w:fldCharType="end"/>
            </w:r>
            <w:r>
              <w:rPr>
                <w:rFonts w:hint="eastAsia" w:ascii="Times New Roman" w:hAnsi="Times New Roman" w:eastAsia="宋体" w:cs="宋体"/>
                <w:color w:val="000000" w:themeColor="text1"/>
                <w:kern w:val="2"/>
                <w:szCs w:val="24"/>
                <w:highlight w:val="none"/>
                <w:lang w:bidi="ar"/>
                <w14:textFill>
                  <w14:solidFill>
                    <w14:schemeClr w14:val="tx1"/>
                  </w14:solidFill>
                </w14:textFill>
              </w:rPr>
              <w:t>一般工业固体废物应按Ⅰ类和Ⅱ类废物分别储存，建立分类收集房。不允许将危险废物和生活垃圾混入。</w:t>
            </w:r>
          </w:p>
          <w:p w14:paraId="08258357">
            <w:pPr>
              <w:pStyle w:val="30"/>
              <w:widowControl w:val="0"/>
              <w:spacing w:before="0" w:beforeAutospacing="0" w:after="0" w:afterAutospacing="0" w:line="360" w:lineRule="auto"/>
              <w:ind w:firstLine="480" w:firstLineChars="200"/>
              <w:jc w:val="both"/>
              <w:rPr>
                <w:rFonts w:hint="eastAsia" w:ascii="Times New Roman" w:hAnsi="Times New Roman" w:eastAsia="宋体" w:cs="宋体"/>
                <w:color w:val="000000" w:themeColor="text1"/>
                <w:kern w:val="2"/>
                <w:szCs w:val="24"/>
                <w:highlight w:val="none"/>
                <w:lang w:bidi="ar"/>
                <w14:textFill>
                  <w14:solidFill>
                    <w14:schemeClr w14:val="tx1"/>
                  </w14:solidFill>
                </w14:textFill>
              </w:rPr>
            </w:pPr>
            <w:r>
              <w:rPr>
                <w:rFonts w:hint="eastAsia" w:ascii="Times New Roman" w:hAnsi="Times New Roman" w:eastAsia="宋体" w:cs="宋体"/>
                <w:color w:val="000000" w:themeColor="text1"/>
                <w:kern w:val="2"/>
                <w:szCs w:val="24"/>
                <w:highlight w:val="none"/>
                <w:lang w:bidi="ar"/>
                <w14:textFill>
                  <w14:solidFill>
                    <w14:schemeClr w14:val="tx1"/>
                  </w14:solidFill>
                </w14:textFill>
              </w:rPr>
              <w:fldChar w:fldCharType="begin"/>
            </w:r>
            <w:r>
              <w:rPr>
                <w:rFonts w:hint="eastAsia" w:ascii="Times New Roman" w:hAnsi="Times New Roman" w:eastAsia="宋体" w:cs="宋体"/>
                <w:color w:val="000000" w:themeColor="text1"/>
                <w:kern w:val="2"/>
                <w:szCs w:val="24"/>
                <w:highlight w:val="none"/>
                <w:lang w:bidi="ar"/>
                <w14:textFill>
                  <w14:solidFill>
                    <w14:schemeClr w14:val="tx1"/>
                  </w14:solidFill>
                </w14:textFill>
              </w:rPr>
              <w:instrText xml:space="preserve"> = 2 \* GB3 \* MERGEFORMAT </w:instrText>
            </w:r>
            <w:r>
              <w:rPr>
                <w:rFonts w:hint="eastAsia" w:ascii="Times New Roman" w:hAnsi="Times New Roman" w:eastAsia="宋体" w:cs="宋体"/>
                <w:color w:val="000000" w:themeColor="text1"/>
                <w:kern w:val="2"/>
                <w:szCs w:val="24"/>
                <w:highlight w:val="none"/>
                <w:lang w:bidi="ar"/>
                <w14:textFill>
                  <w14:solidFill>
                    <w14:schemeClr w14:val="tx1"/>
                  </w14:solidFill>
                </w14:textFill>
              </w:rPr>
              <w:fldChar w:fldCharType="separate"/>
            </w:r>
            <w:r>
              <w:rPr>
                <w:rFonts w:hint="eastAsia" w:ascii="Times New Roman" w:hAnsi="Times New Roman" w:eastAsia="宋体" w:cs="宋体"/>
                <w:color w:val="000000" w:themeColor="text1"/>
                <w:kern w:val="2"/>
                <w:szCs w:val="24"/>
                <w:highlight w:val="none"/>
                <w:lang w:bidi="ar"/>
                <w14:textFill>
                  <w14:solidFill>
                    <w14:schemeClr w14:val="tx1"/>
                  </w14:solidFill>
                </w14:textFill>
              </w:rPr>
              <w:t>②</w:t>
            </w:r>
            <w:r>
              <w:rPr>
                <w:rFonts w:hint="eastAsia" w:ascii="Times New Roman" w:hAnsi="Times New Roman" w:eastAsia="宋体" w:cs="宋体"/>
                <w:color w:val="000000" w:themeColor="text1"/>
                <w:kern w:val="2"/>
                <w:szCs w:val="24"/>
                <w:highlight w:val="none"/>
                <w:lang w:bidi="ar"/>
                <w14:textFill>
                  <w14:solidFill>
                    <w14:schemeClr w14:val="tx1"/>
                  </w14:solidFill>
                </w14:textFill>
              </w:rPr>
              <w:fldChar w:fldCharType="end"/>
            </w:r>
            <w:r>
              <w:rPr>
                <w:rFonts w:hint="eastAsia" w:ascii="Times New Roman" w:hAnsi="Times New Roman" w:eastAsia="宋体" w:cs="宋体"/>
                <w:color w:val="000000" w:themeColor="text1"/>
                <w:kern w:val="2"/>
                <w:szCs w:val="24"/>
                <w:highlight w:val="none"/>
                <w:lang w:bidi="ar"/>
                <w14:textFill>
                  <w14:solidFill>
                    <w14:schemeClr w14:val="tx1"/>
                  </w14:solidFill>
                </w14:textFill>
              </w:rPr>
              <w:t>尽量将可利用的一般工业固体废物回收、利用。</w:t>
            </w:r>
          </w:p>
          <w:p w14:paraId="56E2CE87">
            <w:pPr>
              <w:pStyle w:val="30"/>
              <w:widowControl w:val="0"/>
              <w:spacing w:before="0" w:beforeAutospacing="0" w:after="0" w:afterAutospacing="0" w:line="360" w:lineRule="auto"/>
              <w:ind w:firstLine="480" w:firstLineChars="200"/>
              <w:jc w:val="both"/>
              <w:rPr>
                <w:rFonts w:hint="eastAsia" w:ascii="Times New Roman" w:hAnsi="Times New Roman" w:eastAsia="宋体" w:cs="宋体"/>
                <w:color w:val="000000" w:themeColor="text1"/>
                <w:kern w:val="2"/>
                <w:szCs w:val="24"/>
                <w:highlight w:val="none"/>
                <w:lang w:bidi="ar"/>
                <w14:textFill>
                  <w14:solidFill>
                    <w14:schemeClr w14:val="tx1"/>
                  </w14:solidFill>
                </w14:textFill>
              </w:rPr>
            </w:pPr>
            <w:r>
              <w:rPr>
                <w:rFonts w:hint="eastAsia" w:ascii="Times New Roman" w:hAnsi="Times New Roman" w:eastAsia="宋体" w:cs="宋体"/>
                <w:color w:val="000000" w:themeColor="text1"/>
                <w:kern w:val="2"/>
                <w:szCs w:val="24"/>
                <w:highlight w:val="none"/>
                <w:lang w:bidi="ar"/>
                <w14:textFill>
                  <w14:solidFill>
                    <w14:schemeClr w14:val="tx1"/>
                  </w14:solidFill>
                </w14:textFill>
              </w:rPr>
              <w:fldChar w:fldCharType="begin"/>
            </w:r>
            <w:r>
              <w:rPr>
                <w:rFonts w:hint="eastAsia" w:ascii="Times New Roman" w:hAnsi="Times New Roman" w:eastAsia="宋体" w:cs="宋体"/>
                <w:color w:val="000000" w:themeColor="text1"/>
                <w:kern w:val="2"/>
                <w:szCs w:val="24"/>
                <w:highlight w:val="none"/>
                <w:lang w:bidi="ar"/>
                <w14:textFill>
                  <w14:solidFill>
                    <w14:schemeClr w14:val="tx1"/>
                  </w14:solidFill>
                </w14:textFill>
              </w:rPr>
              <w:instrText xml:space="preserve"> = 3 \* GB3 \* MERGEFORMAT </w:instrText>
            </w:r>
            <w:r>
              <w:rPr>
                <w:rFonts w:hint="eastAsia" w:ascii="Times New Roman" w:hAnsi="Times New Roman" w:eastAsia="宋体" w:cs="宋体"/>
                <w:color w:val="000000" w:themeColor="text1"/>
                <w:kern w:val="2"/>
                <w:szCs w:val="24"/>
                <w:highlight w:val="none"/>
                <w:lang w:bidi="ar"/>
                <w14:textFill>
                  <w14:solidFill>
                    <w14:schemeClr w14:val="tx1"/>
                  </w14:solidFill>
                </w14:textFill>
              </w:rPr>
              <w:fldChar w:fldCharType="separate"/>
            </w:r>
            <w:r>
              <w:rPr>
                <w:rFonts w:hint="eastAsia" w:ascii="Times New Roman" w:hAnsi="Times New Roman" w:eastAsia="宋体" w:cs="宋体"/>
                <w:color w:val="000000" w:themeColor="text1"/>
                <w:kern w:val="2"/>
                <w:szCs w:val="24"/>
                <w:highlight w:val="none"/>
                <w:lang w:bidi="ar"/>
                <w14:textFill>
                  <w14:solidFill>
                    <w14:schemeClr w14:val="tx1"/>
                  </w14:solidFill>
                </w14:textFill>
              </w:rPr>
              <w:t>③</w:t>
            </w:r>
            <w:r>
              <w:rPr>
                <w:rFonts w:hint="eastAsia" w:ascii="Times New Roman" w:hAnsi="Times New Roman" w:eastAsia="宋体" w:cs="宋体"/>
                <w:color w:val="000000" w:themeColor="text1"/>
                <w:kern w:val="2"/>
                <w:szCs w:val="24"/>
                <w:highlight w:val="none"/>
                <w:lang w:bidi="ar"/>
                <w14:textFill>
                  <w14:solidFill>
                    <w14:schemeClr w14:val="tx1"/>
                  </w14:solidFill>
                </w14:textFill>
              </w:rPr>
              <w:fldChar w:fldCharType="end"/>
            </w:r>
            <w:r>
              <w:rPr>
                <w:rFonts w:hint="eastAsia" w:ascii="Times New Roman" w:hAnsi="Times New Roman" w:eastAsia="宋体" w:cs="宋体"/>
                <w:color w:val="000000" w:themeColor="text1"/>
                <w:kern w:val="2"/>
                <w:szCs w:val="24"/>
                <w:highlight w:val="none"/>
                <w:lang w:bidi="ar"/>
                <w14:textFill>
                  <w14:solidFill>
                    <w14:schemeClr w14:val="tx1"/>
                  </w14:solidFill>
                </w14:textFill>
              </w:rPr>
              <w:t>加强企业内部对固体废物的管理，对固体废物实行从产生、收集、运输、贮存直至最终处理实行全过程管理，加强固体废物运输过程的事故风险防范，建立固体废物产生、外运、处置及最终去向的详细台账。</w:t>
            </w:r>
          </w:p>
          <w:p w14:paraId="1EB9737D">
            <w:pPr>
              <w:pStyle w:val="30"/>
              <w:widowControl w:val="0"/>
              <w:spacing w:before="0" w:beforeAutospacing="0" w:after="0" w:afterAutospacing="0" w:line="360" w:lineRule="auto"/>
              <w:ind w:firstLine="480" w:firstLineChars="200"/>
              <w:jc w:val="both"/>
              <w:rPr>
                <w:rFonts w:hint="eastAsia" w:ascii="Times New Roman" w:hAnsi="Times New Roman" w:eastAsia="宋体" w:cs="宋体"/>
                <w:color w:val="000000" w:themeColor="text1"/>
                <w:kern w:val="2"/>
                <w:szCs w:val="24"/>
                <w:highlight w:val="none"/>
                <w:lang w:bidi="ar"/>
                <w14:textFill>
                  <w14:solidFill>
                    <w14:schemeClr w14:val="tx1"/>
                  </w14:solidFill>
                </w14:textFill>
              </w:rPr>
            </w:pPr>
            <w:r>
              <w:rPr>
                <w:rFonts w:hint="eastAsia" w:ascii="Times New Roman" w:hAnsi="Times New Roman" w:eastAsia="宋体" w:cs="宋体"/>
                <w:color w:val="000000" w:themeColor="text1"/>
                <w:kern w:val="2"/>
                <w:szCs w:val="24"/>
                <w:highlight w:val="none"/>
                <w:lang w:bidi="ar"/>
                <w14:textFill>
                  <w14:solidFill>
                    <w14:schemeClr w14:val="tx1"/>
                  </w14:solidFill>
                </w14:textFill>
              </w:rPr>
              <w:fldChar w:fldCharType="begin"/>
            </w:r>
            <w:r>
              <w:rPr>
                <w:rFonts w:hint="eastAsia" w:ascii="Times New Roman" w:hAnsi="Times New Roman" w:eastAsia="宋体" w:cs="宋体"/>
                <w:color w:val="000000" w:themeColor="text1"/>
                <w:kern w:val="2"/>
                <w:szCs w:val="24"/>
                <w:highlight w:val="none"/>
                <w:lang w:bidi="ar"/>
                <w14:textFill>
                  <w14:solidFill>
                    <w14:schemeClr w14:val="tx1"/>
                  </w14:solidFill>
                </w14:textFill>
              </w:rPr>
              <w:instrText xml:space="preserve"> = 4 \* GB3 \* MERGEFORMAT </w:instrText>
            </w:r>
            <w:r>
              <w:rPr>
                <w:rFonts w:hint="eastAsia" w:ascii="Times New Roman" w:hAnsi="Times New Roman" w:eastAsia="宋体" w:cs="宋体"/>
                <w:color w:val="000000" w:themeColor="text1"/>
                <w:kern w:val="2"/>
                <w:szCs w:val="24"/>
                <w:highlight w:val="none"/>
                <w:lang w:bidi="ar"/>
                <w14:textFill>
                  <w14:solidFill>
                    <w14:schemeClr w14:val="tx1"/>
                  </w14:solidFill>
                </w14:textFill>
              </w:rPr>
              <w:fldChar w:fldCharType="separate"/>
            </w:r>
            <w:r>
              <w:rPr>
                <w:rFonts w:hint="eastAsia" w:ascii="Times New Roman" w:hAnsi="Times New Roman" w:eastAsia="宋体" w:cs="宋体"/>
                <w:color w:val="000000" w:themeColor="text1"/>
                <w:kern w:val="2"/>
                <w:szCs w:val="24"/>
                <w:highlight w:val="none"/>
                <w:lang w:bidi="ar"/>
                <w14:textFill>
                  <w14:solidFill>
                    <w14:schemeClr w14:val="tx1"/>
                  </w14:solidFill>
                </w14:textFill>
              </w:rPr>
              <w:t>④</w:t>
            </w:r>
            <w:r>
              <w:rPr>
                <w:rFonts w:hint="eastAsia" w:ascii="Times New Roman" w:hAnsi="Times New Roman" w:eastAsia="宋体" w:cs="宋体"/>
                <w:color w:val="000000" w:themeColor="text1"/>
                <w:kern w:val="2"/>
                <w:szCs w:val="24"/>
                <w:highlight w:val="none"/>
                <w:lang w:bidi="ar"/>
                <w14:textFill>
                  <w14:solidFill>
                    <w14:schemeClr w14:val="tx1"/>
                  </w14:solidFill>
                </w14:textFill>
              </w:rPr>
              <w:fldChar w:fldCharType="end"/>
            </w:r>
            <w:r>
              <w:rPr>
                <w:rFonts w:hint="eastAsia" w:ascii="Times New Roman" w:hAnsi="Times New Roman" w:eastAsia="宋体" w:cs="宋体"/>
                <w:color w:val="000000" w:themeColor="text1"/>
                <w:kern w:val="2"/>
                <w:szCs w:val="24"/>
                <w:highlight w:val="none"/>
                <w:lang w:bidi="ar"/>
                <w14:textFill>
                  <w14:solidFill>
                    <w14:schemeClr w14:val="tx1"/>
                  </w14:solidFill>
                </w14:textFill>
              </w:rPr>
              <w:t>加强固体废物规范化管理，建立全厂统一的固废分类收集、统一堆放场地制度，堆放场所远离办公区和周围环境敏感点。临时储存地点必须建有雨棚，不允许露天堆放，以防止雨水冲刷，雨水应通过场地四周导流渠流向雨水排放管；临时堆放场地为水泥铺设地面，以防渗漏。</w:t>
            </w:r>
          </w:p>
          <w:p w14:paraId="5875B87E">
            <w:pPr>
              <w:pStyle w:val="30"/>
              <w:widowControl w:val="0"/>
              <w:spacing w:before="0" w:beforeAutospacing="0" w:after="0" w:afterAutospacing="0" w:line="360" w:lineRule="auto"/>
              <w:ind w:firstLine="480" w:firstLineChars="200"/>
              <w:jc w:val="both"/>
              <w:rPr>
                <w:rFonts w:hint="eastAsia" w:ascii="Times New Roman" w:hAnsi="Times New Roman" w:eastAsia="宋体" w:cs="宋体"/>
                <w:color w:val="000000" w:themeColor="text1"/>
                <w:kern w:val="2"/>
                <w:szCs w:val="24"/>
                <w:highlight w:val="none"/>
                <w:lang w:bidi="ar"/>
                <w14:textFill>
                  <w14:solidFill>
                    <w14:schemeClr w14:val="tx1"/>
                  </w14:solidFill>
                </w14:textFill>
              </w:rPr>
            </w:pPr>
            <w:r>
              <w:rPr>
                <w:rFonts w:hint="eastAsia" w:ascii="Times New Roman" w:hAnsi="Times New Roman" w:eastAsia="宋体" w:cs="宋体"/>
                <w:color w:val="000000" w:themeColor="text1"/>
                <w:kern w:val="2"/>
                <w:szCs w:val="24"/>
                <w:highlight w:val="none"/>
                <w:lang w:bidi="ar"/>
                <w14:textFill>
                  <w14:solidFill>
                    <w14:schemeClr w14:val="tx1"/>
                  </w14:solidFill>
                </w14:textFill>
              </w:rPr>
              <w:fldChar w:fldCharType="begin"/>
            </w:r>
            <w:r>
              <w:rPr>
                <w:rFonts w:hint="eastAsia" w:ascii="Times New Roman" w:hAnsi="Times New Roman" w:eastAsia="宋体" w:cs="宋体"/>
                <w:color w:val="000000" w:themeColor="text1"/>
                <w:kern w:val="2"/>
                <w:szCs w:val="24"/>
                <w:highlight w:val="none"/>
                <w:lang w:bidi="ar"/>
                <w14:textFill>
                  <w14:solidFill>
                    <w14:schemeClr w14:val="tx1"/>
                  </w14:solidFill>
                </w14:textFill>
              </w:rPr>
              <w:instrText xml:space="preserve"> = 5 \* GB3 \* MERGEFORMAT </w:instrText>
            </w:r>
            <w:r>
              <w:rPr>
                <w:rFonts w:hint="eastAsia" w:ascii="Times New Roman" w:hAnsi="Times New Roman" w:eastAsia="宋体" w:cs="宋体"/>
                <w:color w:val="000000" w:themeColor="text1"/>
                <w:kern w:val="2"/>
                <w:szCs w:val="24"/>
                <w:highlight w:val="none"/>
                <w:lang w:bidi="ar"/>
                <w14:textFill>
                  <w14:solidFill>
                    <w14:schemeClr w14:val="tx1"/>
                  </w14:solidFill>
                </w14:textFill>
              </w:rPr>
              <w:fldChar w:fldCharType="separate"/>
            </w:r>
            <w:r>
              <w:rPr>
                <w:rFonts w:hint="eastAsia" w:ascii="Times New Roman" w:hAnsi="Times New Roman" w:eastAsia="宋体" w:cs="宋体"/>
                <w:color w:val="000000" w:themeColor="text1"/>
                <w:kern w:val="2"/>
                <w:szCs w:val="24"/>
                <w:highlight w:val="none"/>
                <w:lang w:bidi="ar"/>
                <w14:textFill>
                  <w14:solidFill>
                    <w14:schemeClr w14:val="tx1"/>
                  </w14:solidFill>
                </w14:textFill>
              </w:rPr>
              <w:t>⑤</w:t>
            </w:r>
            <w:r>
              <w:rPr>
                <w:rFonts w:hint="eastAsia" w:ascii="Times New Roman" w:hAnsi="Times New Roman" w:eastAsia="宋体" w:cs="宋体"/>
                <w:color w:val="000000" w:themeColor="text1"/>
                <w:kern w:val="2"/>
                <w:szCs w:val="24"/>
                <w:highlight w:val="none"/>
                <w:lang w:bidi="ar"/>
                <w14:textFill>
                  <w14:solidFill>
                    <w14:schemeClr w14:val="tx1"/>
                  </w14:solidFill>
                </w14:textFill>
              </w:rPr>
              <w:fldChar w:fldCharType="end"/>
            </w:r>
            <w:r>
              <w:rPr>
                <w:rFonts w:hint="eastAsia" w:ascii="Times New Roman" w:hAnsi="Times New Roman" w:eastAsia="宋体" w:cs="宋体"/>
                <w:color w:val="000000" w:themeColor="text1"/>
                <w:kern w:val="2"/>
                <w:szCs w:val="24"/>
                <w:highlight w:val="none"/>
                <w:lang w:bidi="ar"/>
                <w14:textFill>
                  <w14:solidFill>
                    <w14:schemeClr w14:val="tx1"/>
                  </w14:solidFill>
                </w14:textFill>
              </w:rPr>
              <w:t>为加强管理监督，贮存场所地应按《</w:t>
            </w:r>
            <w:r>
              <w:rPr>
                <w:rFonts w:hint="eastAsia" w:cs="宋体"/>
                <w:color w:val="000000" w:themeColor="text1"/>
                <w:kern w:val="2"/>
                <w:szCs w:val="24"/>
                <w:highlight w:val="none"/>
                <w:lang w:eastAsia="zh-CN" w:bidi="ar"/>
                <w14:textFill>
                  <w14:solidFill>
                    <w14:schemeClr w14:val="tx1"/>
                  </w14:solidFill>
                </w14:textFill>
              </w:rPr>
              <w:t>环境保护图形标志 固体废物贮存（处置）场</w:t>
            </w:r>
            <w:r>
              <w:rPr>
                <w:rFonts w:hint="eastAsia" w:ascii="Times New Roman" w:hAnsi="Times New Roman" w:eastAsia="宋体" w:cs="宋体"/>
                <w:color w:val="000000" w:themeColor="text1"/>
                <w:kern w:val="2"/>
                <w:szCs w:val="24"/>
                <w:highlight w:val="none"/>
                <w:lang w:bidi="ar"/>
                <w14:textFill>
                  <w14:solidFill>
                    <w14:schemeClr w14:val="tx1"/>
                  </w14:solidFill>
                </w14:textFill>
              </w:rPr>
              <w:t>》（GB15562.2-1995）设置环境保护图形标志。</w:t>
            </w:r>
          </w:p>
          <w:p w14:paraId="723D7B72">
            <w:pPr>
              <w:pStyle w:val="30"/>
              <w:widowControl w:val="0"/>
              <w:spacing w:before="0" w:beforeAutospacing="0" w:after="0" w:afterAutospacing="0" w:line="360" w:lineRule="auto"/>
              <w:ind w:firstLine="480" w:firstLineChars="200"/>
              <w:jc w:val="both"/>
              <w:rPr>
                <w:rFonts w:hint="eastAsia" w:ascii="Times New Roman" w:hAnsi="Times New Roman" w:eastAsia="宋体" w:cs="宋体"/>
                <w:color w:val="000000" w:themeColor="text1"/>
                <w:kern w:val="2"/>
                <w:szCs w:val="24"/>
                <w:highlight w:val="none"/>
                <w:lang w:bidi="ar"/>
                <w14:textFill>
                  <w14:solidFill>
                    <w14:schemeClr w14:val="tx1"/>
                  </w14:solidFill>
                </w14:textFill>
              </w:rPr>
            </w:pPr>
            <w:r>
              <w:rPr>
                <w:rFonts w:hint="eastAsia" w:ascii="Times New Roman" w:hAnsi="Times New Roman" w:eastAsia="宋体" w:cs="宋体"/>
                <w:color w:val="000000" w:themeColor="text1"/>
                <w:kern w:val="2"/>
                <w:szCs w:val="24"/>
                <w:highlight w:val="none"/>
                <w:lang w:bidi="ar"/>
                <w14:textFill>
                  <w14:solidFill>
                    <w14:schemeClr w14:val="tx1"/>
                  </w14:solidFill>
                </w14:textFill>
              </w:rPr>
              <w:t>采取以上措施后一般固体废物对周边环境影响小，因此措施可行。</w:t>
            </w:r>
          </w:p>
          <w:p w14:paraId="6BAF8FBB">
            <w:pPr>
              <w:pStyle w:val="44"/>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综上分析，采取以上措施后，项目各项固体废物均可得到妥善处理，对周边环境影响较小。</w:t>
            </w:r>
          </w:p>
          <w:p w14:paraId="28546F46">
            <w:pPr>
              <w:pStyle w:val="3"/>
              <w:numPr>
                <w:ilvl w:val="1"/>
                <w:numId w:val="1"/>
              </w:numPr>
              <w:bidi w:val="0"/>
              <w:ind w:left="0" w:leftChars="0" w:firstLine="0" w:firstLineChars="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地下水、土壤</w:t>
            </w:r>
          </w:p>
          <w:p w14:paraId="53EAF6BA">
            <w:pPr>
              <w:pStyle w:val="44"/>
              <w:bidi w:val="0"/>
              <w:rPr>
                <w:rFonts w:hint="eastAsia"/>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根据项目工程分析，本项目生产废气主要为</w:t>
            </w:r>
            <w:r>
              <w:rPr>
                <w:rFonts w:hint="eastAsia"/>
                <w:color w:val="000000" w:themeColor="text1"/>
                <w:lang w:val="en-US" w:eastAsia="zh-CN"/>
                <w14:textFill>
                  <w14:solidFill>
                    <w14:schemeClr w14:val="tx1"/>
                  </w14:solidFill>
                </w14:textFill>
              </w:rPr>
              <w:t>颗粒物</w:t>
            </w:r>
            <w:r>
              <w:rPr>
                <w:rFonts w:hint="eastAsia"/>
                <w:color w:val="000000" w:themeColor="text1"/>
                <w14:textFill>
                  <w14:solidFill>
                    <w14:schemeClr w14:val="tx1"/>
                  </w14:solidFill>
                </w14:textFill>
              </w:rPr>
              <w:t>，基本无大气沉降影响。本项目无生产废水产生，采取有效的车间硬化防渗措施后，不存在对土壤、地下水环境造成污染的污染物和污染途径；厂界外500米范围内不涉及地下水集中式饮用水水源和热水、矿泉水、温泉等特殊地下水资源，项目可不开展地下水环境评价和土壤环境评价，不存在对地下水、土壤环境造成污染的污染源、污染物</w:t>
            </w:r>
            <w:r>
              <w:rPr>
                <w:rFonts w:hint="eastAsia"/>
                <w:color w:val="000000" w:themeColor="text1"/>
                <w:lang w:eastAsia="zh-CN"/>
                <w14:textFill>
                  <w14:solidFill>
                    <w14:schemeClr w14:val="tx1"/>
                  </w14:solidFill>
                </w14:textFill>
              </w:rPr>
              <w:t>。</w:t>
            </w:r>
          </w:p>
          <w:p w14:paraId="7129A017">
            <w:pPr>
              <w:pStyle w:val="3"/>
              <w:numPr>
                <w:ilvl w:val="1"/>
                <w:numId w:val="1"/>
              </w:numPr>
              <w:bidi w:val="0"/>
              <w:ind w:left="0" w:leftChars="0" w:firstLine="0" w:firstLineChars="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环境风险</w:t>
            </w:r>
          </w:p>
          <w:p w14:paraId="4C6F5194">
            <w:pPr>
              <w:pStyle w:val="4"/>
              <w:numPr>
                <w:ilvl w:val="2"/>
                <w:numId w:val="1"/>
              </w:numPr>
              <w:bidi w:val="0"/>
              <w:ind w:left="720" w:leftChars="0" w:hanging="720" w:firstLineChars="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环境风险识别</w:t>
            </w:r>
          </w:p>
          <w:p w14:paraId="09D8D1E7">
            <w:pPr>
              <w:pStyle w:val="118"/>
              <w:rPr>
                <w:rFonts w:ascii="Times New Roman" w:hAnsi="Times New Roman"/>
                <w:color w:val="000000" w:themeColor="text1"/>
                <w:kern w:val="0"/>
                <w:highlight w:val="none"/>
                <w:lang w:val="en-US" w:eastAsia="zh-CN"/>
                <w14:textFill>
                  <w14:solidFill>
                    <w14:schemeClr w14:val="tx1"/>
                  </w14:solidFill>
                </w14:textFill>
              </w:rPr>
            </w:pPr>
            <w:r>
              <w:rPr>
                <w:rFonts w:ascii="Times New Roman" w:hAnsi="Times New Roman"/>
                <w:color w:val="000000" w:themeColor="text1"/>
                <w:kern w:val="0"/>
                <w:highlight w:val="none"/>
                <w:lang w:val="en-US" w:eastAsia="zh-CN"/>
                <w14:textFill>
                  <w14:solidFill>
                    <w14:schemeClr w14:val="tx1"/>
                  </w14:solidFill>
                </w14:textFill>
              </w:rPr>
              <w:t>（1）风险识别范围</w:t>
            </w:r>
          </w:p>
          <w:p w14:paraId="0CF02C37">
            <w:pPr>
              <w:pStyle w:val="118"/>
              <w:rPr>
                <w:rFonts w:ascii="Times New Roman" w:hAnsi="Times New Roman"/>
                <w:color w:val="000000" w:themeColor="text1"/>
                <w:kern w:val="0"/>
                <w:highlight w:val="none"/>
                <w:lang w:val="en-US" w:eastAsia="zh-CN"/>
                <w14:textFill>
                  <w14:solidFill>
                    <w14:schemeClr w14:val="tx1"/>
                  </w14:solidFill>
                </w14:textFill>
              </w:rPr>
            </w:pPr>
            <w:bookmarkStart w:id="61" w:name="bookmark247"/>
            <w:bookmarkEnd w:id="61"/>
            <w:r>
              <w:rPr>
                <w:rFonts w:hint="eastAsia" w:ascii="Times New Roman" w:hAnsi="Times New Roman"/>
                <w:color w:val="000000" w:themeColor="text1"/>
                <w:kern w:val="0"/>
                <w:highlight w:val="none"/>
                <w:lang w:val="en-US" w:eastAsia="zh-CN"/>
                <w14:textFill>
                  <w14:solidFill>
                    <w14:schemeClr w14:val="tx1"/>
                  </w14:solidFill>
                </w14:textFill>
              </w:rPr>
              <w:t>①</w:t>
            </w:r>
            <w:r>
              <w:rPr>
                <w:rFonts w:ascii="Times New Roman" w:hAnsi="Times New Roman"/>
                <w:color w:val="000000" w:themeColor="text1"/>
                <w:kern w:val="0"/>
                <w:highlight w:val="none"/>
                <w:lang w:val="en-US" w:eastAsia="zh-CN"/>
                <w14:textFill>
                  <w14:solidFill>
                    <w14:schemeClr w14:val="tx1"/>
                  </w14:solidFill>
                </w14:textFill>
              </w:rPr>
              <w:t>本项目生产系统危险性识别包括主要生产装置、储运设施、公用工程和辅助生产设施，以及环境保护设施等。</w:t>
            </w:r>
          </w:p>
          <w:p w14:paraId="2B990A6B">
            <w:pPr>
              <w:pStyle w:val="118"/>
              <w:rPr>
                <w:rFonts w:ascii="Times New Roman" w:hAnsi="Times New Roman"/>
                <w:color w:val="000000" w:themeColor="text1"/>
                <w:kern w:val="0"/>
                <w:highlight w:val="none"/>
                <w:lang w:val="en-US" w:eastAsia="zh-CN"/>
                <w14:textFill>
                  <w14:solidFill>
                    <w14:schemeClr w14:val="tx1"/>
                  </w14:solidFill>
                </w14:textFill>
              </w:rPr>
            </w:pPr>
            <w:bookmarkStart w:id="62" w:name="bookmark248"/>
            <w:bookmarkEnd w:id="62"/>
            <w:r>
              <w:rPr>
                <w:rFonts w:hint="eastAsia" w:ascii="Times New Roman" w:hAnsi="Times New Roman"/>
                <w:color w:val="000000" w:themeColor="text1"/>
                <w:kern w:val="0"/>
                <w:highlight w:val="none"/>
                <w:lang w:val="en-US" w:eastAsia="zh-CN"/>
                <w14:textFill>
                  <w14:solidFill>
                    <w14:schemeClr w14:val="tx1"/>
                  </w14:solidFill>
                </w14:textFill>
              </w:rPr>
              <w:t>②</w:t>
            </w:r>
            <w:r>
              <w:rPr>
                <w:rFonts w:ascii="Times New Roman" w:hAnsi="Times New Roman"/>
                <w:color w:val="000000" w:themeColor="text1"/>
                <w:kern w:val="0"/>
                <w:highlight w:val="none"/>
                <w:lang w:val="en-US" w:eastAsia="zh-CN"/>
                <w14:textFill>
                  <w14:solidFill>
                    <w14:schemeClr w14:val="tx1"/>
                  </w14:solidFill>
                </w14:textFill>
              </w:rPr>
              <w:t>物质危险性识别包括主要原辅材料、中间产品、副产品、最终产品、污染物、火灾和爆炸伴生/次生物等。</w:t>
            </w:r>
          </w:p>
          <w:p w14:paraId="3271791F">
            <w:pPr>
              <w:pStyle w:val="118"/>
              <w:rPr>
                <w:rFonts w:ascii="Times New Roman" w:hAnsi="Times New Roman"/>
                <w:color w:val="000000" w:themeColor="text1"/>
                <w:kern w:val="0"/>
                <w:highlight w:val="none"/>
                <w:lang w:val="en-US" w:eastAsia="zh-CN"/>
                <w14:textFill>
                  <w14:solidFill>
                    <w14:schemeClr w14:val="tx1"/>
                  </w14:solidFill>
                </w14:textFill>
              </w:rPr>
            </w:pPr>
            <w:r>
              <w:rPr>
                <w:rFonts w:ascii="Times New Roman" w:hAnsi="Times New Roman"/>
                <w:color w:val="000000" w:themeColor="text1"/>
                <w:kern w:val="0"/>
                <w:highlight w:val="none"/>
                <w:lang w:val="en-US" w:eastAsia="zh-CN"/>
                <w14:textFill>
                  <w14:solidFill>
                    <w14:schemeClr w14:val="tx1"/>
                  </w14:solidFill>
                </w14:textFill>
              </w:rPr>
              <w:t>（2）风险识别类型</w:t>
            </w:r>
          </w:p>
          <w:p w14:paraId="76E979F8">
            <w:pPr>
              <w:pStyle w:val="118"/>
              <w:rPr>
                <w:rFonts w:ascii="Times New Roman" w:hAnsi="Times New Roman"/>
                <w:color w:val="000000" w:themeColor="text1"/>
                <w:kern w:val="0"/>
                <w:highlight w:val="none"/>
                <w:lang w:val="en-US" w:eastAsia="zh-CN"/>
                <w14:textFill>
                  <w14:solidFill>
                    <w14:schemeClr w14:val="tx1"/>
                  </w14:solidFill>
                </w14:textFill>
              </w:rPr>
            </w:pPr>
            <w:r>
              <w:rPr>
                <w:rFonts w:ascii="Times New Roman" w:hAnsi="Times New Roman"/>
                <w:color w:val="000000" w:themeColor="text1"/>
                <w:kern w:val="0"/>
                <w:highlight w:val="none"/>
                <w:lang w:val="en-US" w:eastAsia="zh-CN"/>
                <w14:textFill>
                  <w14:solidFill>
                    <w14:schemeClr w14:val="tx1"/>
                  </w14:solidFill>
                </w14:textFill>
              </w:rPr>
              <w:t>物质在使用及储存过程中可能发生的事故有机械破损、物体摔落、腐蚀性物质喷溅致残、有毒物质的泄漏引起火灾、爆炸、有毒物质排放等，其中后三种可能导致具有严重后果的危害。因此，本次环境风险评价的主要研究对象是：A</w:t>
            </w:r>
            <w:r>
              <w:rPr>
                <w:rFonts w:hint="eastAsia" w:ascii="Times New Roman" w:hAnsi="Times New Roman"/>
                <w:color w:val="000000" w:themeColor="text1"/>
                <w:kern w:val="0"/>
                <w:highlight w:val="none"/>
                <w:lang w:val="en-US" w:eastAsia="zh-CN"/>
                <w14:textFill>
                  <w14:solidFill>
                    <w14:schemeClr w14:val="tx1"/>
                  </w14:solidFill>
                </w14:textFill>
              </w:rPr>
              <w:t>.</w:t>
            </w:r>
            <w:r>
              <w:rPr>
                <w:rFonts w:ascii="Times New Roman" w:hAnsi="Times New Roman"/>
                <w:color w:val="000000" w:themeColor="text1"/>
                <w:kern w:val="0"/>
                <w:highlight w:val="none"/>
                <w:lang w:val="en-US" w:eastAsia="zh-CN"/>
                <w14:textFill>
                  <w14:solidFill>
                    <w14:schemeClr w14:val="tx1"/>
                  </w14:solidFill>
                </w14:textFill>
              </w:rPr>
              <w:t>火灾；B</w:t>
            </w:r>
            <w:r>
              <w:rPr>
                <w:rFonts w:hint="eastAsia" w:ascii="Times New Roman" w:hAnsi="Times New Roman"/>
                <w:color w:val="000000" w:themeColor="text1"/>
                <w:kern w:val="0"/>
                <w:highlight w:val="none"/>
                <w:lang w:val="en-US" w:eastAsia="zh-CN"/>
                <w14:textFill>
                  <w14:solidFill>
                    <w14:schemeClr w14:val="tx1"/>
                  </w14:solidFill>
                </w14:textFill>
              </w:rPr>
              <w:t>.</w:t>
            </w:r>
            <w:r>
              <w:rPr>
                <w:rFonts w:ascii="Times New Roman" w:hAnsi="Times New Roman"/>
                <w:color w:val="000000" w:themeColor="text1"/>
                <w:kern w:val="0"/>
                <w:highlight w:val="none"/>
                <w:lang w:val="en-US" w:eastAsia="zh-CN"/>
                <w14:textFill>
                  <w14:solidFill>
                    <w14:schemeClr w14:val="tx1"/>
                  </w14:solidFill>
                </w14:textFill>
              </w:rPr>
              <w:t>物质泄漏风险。</w:t>
            </w:r>
          </w:p>
          <w:p w14:paraId="0CCA7301">
            <w:pPr>
              <w:pStyle w:val="118"/>
              <w:rPr>
                <w:rFonts w:ascii="Times New Roman" w:hAnsi="Times New Roman"/>
                <w:color w:val="000000" w:themeColor="text1"/>
                <w:kern w:val="0"/>
                <w:highlight w:val="none"/>
                <w:lang w:val="en-US" w:eastAsia="zh-CN"/>
                <w14:textFill>
                  <w14:solidFill>
                    <w14:schemeClr w14:val="tx1"/>
                  </w14:solidFill>
                </w14:textFill>
              </w:rPr>
            </w:pPr>
            <w:r>
              <w:rPr>
                <w:rFonts w:ascii="Times New Roman" w:hAnsi="Times New Roman"/>
                <w:color w:val="000000" w:themeColor="text1"/>
                <w:kern w:val="0"/>
                <w:highlight w:val="none"/>
                <w:lang w:val="en-US" w:eastAsia="zh-CN"/>
                <w14:textFill>
                  <w14:solidFill>
                    <w14:schemeClr w14:val="tx1"/>
                  </w14:solidFill>
                </w14:textFill>
              </w:rPr>
              <w:t>（3）物质风险识别</w:t>
            </w:r>
          </w:p>
          <w:p w14:paraId="46493D1E">
            <w:pPr>
              <w:pStyle w:val="118"/>
              <w:rPr>
                <w:rFonts w:ascii="Times New Roman" w:hAnsi="Times New Roman"/>
                <w:color w:val="000000" w:themeColor="text1"/>
                <w:kern w:val="0"/>
                <w:highlight w:val="none"/>
                <w:lang w:val="en-US" w:eastAsia="zh-CN"/>
                <w14:textFill>
                  <w14:solidFill>
                    <w14:schemeClr w14:val="tx1"/>
                  </w14:solidFill>
                </w14:textFill>
              </w:rPr>
            </w:pPr>
            <w:r>
              <w:rPr>
                <w:rFonts w:ascii="Times New Roman" w:hAnsi="Times New Roman"/>
                <w:color w:val="000000" w:themeColor="text1"/>
                <w:kern w:val="0"/>
                <w:highlight w:val="none"/>
                <w:lang w:val="en-US" w:eastAsia="zh-CN"/>
                <w14:textFill>
                  <w14:solidFill>
                    <w14:schemeClr w14:val="tx1"/>
                  </w14:solidFill>
                </w14:textFill>
              </w:rPr>
              <w:t>根据《危险化学品重大危险源辨识》（GB18218-2018）表2和《建设项目环境风险评价技术导则》</w:t>
            </w:r>
            <w:r>
              <w:rPr>
                <w:rFonts w:hint="eastAsia" w:ascii="Times New Roman" w:hAnsi="Times New Roman"/>
                <w:color w:val="000000" w:themeColor="text1"/>
                <w:kern w:val="0"/>
                <w:highlight w:val="none"/>
                <w:lang w:val="en-US" w:eastAsia="zh-CN"/>
                <w14:textFill>
                  <w14:solidFill>
                    <w14:schemeClr w14:val="tx1"/>
                  </w14:solidFill>
                </w14:textFill>
              </w:rPr>
              <w:t>（</w:t>
            </w:r>
            <w:r>
              <w:rPr>
                <w:rFonts w:ascii="Times New Roman" w:hAnsi="Times New Roman"/>
                <w:color w:val="000000" w:themeColor="text1"/>
                <w:kern w:val="0"/>
                <w:highlight w:val="none"/>
                <w:lang w:val="en-US" w:eastAsia="zh-CN"/>
                <w14:textFill>
                  <w14:solidFill>
                    <w14:schemeClr w14:val="tx1"/>
                  </w14:solidFill>
                </w14:textFill>
              </w:rPr>
              <w:t>HJ169—2018</w:t>
            </w:r>
            <w:r>
              <w:rPr>
                <w:rFonts w:hint="eastAsia" w:ascii="Times New Roman" w:hAnsi="Times New Roman"/>
                <w:color w:val="000000" w:themeColor="text1"/>
                <w:kern w:val="0"/>
                <w:highlight w:val="none"/>
                <w:lang w:val="en-US" w:eastAsia="zh-CN"/>
                <w14:textFill>
                  <w14:solidFill>
                    <w14:schemeClr w14:val="tx1"/>
                  </w14:solidFill>
                </w14:textFill>
              </w:rPr>
              <w:t>）</w:t>
            </w:r>
            <w:r>
              <w:rPr>
                <w:rFonts w:ascii="Times New Roman" w:hAnsi="Times New Roman"/>
                <w:color w:val="000000" w:themeColor="text1"/>
                <w:kern w:val="0"/>
                <w:highlight w:val="none"/>
                <w:lang w:val="en-US" w:eastAsia="zh-CN"/>
                <w14:textFill>
                  <w14:solidFill>
                    <w14:schemeClr w14:val="tx1"/>
                  </w14:solidFill>
                </w14:textFill>
              </w:rPr>
              <w:t>附录B危险化学品的临界量，项目物质危险性识别结果见表4.</w:t>
            </w:r>
            <w:r>
              <w:rPr>
                <w:rFonts w:hint="eastAsia" w:ascii="Times New Roman" w:hAnsi="Times New Roman"/>
                <w:color w:val="000000" w:themeColor="text1"/>
                <w:kern w:val="0"/>
                <w:highlight w:val="none"/>
                <w:lang w:val="en-US" w:eastAsia="zh-CN"/>
                <w14:textFill>
                  <w14:solidFill>
                    <w14:schemeClr w14:val="tx1"/>
                  </w14:solidFill>
                </w14:textFill>
              </w:rPr>
              <w:t>7</w:t>
            </w:r>
            <w:r>
              <w:rPr>
                <w:rFonts w:ascii="Times New Roman" w:hAnsi="Times New Roman"/>
                <w:color w:val="000000" w:themeColor="text1"/>
                <w:kern w:val="0"/>
                <w:highlight w:val="none"/>
                <w:lang w:val="en-US" w:eastAsia="zh-CN"/>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2</w:t>
            </w:r>
            <w:r>
              <w:rPr>
                <w:rFonts w:ascii="Times New Roman" w:hAnsi="Times New Roman"/>
                <w:color w:val="000000" w:themeColor="text1"/>
                <w:kern w:val="0"/>
                <w:highlight w:val="none"/>
                <w:lang w:val="en-US" w:eastAsia="zh-CN"/>
                <w14:textFill>
                  <w14:solidFill>
                    <w14:schemeClr w14:val="tx1"/>
                  </w14:solidFill>
                </w14:textFill>
              </w:rPr>
              <w:t>。</w:t>
            </w:r>
          </w:p>
          <w:p w14:paraId="4D8EECA8">
            <w:pPr>
              <w:pStyle w:val="42"/>
              <w:keepNext/>
              <w:keepLines/>
              <w:pageBreakBefore w:val="0"/>
              <w:widowControl w:val="0"/>
              <w:numPr>
                <w:ilvl w:val="7"/>
                <w:numId w:val="10"/>
              </w:numPr>
              <w:tabs>
                <w:tab w:val="left" w:pos="0"/>
              </w:tabs>
              <w:kinsoku/>
              <w:wordWrap/>
              <w:overflowPunct/>
              <w:topLinePunct w:val="0"/>
              <w:autoSpaceDE/>
              <w:autoSpaceDN/>
              <w:bidi w:val="0"/>
              <w:adjustRightInd/>
              <w:snapToGrid/>
              <w:spacing w:before="0" w:after="0"/>
              <w:ind w:left="630" w:leftChars="0" w:firstLineChars="0"/>
              <w:jc w:val="center"/>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危险性判定表</w:t>
            </w:r>
          </w:p>
          <w:tbl>
            <w:tblPr>
              <w:tblStyle w:val="32"/>
              <w:tblW w:w="8726"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Layout w:type="autofit"/>
              <w:tblCellMar>
                <w:top w:w="0" w:type="dxa"/>
                <w:left w:w="28" w:type="dxa"/>
                <w:bottom w:w="0" w:type="dxa"/>
                <w:right w:w="28" w:type="dxa"/>
              </w:tblCellMar>
            </w:tblPr>
            <w:tblGrid>
              <w:gridCol w:w="2546"/>
              <w:gridCol w:w="2435"/>
              <w:gridCol w:w="1841"/>
              <w:gridCol w:w="1904"/>
            </w:tblGrid>
            <w:tr w14:paraId="36C5160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51" w:hRule="atLeast"/>
                <w:jc w:val="center"/>
              </w:trPr>
              <w:tc>
                <w:tcPr>
                  <w:tcW w:w="2546" w:type="dxa"/>
                  <w:tcBorders>
                    <w:tl2br w:val="nil"/>
                    <w:tr2bl w:val="nil"/>
                  </w:tcBorders>
                  <w:shd w:val="clear" w:color="auto" w:fill="auto"/>
                  <w:noWrap w:val="0"/>
                  <w:vAlign w:val="center"/>
                </w:tcPr>
                <w:p w14:paraId="2B0639C9">
                  <w:pPr>
                    <w:pStyle w:val="120"/>
                    <w:adjustRightInd w:val="0"/>
                    <w:snapToGrid w:val="0"/>
                    <w:spacing w:after="0" w:line="240" w:lineRule="auto"/>
                    <w:ind w:firstLine="0"/>
                    <w:jc w:val="center"/>
                    <w:rPr>
                      <w:rFonts w:ascii="Times New Roman" w:hAnsi="Times New Roman" w:cs="Times New Roman"/>
                      <w:b w:val="0"/>
                      <w:bCs w:val="0"/>
                      <w:color w:val="000000" w:themeColor="text1"/>
                      <w:sz w:val="21"/>
                      <w:szCs w:val="21"/>
                      <w:highlight w:val="none"/>
                      <w14:textFill>
                        <w14:solidFill>
                          <w14:schemeClr w14:val="tx1"/>
                        </w14:solidFill>
                      </w14:textFill>
                    </w:rPr>
                  </w:pPr>
                  <w:r>
                    <w:rPr>
                      <w:rFonts w:ascii="Times New Roman" w:hAnsi="Times New Roman" w:cs="Times New Roman"/>
                      <w:b w:val="0"/>
                      <w:bCs w:val="0"/>
                      <w:color w:val="000000" w:themeColor="text1"/>
                      <w:sz w:val="21"/>
                      <w:szCs w:val="21"/>
                      <w:highlight w:val="none"/>
                      <w14:textFill>
                        <w14:solidFill>
                          <w14:schemeClr w14:val="tx1"/>
                        </w14:solidFill>
                      </w14:textFill>
                    </w:rPr>
                    <w:t>物质名称</w:t>
                  </w:r>
                </w:p>
              </w:tc>
              <w:tc>
                <w:tcPr>
                  <w:tcW w:w="2435" w:type="dxa"/>
                  <w:tcBorders>
                    <w:tl2br w:val="nil"/>
                    <w:tr2bl w:val="nil"/>
                  </w:tcBorders>
                  <w:shd w:val="clear" w:color="auto" w:fill="auto"/>
                  <w:noWrap w:val="0"/>
                  <w:vAlign w:val="center"/>
                </w:tcPr>
                <w:p w14:paraId="068D6893">
                  <w:pPr>
                    <w:pStyle w:val="120"/>
                    <w:adjustRightInd w:val="0"/>
                    <w:snapToGrid w:val="0"/>
                    <w:spacing w:after="0" w:line="240" w:lineRule="auto"/>
                    <w:ind w:firstLine="0"/>
                    <w:jc w:val="center"/>
                    <w:rPr>
                      <w:rFonts w:ascii="Times New Roman" w:hAnsi="Times New Roman" w:cs="Times New Roman"/>
                      <w:b w:val="0"/>
                      <w:bCs w:val="0"/>
                      <w:color w:val="000000" w:themeColor="text1"/>
                      <w:sz w:val="21"/>
                      <w:szCs w:val="21"/>
                      <w:highlight w:val="none"/>
                      <w14:textFill>
                        <w14:solidFill>
                          <w14:schemeClr w14:val="tx1"/>
                        </w14:solidFill>
                      </w14:textFill>
                    </w:rPr>
                  </w:pPr>
                  <w:r>
                    <w:rPr>
                      <w:rFonts w:ascii="Times New Roman" w:hAnsi="Times New Roman" w:cs="Times New Roman"/>
                      <w:b w:val="0"/>
                      <w:bCs w:val="0"/>
                      <w:color w:val="000000" w:themeColor="text1"/>
                      <w:sz w:val="21"/>
                      <w:szCs w:val="21"/>
                      <w:highlight w:val="none"/>
                      <w14:textFill>
                        <w14:solidFill>
                          <w14:schemeClr w14:val="tx1"/>
                        </w14:solidFill>
                      </w14:textFill>
                    </w:rPr>
                    <w:t>厂区最大</w:t>
                  </w: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储存</w:t>
                  </w:r>
                  <w:r>
                    <w:rPr>
                      <w:rFonts w:ascii="Times New Roman" w:hAnsi="Times New Roman" w:cs="Times New Roman"/>
                      <w:b w:val="0"/>
                      <w:bCs w:val="0"/>
                      <w:color w:val="000000" w:themeColor="text1"/>
                      <w:sz w:val="21"/>
                      <w:szCs w:val="21"/>
                      <w:highlight w:val="none"/>
                      <w14:textFill>
                        <w14:solidFill>
                          <w14:schemeClr w14:val="tx1"/>
                        </w14:solidFill>
                      </w14:textFill>
                    </w:rPr>
                    <w:t>量</w:t>
                  </w:r>
                  <w:r>
                    <w:rPr>
                      <w:rFonts w:ascii="Times New Roman" w:hAnsi="Times New Roman" w:cs="Times New Roman"/>
                      <w:b w:val="0"/>
                      <w:bCs w:val="0"/>
                      <w:color w:val="000000" w:themeColor="text1"/>
                      <w:sz w:val="21"/>
                      <w:szCs w:val="21"/>
                      <w:highlight w:val="none"/>
                      <w:lang w:val="en-US" w:eastAsia="zh-CN" w:bidi="en-US"/>
                      <w14:textFill>
                        <w14:solidFill>
                          <w14:schemeClr w14:val="tx1"/>
                        </w14:solidFill>
                      </w14:textFill>
                    </w:rPr>
                    <w:t>（t）</w:t>
                  </w:r>
                </w:p>
              </w:tc>
              <w:tc>
                <w:tcPr>
                  <w:tcW w:w="1841" w:type="dxa"/>
                  <w:tcBorders>
                    <w:tl2br w:val="nil"/>
                    <w:tr2bl w:val="nil"/>
                  </w:tcBorders>
                  <w:shd w:val="clear" w:color="auto" w:fill="auto"/>
                  <w:noWrap w:val="0"/>
                  <w:vAlign w:val="center"/>
                </w:tcPr>
                <w:p w14:paraId="13401976">
                  <w:pPr>
                    <w:pStyle w:val="120"/>
                    <w:adjustRightInd w:val="0"/>
                    <w:snapToGrid w:val="0"/>
                    <w:spacing w:after="0" w:line="240" w:lineRule="auto"/>
                    <w:ind w:firstLine="0"/>
                    <w:jc w:val="center"/>
                    <w:rPr>
                      <w:rFonts w:ascii="Times New Roman" w:hAnsi="Times New Roman" w:cs="Times New Roman"/>
                      <w:b w:val="0"/>
                      <w:bCs w:val="0"/>
                      <w:color w:val="000000" w:themeColor="text1"/>
                      <w:sz w:val="21"/>
                      <w:szCs w:val="21"/>
                      <w:highlight w:val="none"/>
                      <w14:textFill>
                        <w14:solidFill>
                          <w14:schemeClr w14:val="tx1"/>
                        </w14:solidFill>
                      </w14:textFill>
                    </w:rPr>
                  </w:pPr>
                  <w:r>
                    <w:rPr>
                      <w:rFonts w:ascii="Times New Roman" w:hAnsi="Times New Roman" w:cs="Times New Roman"/>
                      <w:b w:val="0"/>
                      <w:bCs w:val="0"/>
                      <w:color w:val="000000" w:themeColor="text1"/>
                      <w:sz w:val="21"/>
                      <w:szCs w:val="21"/>
                      <w:highlight w:val="none"/>
                      <w14:textFill>
                        <w14:solidFill>
                          <w14:schemeClr w14:val="tx1"/>
                        </w14:solidFill>
                      </w14:textFill>
                    </w:rPr>
                    <w:t>判别标准</w:t>
                  </w:r>
                  <w:r>
                    <w:rPr>
                      <w:rFonts w:ascii="Times New Roman" w:hAnsi="Times New Roman" w:cs="Times New Roman"/>
                      <w:b w:val="0"/>
                      <w:bCs w:val="0"/>
                      <w:color w:val="000000" w:themeColor="text1"/>
                      <w:sz w:val="21"/>
                      <w:szCs w:val="21"/>
                      <w:highlight w:val="none"/>
                      <w:lang w:val="en-US" w:eastAsia="zh-CN" w:bidi="en-US"/>
                      <w14:textFill>
                        <w14:solidFill>
                          <w14:schemeClr w14:val="tx1"/>
                        </w14:solidFill>
                      </w14:textFill>
                    </w:rPr>
                    <w:t>（t）</w:t>
                  </w:r>
                </w:p>
              </w:tc>
              <w:tc>
                <w:tcPr>
                  <w:tcW w:w="1904" w:type="dxa"/>
                  <w:tcBorders>
                    <w:tl2br w:val="nil"/>
                    <w:tr2bl w:val="nil"/>
                  </w:tcBorders>
                  <w:shd w:val="clear" w:color="auto" w:fill="auto"/>
                  <w:noWrap w:val="0"/>
                  <w:vAlign w:val="center"/>
                </w:tcPr>
                <w:p w14:paraId="194BD380">
                  <w:pPr>
                    <w:pStyle w:val="120"/>
                    <w:adjustRightInd w:val="0"/>
                    <w:snapToGrid w:val="0"/>
                    <w:spacing w:after="0" w:line="240" w:lineRule="auto"/>
                    <w:ind w:firstLine="0"/>
                    <w:jc w:val="center"/>
                    <w:rPr>
                      <w:rFonts w:ascii="Times New Roman" w:hAnsi="Times New Roman" w:cs="Times New Roman"/>
                      <w:b w:val="0"/>
                      <w:bCs w:val="0"/>
                      <w:color w:val="000000" w:themeColor="text1"/>
                      <w:sz w:val="21"/>
                      <w:szCs w:val="21"/>
                      <w:highlight w:val="none"/>
                      <w14:textFill>
                        <w14:solidFill>
                          <w14:schemeClr w14:val="tx1"/>
                        </w14:solidFill>
                      </w14:textFill>
                    </w:rPr>
                  </w:pPr>
                  <w:r>
                    <w:rPr>
                      <w:rFonts w:ascii="Times New Roman" w:hAnsi="Times New Roman" w:cs="Times New Roman"/>
                      <w:b w:val="0"/>
                      <w:bCs w:val="0"/>
                      <w:color w:val="000000" w:themeColor="text1"/>
                      <w:sz w:val="21"/>
                      <w:szCs w:val="21"/>
                      <w:highlight w:val="none"/>
                      <w:lang w:val="en-US" w:eastAsia="zh-CN" w:bidi="en-US"/>
                      <w14:textFill>
                        <w14:solidFill>
                          <w14:schemeClr w14:val="tx1"/>
                        </w14:solidFill>
                      </w14:textFill>
                    </w:rPr>
                    <w:t>Q</w:t>
                  </w:r>
                  <w:r>
                    <w:rPr>
                      <w:rFonts w:ascii="Times New Roman" w:hAnsi="Times New Roman" w:cs="Times New Roman"/>
                      <w:b w:val="0"/>
                      <w:bCs w:val="0"/>
                      <w:color w:val="000000" w:themeColor="text1"/>
                      <w:sz w:val="21"/>
                      <w:szCs w:val="21"/>
                      <w:highlight w:val="none"/>
                      <w14:textFill>
                        <w14:solidFill>
                          <w14:schemeClr w14:val="tx1"/>
                        </w14:solidFill>
                      </w14:textFill>
                    </w:rPr>
                    <w:t>值</w:t>
                  </w:r>
                </w:p>
              </w:tc>
            </w:tr>
            <w:tr w14:paraId="5D1538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80" w:hRule="atLeast"/>
                <w:jc w:val="center"/>
              </w:trPr>
              <w:tc>
                <w:tcPr>
                  <w:tcW w:w="2546" w:type="dxa"/>
                  <w:tcBorders>
                    <w:tl2br w:val="nil"/>
                    <w:tr2bl w:val="nil"/>
                  </w:tcBorders>
                  <w:shd w:val="clear" w:color="auto" w:fill="auto"/>
                  <w:noWrap w:val="0"/>
                  <w:vAlign w:val="center"/>
                </w:tcPr>
                <w:p w14:paraId="323D5F69">
                  <w:pPr>
                    <w:pStyle w:val="121"/>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highlight w:val="none"/>
                      <w:lang w:val="en-US"/>
                      <w14:textFill>
                        <w14:solidFill>
                          <w14:schemeClr w14:val="tx1"/>
                        </w14:solidFill>
                      </w14:textFill>
                    </w:rPr>
                    <w:t>废机油</w:t>
                  </w:r>
                </w:p>
              </w:tc>
              <w:tc>
                <w:tcPr>
                  <w:tcW w:w="2435" w:type="dxa"/>
                  <w:tcBorders>
                    <w:tl2br w:val="nil"/>
                    <w:tr2bl w:val="nil"/>
                  </w:tcBorders>
                  <w:shd w:val="clear" w:color="auto" w:fill="auto"/>
                  <w:noWrap w:val="0"/>
                  <w:vAlign w:val="center"/>
                </w:tcPr>
                <w:p w14:paraId="75AE9A50">
                  <w:pPr>
                    <w:pStyle w:val="121"/>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0.1</w:t>
                  </w:r>
                </w:p>
              </w:tc>
              <w:tc>
                <w:tcPr>
                  <w:tcW w:w="1841" w:type="dxa"/>
                  <w:tcBorders>
                    <w:tl2br w:val="nil"/>
                    <w:tr2bl w:val="nil"/>
                  </w:tcBorders>
                  <w:shd w:val="clear" w:color="auto" w:fill="auto"/>
                  <w:noWrap w:val="0"/>
                  <w:vAlign w:val="center"/>
                </w:tcPr>
                <w:p w14:paraId="0DD50EC8">
                  <w:pPr>
                    <w:pStyle w:val="120"/>
                    <w:adjustRightInd w:val="0"/>
                    <w:snapToGrid w:val="0"/>
                    <w:spacing w:after="0" w:line="240" w:lineRule="auto"/>
                    <w:ind w:firstLine="0"/>
                    <w:jc w:val="center"/>
                    <w:rPr>
                      <w:rFonts w:hint="eastAsia" w:ascii="Times New Roman" w:hAnsi="Times New Roman" w:cs="Times New Roman"/>
                      <w:color w:val="000000" w:themeColor="text1"/>
                      <w:sz w:val="21"/>
                      <w:szCs w:val="21"/>
                      <w:highlight w:val="none"/>
                      <w:lang w:val="en-US" w:eastAsia="zh-CN" w:bidi="en-US"/>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en-US"/>
                      <w14:textFill>
                        <w14:solidFill>
                          <w14:schemeClr w14:val="tx1"/>
                        </w14:solidFill>
                      </w14:textFill>
                    </w:rPr>
                    <w:t>2500</w:t>
                  </w:r>
                </w:p>
              </w:tc>
              <w:tc>
                <w:tcPr>
                  <w:tcW w:w="1904" w:type="dxa"/>
                  <w:tcBorders>
                    <w:tl2br w:val="nil"/>
                    <w:tr2bl w:val="nil"/>
                  </w:tcBorders>
                  <w:shd w:val="clear" w:color="auto" w:fill="auto"/>
                  <w:noWrap w:val="0"/>
                  <w:vAlign w:val="center"/>
                </w:tcPr>
                <w:p w14:paraId="7D2BD219">
                  <w:pPr>
                    <w:pStyle w:val="120"/>
                    <w:adjustRightInd w:val="0"/>
                    <w:snapToGrid w:val="0"/>
                    <w:spacing w:after="0" w:line="240" w:lineRule="auto"/>
                    <w:ind w:firstLine="0"/>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0.00004</w:t>
                  </w:r>
                </w:p>
              </w:tc>
            </w:tr>
            <w:tr w14:paraId="1DF9BE0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80" w:hRule="atLeast"/>
                <w:jc w:val="center"/>
              </w:trPr>
              <w:tc>
                <w:tcPr>
                  <w:tcW w:w="2546" w:type="dxa"/>
                  <w:tcBorders>
                    <w:tl2br w:val="nil"/>
                    <w:tr2bl w:val="nil"/>
                  </w:tcBorders>
                  <w:shd w:val="clear" w:color="auto" w:fill="auto"/>
                  <w:noWrap w:val="0"/>
                  <w:vAlign w:val="center"/>
                </w:tcPr>
                <w:p w14:paraId="27E2D5B1">
                  <w:pPr>
                    <w:pStyle w:val="121"/>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机油</w:t>
                  </w:r>
                </w:p>
              </w:tc>
              <w:tc>
                <w:tcPr>
                  <w:tcW w:w="2435" w:type="dxa"/>
                  <w:tcBorders>
                    <w:tl2br w:val="nil"/>
                    <w:tr2bl w:val="nil"/>
                  </w:tcBorders>
                  <w:shd w:val="clear" w:color="auto" w:fill="auto"/>
                  <w:noWrap w:val="0"/>
                  <w:vAlign w:val="center"/>
                </w:tcPr>
                <w:p w14:paraId="20C149A4">
                  <w:pPr>
                    <w:pStyle w:val="121"/>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0.1</w:t>
                  </w:r>
                </w:p>
              </w:tc>
              <w:tc>
                <w:tcPr>
                  <w:tcW w:w="1841" w:type="dxa"/>
                  <w:tcBorders>
                    <w:tl2br w:val="nil"/>
                    <w:tr2bl w:val="nil"/>
                  </w:tcBorders>
                  <w:shd w:val="clear" w:color="auto" w:fill="auto"/>
                  <w:noWrap w:val="0"/>
                  <w:vAlign w:val="center"/>
                </w:tcPr>
                <w:p w14:paraId="05A44FDF">
                  <w:pPr>
                    <w:pStyle w:val="120"/>
                    <w:adjustRightInd w:val="0"/>
                    <w:snapToGrid w:val="0"/>
                    <w:spacing w:after="0" w:line="240" w:lineRule="auto"/>
                    <w:ind w:firstLine="0"/>
                    <w:jc w:val="center"/>
                    <w:rPr>
                      <w:rFonts w:hint="eastAsia" w:ascii="Times New Roman" w:hAnsi="Times New Roman" w:cs="Times New Roman"/>
                      <w:color w:val="000000" w:themeColor="text1"/>
                      <w:sz w:val="21"/>
                      <w:szCs w:val="21"/>
                      <w:highlight w:val="none"/>
                      <w:lang w:val="en-US" w:eastAsia="zh-CN" w:bidi="en-US"/>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en-US"/>
                      <w14:textFill>
                        <w14:solidFill>
                          <w14:schemeClr w14:val="tx1"/>
                        </w14:solidFill>
                      </w14:textFill>
                    </w:rPr>
                    <w:t>2500</w:t>
                  </w:r>
                </w:p>
              </w:tc>
              <w:tc>
                <w:tcPr>
                  <w:tcW w:w="1904" w:type="dxa"/>
                  <w:tcBorders>
                    <w:tl2br w:val="nil"/>
                    <w:tr2bl w:val="nil"/>
                  </w:tcBorders>
                  <w:shd w:val="clear" w:color="auto" w:fill="auto"/>
                  <w:noWrap w:val="0"/>
                  <w:vAlign w:val="center"/>
                </w:tcPr>
                <w:p w14:paraId="1E1A47AE">
                  <w:pPr>
                    <w:pStyle w:val="120"/>
                    <w:adjustRightInd w:val="0"/>
                    <w:snapToGrid w:val="0"/>
                    <w:spacing w:after="0" w:line="240" w:lineRule="auto"/>
                    <w:ind w:firstLine="0"/>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0.00004</w:t>
                  </w:r>
                </w:p>
              </w:tc>
            </w:tr>
            <w:tr w14:paraId="7A514A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09" w:hRule="atLeast"/>
                <w:jc w:val="center"/>
              </w:trPr>
              <w:tc>
                <w:tcPr>
                  <w:tcW w:w="6822" w:type="dxa"/>
                  <w:gridSpan w:val="3"/>
                  <w:tcBorders>
                    <w:tl2br w:val="nil"/>
                    <w:tr2bl w:val="nil"/>
                  </w:tcBorders>
                  <w:shd w:val="clear" w:color="auto" w:fill="auto"/>
                  <w:noWrap w:val="0"/>
                  <w:vAlign w:val="center"/>
                </w:tcPr>
                <w:p w14:paraId="0E116815">
                  <w:pPr>
                    <w:pStyle w:val="120"/>
                    <w:adjustRightInd w:val="0"/>
                    <w:snapToGrid w:val="0"/>
                    <w:spacing w:after="0" w:line="240" w:lineRule="auto"/>
                    <w:ind w:firstLine="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合计</w:t>
                  </w:r>
                </w:p>
              </w:tc>
              <w:tc>
                <w:tcPr>
                  <w:tcW w:w="1904" w:type="dxa"/>
                  <w:tcBorders>
                    <w:tl2br w:val="nil"/>
                    <w:tr2bl w:val="nil"/>
                  </w:tcBorders>
                  <w:shd w:val="clear" w:color="auto" w:fill="auto"/>
                  <w:noWrap w:val="0"/>
                  <w:vAlign w:val="center"/>
                </w:tcPr>
                <w:p w14:paraId="5E0D52CD">
                  <w:pPr>
                    <w:pStyle w:val="120"/>
                    <w:adjustRightInd w:val="0"/>
                    <w:snapToGrid w:val="0"/>
                    <w:spacing w:after="0" w:line="240" w:lineRule="auto"/>
                    <w:ind w:firstLine="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0.00008</w:t>
                  </w:r>
                </w:p>
              </w:tc>
            </w:tr>
          </w:tbl>
          <w:p w14:paraId="5C93964A">
            <w:pPr>
              <w:pStyle w:val="118"/>
              <w:rPr>
                <w:rFonts w:ascii="Times New Roman" w:hAnsi="Times New Roman"/>
                <w:color w:val="000000" w:themeColor="text1"/>
                <w:highlight w:val="none"/>
                <w:lang w:val="en-US" w:eastAsia="zh-CN"/>
                <w14:textFill>
                  <w14:solidFill>
                    <w14:schemeClr w14:val="tx1"/>
                  </w14:solidFill>
                </w14:textFill>
              </w:rPr>
            </w:pPr>
            <w:r>
              <w:rPr>
                <w:rFonts w:ascii="Times New Roman" w:hAnsi="Times New Roman"/>
                <w:color w:val="000000" w:themeColor="text1"/>
                <w:kern w:val="0"/>
                <w:highlight w:val="none"/>
                <w:lang w:val="en-US" w:eastAsia="zh-CN"/>
                <w14:textFill>
                  <w14:solidFill>
                    <w14:schemeClr w14:val="tx1"/>
                  </w14:solidFill>
                </w14:textFill>
              </w:rPr>
              <w:t>根据上表</w:t>
            </w:r>
            <w:r>
              <w:rPr>
                <w:rFonts w:hint="eastAsia" w:ascii="Times New Roman" w:hAnsi="Times New Roman"/>
                <w:color w:val="000000" w:themeColor="text1"/>
                <w:kern w:val="0"/>
                <w:highlight w:val="none"/>
                <w:lang w:val="en-US" w:eastAsia="zh-CN"/>
                <w14:textFill>
                  <w14:solidFill>
                    <w14:schemeClr w14:val="tx1"/>
                  </w14:solidFill>
                </w14:textFill>
              </w:rPr>
              <w:t>计算</w:t>
            </w:r>
            <w:r>
              <w:rPr>
                <w:rFonts w:ascii="Times New Roman" w:hAnsi="Times New Roman"/>
                <w:color w:val="000000" w:themeColor="text1"/>
                <w:kern w:val="0"/>
                <w:highlight w:val="none"/>
                <w:lang w:val="en-US" w:eastAsia="zh-CN"/>
                <w14:textFill>
                  <w14:solidFill>
                    <w14:schemeClr w14:val="tx1"/>
                  </w14:solidFill>
                </w14:textFill>
              </w:rPr>
              <w:t>Q=</w:t>
            </w:r>
            <w:r>
              <w:rPr>
                <w:rFonts w:hint="eastAsia" w:ascii="Times New Roman" w:hAnsi="Times New Roman"/>
                <w:color w:val="000000" w:themeColor="text1"/>
                <w:kern w:val="0"/>
                <w:highlight w:val="none"/>
                <w:lang w:val="en-US" w:eastAsia="zh-CN"/>
                <w14:textFill>
                  <w14:solidFill>
                    <w14:schemeClr w14:val="tx1"/>
                  </w14:solidFill>
                </w14:textFill>
              </w:rPr>
              <w:t>0.00</w:t>
            </w:r>
            <w:r>
              <w:rPr>
                <w:rFonts w:hint="eastAsia"/>
                <w:color w:val="000000" w:themeColor="text1"/>
                <w:kern w:val="0"/>
                <w:highlight w:val="none"/>
                <w:lang w:val="en-US" w:eastAsia="zh-CN"/>
                <w14:textFill>
                  <w14:solidFill>
                    <w14:schemeClr w14:val="tx1"/>
                  </w14:solidFill>
                </w14:textFill>
              </w:rPr>
              <w:t>0</w:t>
            </w:r>
            <w:r>
              <w:rPr>
                <w:rFonts w:hint="eastAsia" w:ascii="Times New Roman" w:hAnsi="Times New Roman"/>
                <w:color w:val="000000" w:themeColor="text1"/>
                <w:kern w:val="0"/>
                <w:highlight w:val="none"/>
                <w:lang w:val="en-US" w:eastAsia="zh-CN"/>
                <w14:textFill>
                  <w14:solidFill>
                    <w14:schemeClr w14:val="tx1"/>
                  </w14:solidFill>
                </w14:textFill>
              </w:rPr>
              <w:t>08</w:t>
            </w:r>
            <w:r>
              <w:rPr>
                <w:rFonts w:ascii="Times New Roman" w:hAnsi="Times New Roman"/>
                <w:color w:val="000000" w:themeColor="text1"/>
                <w:kern w:val="0"/>
                <w:highlight w:val="none"/>
                <w:lang w:val="en-US" w:eastAsia="zh-CN"/>
                <w14:textFill>
                  <w14:solidFill>
                    <w14:schemeClr w14:val="tx1"/>
                  </w14:solidFill>
                </w14:textFill>
              </w:rPr>
              <w:t>&lt;1</w:t>
            </w:r>
            <w:r>
              <w:rPr>
                <w:rFonts w:hint="eastAsia" w:ascii="Times New Roman" w:hAnsi="Times New Roman"/>
                <w:color w:val="000000" w:themeColor="text1"/>
                <w:kern w:val="0"/>
                <w:highlight w:val="none"/>
                <w:lang w:val="en-US" w:eastAsia="zh-CN"/>
                <w14:textFill>
                  <w14:solidFill>
                    <w14:schemeClr w14:val="tx1"/>
                  </w14:solidFill>
                </w14:textFill>
              </w:rPr>
              <w:t>。因此</w:t>
            </w:r>
            <w:r>
              <w:rPr>
                <w:rFonts w:ascii="Times New Roman" w:hAnsi="Times New Roman"/>
                <w:color w:val="000000" w:themeColor="text1"/>
                <w:kern w:val="0"/>
                <w:highlight w:val="none"/>
                <w:lang w:val="en-US" w:eastAsia="zh-CN"/>
                <w14:textFill>
                  <w14:solidFill>
                    <w14:schemeClr w14:val="tx1"/>
                  </w14:solidFill>
                </w14:textFill>
              </w:rPr>
              <w:t>，项目环境风险潜势为I。</w:t>
            </w:r>
            <w:r>
              <w:rPr>
                <w:rFonts w:hint="eastAsia" w:ascii="Times New Roman" w:hAnsi="Times New Roman"/>
                <w:color w:val="000000" w:themeColor="text1"/>
                <w:kern w:val="0"/>
                <w:highlight w:val="none"/>
                <w:lang w:val="en-US" w:eastAsia="zh-CN"/>
                <w14:textFill>
                  <w14:solidFill>
                    <w14:schemeClr w14:val="tx1"/>
                  </w14:solidFill>
                </w14:textFill>
              </w:rPr>
              <w:t>根据《建设项目环境风险评价技术导则》（HJ169-2018）中关于环境风险评价工作等级划分表的判据，确定项目风险评价等级为简单分析。</w:t>
            </w:r>
          </w:p>
          <w:p w14:paraId="4493B2D4">
            <w:pPr>
              <w:pStyle w:val="4"/>
              <w:numPr>
                <w:ilvl w:val="2"/>
                <w:numId w:val="1"/>
              </w:numPr>
              <w:bidi w:val="0"/>
              <w:ind w:left="720" w:leftChars="0" w:hanging="720" w:firstLineChars="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环境风险影响分析及风险防范措施要求</w:t>
            </w:r>
          </w:p>
          <w:p w14:paraId="4BA5D623">
            <w:pPr>
              <w:pStyle w:val="118"/>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本项目环境风险主要来自火灾事故、助剂泄漏和废气事故排放，采取的环境风险防范措施如下：</w:t>
            </w:r>
          </w:p>
          <w:p w14:paraId="4C3FCF20">
            <w:pPr>
              <w:pStyle w:val="118"/>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（1）泄漏事故风险防范措施：</w:t>
            </w:r>
          </w:p>
          <w:p w14:paraId="63CB84F3">
            <w:pPr>
              <w:pStyle w:val="118"/>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①厂界四周设置导流沟，地面采取防渗，设置警示标识等。</w:t>
            </w:r>
          </w:p>
          <w:p w14:paraId="2371C360">
            <w:pPr>
              <w:pStyle w:val="118"/>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②严禁明火，严格遵守操作规程，避免因操作失误发生事故。</w:t>
            </w:r>
          </w:p>
          <w:p w14:paraId="1A8CED96">
            <w:pPr>
              <w:pStyle w:val="118"/>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③配备相应的堵漏材料(沙袋、吸油毡等)。</w:t>
            </w:r>
          </w:p>
          <w:p w14:paraId="679084CD">
            <w:pPr>
              <w:pStyle w:val="118"/>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（2）火灾事故风险防范措施</w:t>
            </w:r>
          </w:p>
          <w:p w14:paraId="49F8E817">
            <w:pPr>
              <w:pStyle w:val="118"/>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①加强消防设施和灭火器材的配备，严格落实有关消防技术规范的规定，加强人员疏散设施管理，保证疏散通道畅通。</w:t>
            </w:r>
          </w:p>
          <w:p w14:paraId="418AD4AF">
            <w:pPr>
              <w:pStyle w:val="118"/>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②定期进行防火安全检查，确保消防设施完整好用。</w:t>
            </w:r>
          </w:p>
          <w:p w14:paraId="3335C56C">
            <w:pPr>
              <w:pStyle w:val="118"/>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③公司要求职工应遵守各项规章制度，作业时要遵守各项规定要求，确保安全生产。</w:t>
            </w:r>
          </w:p>
          <w:p w14:paraId="4AE2BEB8">
            <w:pPr>
              <w:pStyle w:val="118"/>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④公司强化安全、消防和环保管理，完善环保安全管理机构，完善各项管理制度，加强日常监督检查；车间内严禁烟火。</w:t>
            </w:r>
          </w:p>
          <w:p w14:paraId="283C037A">
            <w:pPr>
              <w:pStyle w:val="118"/>
              <w:ind w:firstLine="48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（3）废气事故排放防范措施</w:t>
            </w:r>
          </w:p>
          <w:p w14:paraId="51BFFFA6">
            <w:pPr>
              <w:pStyle w:val="118"/>
              <w:ind w:firstLine="48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a.定期对废气处理设施从设备到输送管道、阀门部件等进行检修，发现问题及时解决。</w:t>
            </w:r>
          </w:p>
          <w:p w14:paraId="7873D1DC">
            <w:pPr>
              <w:pStyle w:val="118"/>
              <w:ind w:firstLine="48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b.各生产岗位制定严格的操作规程和注意事项，车间工人需熟悉工作流程，严格按操作规程进行运行控制，防止操作失误导致废气事故排放</w:t>
            </w:r>
            <w:r>
              <w:rPr>
                <w:rFonts w:hint="eastAsia"/>
                <w:color w:val="000000" w:themeColor="text1"/>
                <w:highlight w:val="none"/>
                <w:lang w:val="en-US" w:eastAsia="zh-CN"/>
                <w14:textFill>
                  <w14:solidFill>
                    <w14:schemeClr w14:val="tx1"/>
                  </w14:solidFill>
                </w14:textFill>
              </w:rPr>
              <w:t>。</w:t>
            </w:r>
          </w:p>
          <w:p w14:paraId="5BC97C3A">
            <w:pPr>
              <w:pStyle w:val="3"/>
              <w:numPr>
                <w:ilvl w:val="1"/>
                <w:numId w:val="1"/>
              </w:numPr>
              <w:bidi w:val="0"/>
              <w:ind w:left="0" w:leftChars="0" w:firstLine="0" w:firstLineChars="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排污</w:t>
            </w:r>
            <w:r>
              <w:rPr>
                <w:rFonts w:hint="eastAsia" w:ascii="Times New Roman" w:hAnsi="Times New Roman" w:eastAsia="宋体" w:cs="Times New Roman"/>
                <w:color w:val="000000" w:themeColor="text1"/>
                <w:highlight w:val="none"/>
                <w:lang w:val="en-US" w:eastAsia="zh-CN"/>
                <w14:textFill>
                  <w14:solidFill>
                    <w14:schemeClr w14:val="tx1"/>
                  </w14:solidFill>
                </w14:textFill>
              </w:rPr>
              <w:t>许可申报及排污</w:t>
            </w:r>
            <w:r>
              <w:rPr>
                <w:rFonts w:hint="default" w:ascii="Times New Roman" w:hAnsi="Times New Roman" w:eastAsia="宋体" w:cs="Times New Roman"/>
                <w:color w:val="000000" w:themeColor="text1"/>
                <w:highlight w:val="none"/>
                <w:lang w:val="en-US" w:eastAsia="zh-CN"/>
                <w14:textFill>
                  <w14:solidFill>
                    <w14:schemeClr w14:val="tx1"/>
                  </w14:solidFill>
                </w14:textFill>
              </w:rPr>
              <w:t>口规范化管理</w:t>
            </w:r>
          </w:p>
          <w:p w14:paraId="5EAC1FF5">
            <w:pPr>
              <w:pStyle w:val="4"/>
              <w:numPr>
                <w:ilvl w:val="2"/>
                <w:numId w:val="1"/>
              </w:numPr>
              <w:bidi w:val="0"/>
              <w:ind w:left="720" w:leftChars="0" w:hanging="720" w:firstLineChars="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申报要求</w:t>
            </w:r>
          </w:p>
          <w:p w14:paraId="49D8EFF3">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color w:val="000000" w:themeColor="text1"/>
                <w:sz w:val="24"/>
                <w:szCs w:val="24"/>
                <w:highlight w:val="none"/>
                <w:shd w:val="clear" w:color="auto" w:fill="auto"/>
                <w14:textFill>
                  <w14:solidFill>
                    <w14:schemeClr w14:val="tx1"/>
                  </w14:solidFill>
                </w14:textFill>
              </w:rPr>
              <w:t>《排污许可管理办法》生态环境部部令第32号</w:t>
            </w:r>
            <w:r>
              <w:rPr>
                <w:rFonts w:hint="eastAsia"/>
                <w:color w:val="000000" w:themeColor="text1"/>
                <w:sz w:val="24"/>
                <w:szCs w:val="24"/>
                <w:highlight w:val="none"/>
                <w:shd w:val="clear" w:color="auto" w:fill="auto"/>
                <w:lang w:eastAsia="zh-CN"/>
                <w14:textFill>
                  <w14:solidFill>
                    <w14:schemeClr w14:val="tx1"/>
                  </w14:solidFill>
                </w14:textFill>
              </w:rPr>
              <w:t>，</w:t>
            </w:r>
            <w:r>
              <w:rPr>
                <w:rFonts w:hint="eastAsia" w:ascii="Times New Roman" w:hAnsi="Times New Roman"/>
                <w:color w:val="000000" w:themeColor="text1"/>
                <w:sz w:val="24"/>
                <w:szCs w:val="24"/>
                <w:highlight w:val="none"/>
                <w:shd w:val="clear" w:color="auto" w:fill="auto"/>
                <w14:textFill>
                  <w14:solidFill>
                    <w14:schemeClr w14:val="tx1"/>
                  </w14:solidFill>
                </w14:textFill>
              </w:rPr>
              <w:t>2023年</w:t>
            </w:r>
            <w:r>
              <w:rPr>
                <w:rFonts w:hint="eastAsia"/>
                <w:color w:val="000000" w:themeColor="text1"/>
                <w:sz w:val="24"/>
                <w:szCs w:val="24"/>
                <w:highlight w:val="none"/>
                <w:shd w:val="clear" w:color="auto" w:fill="auto"/>
                <w:lang w:eastAsia="zh-CN"/>
                <w14:textFill>
                  <w14:solidFill>
                    <w14:schemeClr w14:val="tx1"/>
                  </w14:solidFill>
                </w14:textFill>
              </w:rPr>
              <w:t>4月1日</w:t>
            </w:r>
            <w:r>
              <w:rPr>
                <w:rFonts w:hint="eastAsia" w:ascii="Times New Roman" w:hAnsi="Times New Roman"/>
                <w:color w:val="000000" w:themeColor="text1"/>
                <w:sz w:val="24"/>
                <w:szCs w:val="24"/>
                <w:highlight w:val="none"/>
                <w:shd w:val="clear" w:color="auto" w:fill="auto"/>
                <w14:textFill>
                  <w14:solidFill>
                    <w14:schemeClr w14:val="tx1"/>
                  </w14:solidFill>
                </w14:textFill>
              </w:rPr>
              <w:t>公布，2024年7月1日起施行。企业应当按照规定的时限申请并取得排污许可证</w:t>
            </w:r>
            <w:r>
              <w:rPr>
                <w:rFonts w:hint="default" w:ascii="Times New Roman" w:hAnsi="Times New Roman" w:eastAsia="宋体" w:cs="Times New Roman"/>
                <w:color w:val="000000" w:themeColor="text1"/>
                <w:sz w:val="24"/>
                <w:szCs w:val="24"/>
                <w:highlight w:val="none"/>
                <w14:textFill>
                  <w14:solidFill>
                    <w14:schemeClr w14:val="tx1"/>
                  </w14:solidFill>
                </w14:textFill>
              </w:rPr>
              <w:t>。申请材料应当包括：</w:t>
            </w:r>
          </w:p>
          <w:p w14:paraId="7BD23368">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排污许可证申请表，主要内容包括：排污单位基本信息，主要生产设施、主要产品及产能、主要原辅材料，废气、废水等产排污环节和污染防治设施，申请的排放口位置和数量、排放方式、排放去向，按照排放口和生产设施或者车间申请的排放污染物种类、排放浓度和排放量，执行的排放标准；</w:t>
            </w:r>
          </w:p>
          <w:p w14:paraId="24B8A3C4">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自行监测方案，自行监测方案应当包括以下内容：监测点位及示意图、监测指标、监测频次；使用的监测分析方法、采样方法</w:t>
            </w:r>
          </w:p>
          <w:p w14:paraId="4B085C54">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由排污单位法定代表人或者主要负责人签字或者盖章的承诺书；</w:t>
            </w:r>
          </w:p>
          <w:p w14:paraId="25B0882F">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4</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排污单位有关排污口规范化的情况说明；</w:t>
            </w:r>
          </w:p>
          <w:p w14:paraId="2D2BFF9C">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5</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建设项目环境影响评价文件审批文号，或者按照有关国家规定经地方人民政府依法处理、整顿规范并符合要求的相关证明材料；</w:t>
            </w:r>
          </w:p>
          <w:p w14:paraId="0E22C295">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6</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排污许可证申请前信息公开情况说明表；</w:t>
            </w:r>
          </w:p>
          <w:p w14:paraId="55746077">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在填报排污许可证</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变更</w:t>
            </w:r>
            <w:r>
              <w:rPr>
                <w:rFonts w:hint="default" w:ascii="Times New Roman" w:hAnsi="Times New Roman" w:eastAsia="宋体" w:cs="Times New Roman"/>
                <w:color w:val="000000" w:themeColor="text1"/>
                <w:sz w:val="24"/>
                <w:szCs w:val="24"/>
                <w:highlight w:val="none"/>
                <w14:textFill>
                  <w14:solidFill>
                    <w14:schemeClr w14:val="tx1"/>
                  </w14:solidFill>
                </w14:textFill>
              </w:rPr>
              <w:t>申请时，应承诺排污许可证申请材料是完整、真实和合法的；承诺按照排污许可证的规定排放污染物，落实排污许可证规定的环境管理要求，并由法定代表人或者主要负责人签字或者盖章。</w:t>
            </w:r>
          </w:p>
          <w:p w14:paraId="78DF4D75">
            <w:pPr>
              <w:pStyle w:val="4"/>
              <w:numPr>
                <w:ilvl w:val="2"/>
                <w:numId w:val="1"/>
              </w:numPr>
              <w:bidi w:val="0"/>
              <w:ind w:left="720" w:leftChars="0" w:hanging="720" w:firstLineChars="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排污许可管理要求</w:t>
            </w:r>
          </w:p>
          <w:p w14:paraId="1A3F7A0C">
            <w:pPr>
              <w:spacing w:line="360" w:lineRule="auto"/>
              <w:ind w:firstLine="48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根据《固定污染源排污许可分类管理名录(2019年版)》(生态环境部第11号)可知，本项目实行排污许可登记管理(详见</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4.8</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因此，建设单位应在启动生产设施或者发生实际排污之前在全国排污许可证管理信息平台进行排污许可登记申报。</w:t>
            </w:r>
          </w:p>
          <w:p w14:paraId="0DE8DDB2">
            <w:pPr>
              <w:pStyle w:val="42"/>
              <w:keepNext/>
              <w:keepLines/>
              <w:pageBreakBefore w:val="0"/>
              <w:widowControl w:val="0"/>
              <w:numPr>
                <w:ilvl w:val="7"/>
                <w:numId w:val="10"/>
              </w:numPr>
              <w:tabs>
                <w:tab w:val="left" w:pos="0"/>
              </w:tabs>
              <w:kinsoku/>
              <w:wordWrap/>
              <w:overflowPunct/>
              <w:topLinePunct w:val="0"/>
              <w:autoSpaceDE/>
              <w:autoSpaceDN/>
              <w:bidi w:val="0"/>
              <w:adjustRightInd/>
              <w:snapToGrid/>
              <w:spacing w:before="0" w:after="0"/>
              <w:ind w:left="630" w:leftChars="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 xml:space="preserve"> 固定污染源排污许可分类管理名录(摘录)</w:t>
            </w:r>
          </w:p>
          <w:tbl>
            <w:tblPr>
              <w:tblStyle w:val="32"/>
              <w:tblW w:w="872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2090"/>
              <w:gridCol w:w="1635"/>
              <w:gridCol w:w="1545"/>
              <w:gridCol w:w="2849"/>
            </w:tblGrid>
            <w:tr w14:paraId="41ABFF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tcBorders>
                    <w:tl2br w:val="nil"/>
                    <w:tr2bl w:val="nil"/>
                  </w:tcBorders>
                  <w:shd w:val="clear" w:color="auto" w:fill="auto"/>
                  <w:noWrap w:val="0"/>
                  <w:vAlign w:val="center"/>
                </w:tcPr>
                <w:p w14:paraId="24FAF70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t>序号</w:t>
                  </w:r>
                </w:p>
              </w:tc>
              <w:tc>
                <w:tcPr>
                  <w:tcW w:w="2090" w:type="dxa"/>
                  <w:tcBorders>
                    <w:tl2br w:val="nil"/>
                    <w:tr2bl w:val="nil"/>
                  </w:tcBorders>
                  <w:shd w:val="clear" w:color="auto" w:fill="auto"/>
                  <w:noWrap w:val="0"/>
                  <w:vAlign w:val="center"/>
                </w:tcPr>
                <w:p w14:paraId="34B4E2A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t>行业类别</w:t>
                  </w:r>
                </w:p>
              </w:tc>
              <w:tc>
                <w:tcPr>
                  <w:tcW w:w="1635" w:type="dxa"/>
                  <w:tcBorders>
                    <w:tl2br w:val="nil"/>
                    <w:tr2bl w:val="nil"/>
                  </w:tcBorders>
                  <w:shd w:val="clear" w:color="auto" w:fill="auto"/>
                  <w:noWrap w:val="0"/>
                  <w:vAlign w:val="center"/>
                </w:tcPr>
                <w:p w14:paraId="17D595C9">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t>重点管理</w:t>
                  </w:r>
                </w:p>
              </w:tc>
              <w:tc>
                <w:tcPr>
                  <w:tcW w:w="1545" w:type="dxa"/>
                  <w:tcBorders>
                    <w:tl2br w:val="nil"/>
                    <w:tr2bl w:val="nil"/>
                  </w:tcBorders>
                  <w:shd w:val="clear" w:color="auto" w:fill="auto"/>
                  <w:noWrap w:val="0"/>
                  <w:vAlign w:val="center"/>
                </w:tcPr>
                <w:p w14:paraId="400BCAA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val="0"/>
                      <w:bCs w:val="0"/>
                      <w:color w:val="000000" w:themeColor="text1"/>
                      <w:kern w:val="2"/>
                      <w:sz w:val="21"/>
                      <w:szCs w:val="21"/>
                      <w:highlight w:val="none"/>
                      <w:u w:val="none"/>
                      <w:shd w:val="clear" w:color="auto" w:fill="auto"/>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shd w:val="clear" w:color="auto" w:fill="auto"/>
                      <w:lang w:val="en-US" w:eastAsia="zh-CN" w:bidi="ar-SA"/>
                      <w14:textFill>
                        <w14:solidFill>
                          <w14:schemeClr w14:val="tx1"/>
                        </w14:solidFill>
                      </w14:textFill>
                    </w:rPr>
                    <w:t>简化管理</w:t>
                  </w:r>
                </w:p>
              </w:tc>
              <w:tc>
                <w:tcPr>
                  <w:tcW w:w="2849" w:type="dxa"/>
                  <w:tcBorders>
                    <w:tl2br w:val="nil"/>
                    <w:tr2bl w:val="nil"/>
                  </w:tcBorders>
                  <w:shd w:val="clear" w:color="auto" w:fill="D7D7D7" w:themeFill="background1" w:themeFillShade="D8"/>
                  <w:noWrap w:val="0"/>
                  <w:vAlign w:val="center"/>
                </w:tcPr>
                <w:p w14:paraId="3009519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t>登记管理</w:t>
                  </w:r>
                </w:p>
              </w:tc>
            </w:tr>
            <w:tr w14:paraId="6F1E66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8726" w:type="dxa"/>
                  <w:gridSpan w:val="5"/>
                  <w:tcBorders>
                    <w:tl2br w:val="nil"/>
                    <w:tr2bl w:val="nil"/>
                  </w:tcBorders>
                  <w:shd w:val="clear" w:color="auto" w:fill="D7D7D7" w:themeFill="background1" w:themeFillShade="D8"/>
                  <w:noWrap w:val="0"/>
                  <w:vAlign w:val="center"/>
                </w:tcPr>
                <w:p w14:paraId="7B26AA3B">
                  <w:pPr>
                    <w:keepNext w:val="0"/>
                    <w:keepLines w:val="0"/>
                    <w:widowControl/>
                    <w:suppressLineNumbers w:val="0"/>
                    <w:jc w:val="center"/>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t>二十五、非金属矿物制品业 30</w:t>
                  </w:r>
                </w:p>
              </w:tc>
            </w:tr>
            <w:tr w14:paraId="5BD640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607" w:type="dxa"/>
                  <w:tcBorders>
                    <w:tl2br w:val="nil"/>
                    <w:tr2bl w:val="nil"/>
                  </w:tcBorders>
                  <w:shd w:val="clear" w:color="auto" w:fill="auto"/>
                  <w:noWrap w:val="0"/>
                  <w:vAlign w:val="center"/>
                </w:tcPr>
                <w:p w14:paraId="6343B7C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val="0"/>
                      <w:bCs w:val="0"/>
                      <w:smallCaps w:val="0"/>
                      <w:color w:val="000000" w:themeColor="text1"/>
                      <w:kern w:val="2"/>
                      <w:sz w:val="21"/>
                      <w:szCs w:val="21"/>
                      <w:highlight w:val="none"/>
                      <w:u w:val="none"/>
                      <w:shd w:val="clear" w:color="auto" w:fill="auto"/>
                      <w:lang w:val="en-US" w:eastAsia="zh-CN" w:bidi="ar-SA"/>
                      <w14:textFill>
                        <w14:solidFill>
                          <w14:schemeClr w14:val="tx1"/>
                        </w14:solidFill>
                      </w14:textFill>
                    </w:rPr>
                  </w:pPr>
                  <w:r>
                    <w:rPr>
                      <w:rFonts w:hint="eastAsia" w:cs="Times New Roman"/>
                      <w:b w:val="0"/>
                      <w:bCs w:val="0"/>
                      <w:smallCaps w:val="0"/>
                      <w:color w:val="000000" w:themeColor="text1"/>
                      <w:kern w:val="2"/>
                      <w:sz w:val="21"/>
                      <w:szCs w:val="21"/>
                      <w:highlight w:val="none"/>
                      <w:u w:val="none"/>
                      <w:shd w:val="clear" w:color="auto" w:fill="auto"/>
                      <w:lang w:val="en-US" w:eastAsia="zh-CN" w:bidi="ar-SA"/>
                      <w14:textFill>
                        <w14:solidFill>
                          <w14:schemeClr w14:val="tx1"/>
                        </w14:solidFill>
                      </w14:textFill>
                    </w:rPr>
                    <w:t>63</w:t>
                  </w:r>
                </w:p>
              </w:tc>
              <w:tc>
                <w:tcPr>
                  <w:tcW w:w="2090" w:type="dxa"/>
                  <w:tcBorders>
                    <w:tl2br w:val="nil"/>
                    <w:tr2bl w:val="nil"/>
                  </w:tcBorders>
                  <w:shd w:val="clear" w:color="auto" w:fill="auto"/>
                  <w:noWrap w:val="0"/>
                  <w:vAlign w:val="center"/>
                </w:tcPr>
                <w:p w14:paraId="415654E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val="0"/>
                      <w:bCs w:val="0"/>
                      <w:smallCaps w:val="0"/>
                      <w:color w:val="000000" w:themeColor="text1"/>
                      <w:kern w:val="2"/>
                      <w:sz w:val="21"/>
                      <w:szCs w:val="21"/>
                      <w:highlight w:val="none"/>
                      <w:u w:val="none"/>
                      <w:shd w:val="clear" w:color="auto" w:fill="auto"/>
                      <w:lang w:val="en-US" w:eastAsia="zh-CN" w:bidi="ar-SA"/>
                      <w14:textFill>
                        <w14:solidFill>
                          <w14:schemeClr w14:val="tx1"/>
                        </w14:solidFill>
                      </w14:textFill>
                    </w:rPr>
                  </w:pPr>
                  <w:r>
                    <w:rPr>
                      <w:rFonts w:hint="eastAsia"/>
                      <w:color w:val="000000" w:themeColor="text1"/>
                      <w:highlight w:val="none"/>
                      <w:lang w:eastAsia="zh-CN"/>
                      <w14:textFill>
                        <w14:solidFill>
                          <w14:schemeClr w14:val="tx1"/>
                        </w14:solidFill>
                      </w14:textFill>
                    </w:rPr>
                    <w:t>水泥、石灰和石膏制造 301，石膏、水泥制品及类似制品制造 302</w:t>
                  </w:r>
                </w:p>
              </w:tc>
              <w:tc>
                <w:tcPr>
                  <w:tcW w:w="1635" w:type="dxa"/>
                  <w:tcBorders>
                    <w:tl2br w:val="nil"/>
                    <w:tr2bl w:val="nil"/>
                  </w:tcBorders>
                  <w:shd w:val="clear" w:color="auto" w:fill="auto"/>
                  <w:noWrap w:val="0"/>
                  <w:vAlign w:val="center"/>
                </w:tcPr>
                <w:p w14:paraId="277076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t>水泥(熟料)制造</w:t>
                  </w:r>
                </w:p>
              </w:tc>
              <w:tc>
                <w:tcPr>
                  <w:tcW w:w="1545" w:type="dxa"/>
                  <w:tcBorders>
                    <w:tl2br w:val="nil"/>
                    <w:tr2bl w:val="nil"/>
                  </w:tcBorders>
                  <w:shd w:val="clear" w:color="auto" w:fill="auto"/>
                  <w:noWrap w:val="0"/>
                  <w:vAlign w:val="center"/>
                </w:tcPr>
                <w:p w14:paraId="65E4F1CA">
                  <w:pPr>
                    <w:keepNext w:val="0"/>
                    <w:keepLines w:val="0"/>
                    <w:widowControl/>
                    <w:suppressLineNumbers w:val="0"/>
                    <w:jc w:val="left"/>
                    <w:rPr>
                      <w:rFonts w:hint="default" w:ascii="Times New Roman" w:hAnsi="Times New Roman" w:eastAsia="宋体" w:cs="Times New Roman"/>
                      <w:b w:val="0"/>
                      <w:bCs w:val="0"/>
                      <w:color w:val="000000" w:themeColor="text1"/>
                      <w:kern w:val="2"/>
                      <w:sz w:val="21"/>
                      <w:szCs w:val="21"/>
                      <w:highlight w:val="none"/>
                      <w:u w:val="none"/>
                      <w:shd w:val="clear" w:color="auto" w:fill="auto"/>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shd w:val="clear" w:color="auto" w:fill="auto"/>
                      <w:lang w:val="en-US" w:eastAsia="zh-CN" w:bidi="ar-SA"/>
                      <w14:textFill>
                        <w14:solidFill>
                          <w14:schemeClr w14:val="tx1"/>
                        </w14:solidFill>
                      </w14:textFill>
                    </w:rPr>
                    <w:t>水泥粉磨站、石灰和</w:t>
                  </w:r>
                  <w:r>
                    <w:rPr>
                      <w:rFonts w:hint="eastAsia" w:cs="Times New Roman"/>
                      <w:b w:val="0"/>
                      <w:bCs w:val="0"/>
                      <w:color w:val="000000" w:themeColor="text1"/>
                      <w:kern w:val="2"/>
                      <w:sz w:val="21"/>
                      <w:szCs w:val="21"/>
                      <w:highlight w:val="none"/>
                      <w:u w:val="none"/>
                      <w:shd w:val="clear" w:color="auto" w:fill="auto"/>
                      <w:lang w:val="en-US" w:eastAsia="zh-CN" w:bidi="ar-SA"/>
                      <w14:textFill>
                        <w14:solidFill>
                          <w14:schemeClr w14:val="tx1"/>
                        </w14:solidFill>
                      </w14:textFill>
                    </w:rPr>
                    <w:t>石膏</w:t>
                  </w:r>
                  <w:r>
                    <w:rPr>
                      <w:rFonts w:hint="default" w:ascii="Times New Roman" w:hAnsi="Times New Roman" w:eastAsia="宋体" w:cs="Times New Roman"/>
                      <w:b w:val="0"/>
                      <w:bCs w:val="0"/>
                      <w:color w:val="000000" w:themeColor="text1"/>
                      <w:kern w:val="2"/>
                      <w:sz w:val="21"/>
                      <w:szCs w:val="21"/>
                      <w:highlight w:val="none"/>
                      <w:u w:val="none"/>
                      <w:shd w:val="clear" w:color="auto" w:fill="auto"/>
                      <w:lang w:val="en-US" w:eastAsia="zh-CN" w:bidi="ar-SA"/>
                      <w14:textFill>
                        <w14:solidFill>
                          <w14:schemeClr w14:val="tx1"/>
                        </w14:solidFill>
                      </w14:textFill>
                    </w:rPr>
                    <w:t>制造 3012</w:t>
                  </w:r>
                </w:p>
              </w:tc>
              <w:tc>
                <w:tcPr>
                  <w:tcW w:w="2849" w:type="dxa"/>
                  <w:tcBorders>
                    <w:tl2br w:val="nil"/>
                    <w:tr2bl w:val="nil"/>
                  </w:tcBorders>
                  <w:shd w:val="clear" w:color="auto" w:fill="D7D7D7" w:themeFill="background1" w:themeFillShade="D8"/>
                  <w:noWrap w:val="0"/>
                  <w:vAlign w:val="center"/>
                </w:tcPr>
                <w:p w14:paraId="7E928D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t>水泥制品制造3021，砼结构构件制造3022，石棉水泥制品制造3023，轻质建筑材料制造3024，其他水泥类似制品制造3029</w:t>
                  </w:r>
                </w:p>
              </w:tc>
            </w:tr>
          </w:tbl>
          <w:p w14:paraId="6525C174">
            <w:pPr>
              <w:pStyle w:val="3"/>
              <w:numPr>
                <w:ilvl w:val="1"/>
                <w:numId w:val="1"/>
              </w:numPr>
              <w:bidi w:val="0"/>
              <w:ind w:left="0" w:leftChars="0" w:firstLine="0" w:firstLineChars="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排污口规范化管理</w:t>
            </w:r>
          </w:p>
          <w:p w14:paraId="2479F7BC">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排污口规范化是实施污染物总量控制管理的基础工作，也是总量控制不可缺少的一项内容，排污口规范化对于污染源管理，现场监督检查，促进厂家企业强化环保管理，促进污染治理，实现科学化、定量化都有极大的现实意义。</w:t>
            </w:r>
          </w:p>
          <w:p w14:paraId="514B1531">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本</w:t>
            </w:r>
            <w:r>
              <w:rPr>
                <w:rFonts w:hint="default" w:ascii="Times New Roman" w:hAnsi="Times New Roman" w:eastAsia="宋体" w:cs="Times New Roman"/>
                <w:color w:val="000000" w:themeColor="text1"/>
                <w:sz w:val="24"/>
                <w:szCs w:val="24"/>
                <w:highlight w:val="none"/>
                <w14:textFill>
                  <w14:solidFill>
                    <w14:schemeClr w14:val="tx1"/>
                  </w14:solidFill>
                </w14:textFill>
              </w:rPr>
              <w:t>项目需规范的排污口主要有</w:t>
            </w:r>
            <w:r>
              <w:rPr>
                <w:rFonts w:hint="eastAsia" w:cs="Times New Roman"/>
                <w:color w:val="000000" w:themeColor="text1"/>
                <w:sz w:val="24"/>
                <w:szCs w:val="24"/>
                <w:highlight w:val="none"/>
                <w:lang w:val="en-US" w:eastAsia="zh-CN"/>
                <w14:textFill>
                  <w14:solidFill>
                    <w14:schemeClr w14:val="tx1"/>
                  </w14:solidFill>
                </w14:textFill>
              </w:rPr>
              <w:t>生活污水</w:t>
            </w:r>
            <w:r>
              <w:rPr>
                <w:rFonts w:hint="default" w:ascii="Times New Roman" w:hAnsi="Times New Roman" w:eastAsia="宋体" w:cs="Times New Roman"/>
                <w:color w:val="000000" w:themeColor="text1"/>
                <w:sz w:val="24"/>
                <w:szCs w:val="24"/>
                <w:highlight w:val="none"/>
                <w14:textFill>
                  <w14:solidFill>
                    <w14:schemeClr w14:val="tx1"/>
                  </w14:solidFill>
                </w14:textFill>
              </w:rPr>
              <w:t>排放口、废气排气筒、固废临时堆放点</w:t>
            </w:r>
            <w:r>
              <w:rPr>
                <w:rFonts w:hint="eastAsia" w:cs="Times New Roman"/>
                <w:color w:val="000000" w:themeColor="text1"/>
                <w:sz w:val="24"/>
                <w:szCs w:val="24"/>
                <w:highlight w:val="none"/>
                <w:lang w:val="en-US" w:eastAsia="zh-CN"/>
                <w14:textFill>
                  <w14:solidFill>
                    <w14:schemeClr w14:val="tx1"/>
                  </w14:solidFill>
                </w14:textFill>
              </w:rPr>
              <w:t>等</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5FA47580">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生活污水</w:t>
            </w:r>
            <w:r>
              <w:rPr>
                <w:rFonts w:hint="default" w:ascii="Times New Roman" w:hAnsi="Times New Roman" w:eastAsia="宋体" w:cs="Times New Roman"/>
                <w:color w:val="000000" w:themeColor="text1"/>
                <w:sz w:val="24"/>
                <w:szCs w:val="24"/>
                <w:highlight w:val="none"/>
                <w14:textFill>
                  <w14:solidFill>
                    <w14:schemeClr w14:val="tx1"/>
                  </w14:solidFill>
                </w14:textFill>
              </w:rPr>
              <w:t>排放口：本项目</w:t>
            </w:r>
            <w:r>
              <w:rPr>
                <w:rFonts w:hint="eastAsia" w:cs="Times New Roman"/>
                <w:color w:val="000000" w:themeColor="text1"/>
                <w:sz w:val="24"/>
                <w:szCs w:val="24"/>
                <w:highlight w:val="none"/>
                <w:lang w:val="en-US" w:eastAsia="zh-CN"/>
                <w14:textFill>
                  <w14:solidFill>
                    <w14:schemeClr w14:val="tx1"/>
                  </w14:solidFill>
                </w14:textFill>
              </w:rPr>
              <w:t>生活污水经化粪池处理后进入闽清县白金工业园区污水处理厂</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集中处理</w:t>
            </w:r>
            <w:r>
              <w:rPr>
                <w:rFonts w:hint="default" w:ascii="Times New Roman" w:hAnsi="Times New Roman" w:eastAsia="宋体" w:cs="Times New Roman"/>
                <w:color w:val="000000" w:themeColor="text1"/>
                <w:sz w:val="24"/>
                <w:szCs w:val="24"/>
                <w:highlight w:val="none"/>
                <w14:textFill>
                  <w14:solidFill>
                    <w14:schemeClr w14:val="tx1"/>
                  </w14:solidFill>
                </w14:textFill>
              </w:rPr>
              <w:t>。排污口设置符合对排污口的规范化的要求。具体有以下要求的内容：</w:t>
            </w:r>
          </w:p>
          <w:p w14:paraId="257AF61D">
            <w:pPr>
              <w:spacing w:line="360" w:lineRule="auto"/>
              <w:ind w:firstLine="48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A</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按《污水综合排放标准》(GB8978—1996)和《污水监测技术规范》（HJ 91.1-2019）的规定，在排污单位的排放口设置采样点。</w:t>
            </w:r>
          </w:p>
          <w:p w14:paraId="7C3AD2BC">
            <w:pPr>
              <w:spacing w:line="360" w:lineRule="auto"/>
              <w:ind w:firstLine="48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B</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应尽量安装污水流量计，堰槽式测流装置满足《</w:t>
            </w:r>
            <w:r>
              <w:rPr>
                <w:rFonts w:hint="eastAsia" w:cs="Times New Roman"/>
                <w:color w:val="000000" w:themeColor="text1"/>
                <w:sz w:val="24"/>
                <w:szCs w:val="24"/>
                <w:highlight w:val="none"/>
                <w:lang w:eastAsia="zh-CN"/>
                <w14:textFill>
                  <w14:solidFill>
                    <w14:schemeClr w14:val="tx1"/>
                  </w14:solidFill>
                </w14:textFill>
              </w:rPr>
              <w:t>明渠堰槽流量计（试行）检定规程</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》（JJG711-90）标准要求。</w:t>
            </w:r>
          </w:p>
          <w:p w14:paraId="44AADD63">
            <w:pPr>
              <w:spacing w:line="360" w:lineRule="auto"/>
              <w:ind w:firstLine="480" w:firstLineChars="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C</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废水排放口环境保护图形标志牌设在排放口附近醒目处。</w:t>
            </w:r>
          </w:p>
          <w:p w14:paraId="0A65E5B5">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（2）废气排放口：各烟囱或烟道应设置永久采样孔，并安装采样监测平台，废气采样口设置必须符合《</w:t>
            </w:r>
            <w:r>
              <w:rPr>
                <w:rFonts w:hint="eastAsia" w:ascii="Times New Roman" w:hAnsi="Times New Roman"/>
                <w:color w:val="000000" w:themeColor="text1"/>
                <w:sz w:val="24"/>
                <w:szCs w:val="24"/>
                <w:highlight w:val="none"/>
                <w14:textFill>
                  <w14:solidFill>
                    <w14:schemeClr w14:val="tx1"/>
                  </w14:solidFill>
                </w14:textFill>
              </w:rPr>
              <w:t>固定源废气监测技术规范</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ascii="Times New Roman" w:hAnsi="Times New Roman"/>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eastAsia="zh-CN"/>
                <w14:textFill>
                  <w14:solidFill>
                    <w14:schemeClr w14:val="tx1"/>
                  </w14:solidFill>
                </w14:textFill>
              </w:rPr>
              <w:t>HJ/T 397-2007</w:t>
            </w:r>
            <w:r>
              <w:rPr>
                <w:rFonts w:hint="eastAsia" w:ascii="Times New Roman" w:hAnsi="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规定的高度和要求，便于采样、监测的要求，并得到授权的环境监察支队和环境监测中心站共同确认。具体有以下要求的内容：</w:t>
            </w:r>
          </w:p>
          <w:p w14:paraId="79347D90">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A</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采样口位置原则上应避开烟道弯头和断面急剧变化的部位。对颗粒物采集或连续测定，应设置在距弯头、阀门、变径管下游方向不小于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highlight w:val="none"/>
                <w14:textFill>
                  <w14:solidFill>
                    <w14:schemeClr w14:val="tx1"/>
                  </w14:solidFill>
                </w14:textFill>
              </w:rPr>
              <w:t>倍直径，和距上述部件上游方向不小于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倍直径处；对气态污染物采集或连续测定，应设置在距弯头、阀门、变径管道下游方向不小于2倍直径处，和距上述部件上游方向不小于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sz w:val="24"/>
                <w:szCs w:val="24"/>
                <w:highlight w:val="none"/>
                <w14:textFill>
                  <w14:solidFill>
                    <w14:schemeClr w14:val="tx1"/>
                  </w14:solidFill>
                </w14:textFill>
              </w:rPr>
              <w:t>倍直径处。</w:t>
            </w:r>
          </w:p>
          <w:p w14:paraId="2FEBE98E">
            <w:pPr>
              <w:spacing w:line="360" w:lineRule="auto"/>
              <w:ind w:firstLine="48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B</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采样口径一般不少于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80</w:t>
            </w:r>
            <w:r>
              <w:rPr>
                <w:rFonts w:hint="default" w:ascii="Times New Roman" w:hAnsi="Times New Roman" w:eastAsia="宋体" w:cs="Times New Roman"/>
                <w:color w:val="000000" w:themeColor="text1"/>
                <w:sz w:val="24"/>
                <w:szCs w:val="24"/>
                <w:highlight w:val="none"/>
                <w14:textFill>
                  <w14:solidFill>
                    <w14:schemeClr w14:val="tx1"/>
                  </w14:solidFill>
                </w14:textFill>
              </w:rPr>
              <w:t>毫米。当采取有毒或变温气体且采样点烟道处于正压状态时，应加设防喷装置。烟气排放连续监测系统的采样口径应按产品说明书要求确定</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260D976A">
            <w:pPr>
              <w:spacing w:line="360" w:lineRule="auto"/>
              <w:ind w:firstLine="480"/>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C</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废气排放口的环境保护图形标志牌应设在排气筒附近地面醒目处</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463BAFAB">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（3）固定噪声排放源</w:t>
            </w:r>
          </w:p>
          <w:p w14:paraId="035D95B2">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按规定对固定噪声进行治理，并在边界噪声敏感点</w:t>
            </w:r>
            <w:r>
              <w:rPr>
                <w:rFonts w:hint="eastAsia" w:cs="Times New Roman"/>
                <w:color w:val="000000" w:themeColor="text1"/>
                <w:sz w:val="24"/>
                <w:szCs w:val="24"/>
                <w:highlight w:val="none"/>
                <w:lang w:eastAsia="zh-CN"/>
                <w14:textFill>
                  <w14:solidFill>
                    <w14:schemeClr w14:val="tx1"/>
                  </w14:solidFill>
                </w14:textFill>
              </w:rPr>
              <w:t>且</w:t>
            </w:r>
            <w:r>
              <w:rPr>
                <w:rFonts w:hint="default" w:ascii="Times New Roman" w:hAnsi="Times New Roman" w:eastAsia="宋体" w:cs="Times New Roman"/>
                <w:color w:val="000000" w:themeColor="text1"/>
                <w:sz w:val="24"/>
                <w:szCs w:val="24"/>
                <w:highlight w:val="none"/>
                <w14:textFill>
                  <w14:solidFill>
                    <w14:schemeClr w14:val="tx1"/>
                  </w14:solidFill>
                </w14:textFill>
              </w:rPr>
              <w:t>对外界影响最大处设置标志牌。</w:t>
            </w:r>
          </w:p>
          <w:p w14:paraId="10F72120">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（4）固体废物贮存处置</w:t>
            </w:r>
          </w:p>
          <w:p w14:paraId="7F3F9572">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对各种固体废物应分类收集，设置暂存点应有防扬尘、防流失、防渗漏等措施。</w:t>
            </w:r>
          </w:p>
          <w:p w14:paraId="2BB2002D">
            <w:pPr>
              <w:pStyle w:val="42"/>
              <w:keepNext/>
              <w:keepLines/>
              <w:pageBreakBefore w:val="0"/>
              <w:widowControl w:val="0"/>
              <w:numPr>
                <w:ilvl w:val="7"/>
                <w:numId w:val="10"/>
              </w:numPr>
              <w:tabs>
                <w:tab w:val="left" w:pos="0"/>
              </w:tabs>
              <w:kinsoku/>
              <w:wordWrap/>
              <w:overflowPunct/>
              <w:topLinePunct w:val="0"/>
              <w:autoSpaceDE/>
              <w:autoSpaceDN/>
              <w:bidi w:val="0"/>
              <w:adjustRightInd/>
              <w:snapToGrid/>
              <w:spacing w:before="0" w:after="0"/>
              <w:ind w:left="630" w:leftChars="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 xml:space="preserve"> 排放口图形标志</w:t>
            </w:r>
          </w:p>
          <w:tbl>
            <w:tblPr>
              <w:tblStyle w:val="32"/>
              <w:tblW w:w="864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1497"/>
              <w:gridCol w:w="1540"/>
              <w:gridCol w:w="1364"/>
              <w:gridCol w:w="1473"/>
              <w:gridCol w:w="1969"/>
            </w:tblGrid>
            <w:tr w14:paraId="1617BC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804" w:type="dxa"/>
                  <w:tcBorders>
                    <w:tl2br w:val="nil"/>
                    <w:tr2bl w:val="nil"/>
                  </w:tcBorders>
                  <w:noWrap w:val="0"/>
                  <w:tcMar>
                    <w:left w:w="28" w:type="dxa"/>
                    <w:right w:w="28" w:type="dxa"/>
                  </w:tcMar>
                  <w:vAlign w:val="center"/>
                </w:tcPr>
                <w:p w14:paraId="24C83CBD">
                  <w:pPr>
                    <w:spacing w:line="240" w:lineRule="auto"/>
                    <w:ind w:firstLine="0" w:firstLineChars="0"/>
                    <w:jc w:val="center"/>
                    <w:rPr>
                      <w:rFonts w:ascii="Times New Roman" w:hAnsi="Times New Roman"/>
                      <w:b/>
                      <w:bCs/>
                      <w:iCs/>
                      <w:color w:val="000000" w:themeColor="text1"/>
                      <w:sz w:val="21"/>
                      <w:szCs w:val="21"/>
                      <w:highlight w:val="none"/>
                      <w14:textFill>
                        <w14:solidFill>
                          <w14:schemeClr w14:val="tx1"/>
                        </w14:solidFill>
                      </w14:textFill>
                    </w:rPr>
                  </w:pPr>
                  <w:r>
                    <w:rPr>
                      <w:rFonts w:ascii="Times New Roman" w:hAnsi="Times New Roman"/>
                      <w:b/>
                      <w:bCs/>
                      <w:iCs/>
                      <w:color w:val="000000" w:themeColor="text1"/>
                      <w:sz w:val="21"/>
                      <w:szCs w:val="21"/>
                      <w:highlight w:val="none"/>
                      <w14:textFill>
                        <w14:solidFill>
                          <w14:schemeClr w14:val="tx1"/>
                        </w14:solidFill>
                      </w14:textFill>
                    </w:rPr>
                    <w:t>名称</w:t>
                  </w:r>
                </w:p>
              </w:tc>
              <w:tc>
                <w:tcPr>
                  <w:tcW w:w="1497" w:type="dxa"/>
                  <w:tcBorders>
                    <w:tl2br w:val="nil"/>
                    <w:tr2bl w:val="nil"/>
                  </w:tcBorders>
                  <w:noWrap w:val="0"/>
                  <w:tcMar>
                    <w:left w:w="28" w:type="dxa"/>
                    <w:right w:w="28" w:type="dxa"/>
                  </w:tcMar>
                  <w:vAlign w:val="center"/>
                </w:tcPr>
                <w:p w14:paraId="336914DB">
                  <w:pPr>
                    <w:spacing w:line="240" w:lineRule="auto"/>
                    <w:ind w:firstLine="0" w:firstLineChars="0"/>
                    <w:jc w:val="center"/>
                    <w:rPr>
                      <w:rFonts w:ascii="Times New Roman" w:hAnsi="Times New Roman"/>
                      <w:b/>
                      <w:bCs/>
                      <w:iCs/>
                      <w:color w:val="000000" w:themeColor="text1"/>
                      <w:sz w:val="21"/>
                      <w:szCs w:val="21"/>
                      <w:highlight w:val="none"/>
                      <w14:textFill>
                        <w14:solidFill>
                          <w14:schemeClr w14:val="tx1"/>
                        </w14:solidFill>
                      </w14:textFill>
                    </w:rPr>
                  </w:pPr>
                  <w:r>
                    <w:rPr>
                      <w:rFonts w:ascii="Times New Roman" w:hAnsi="Times New Roman"/>
                      <w:b/>
                      <w:bCs/>
                      <w:iCs/>
                      <w:color w:val="000000" w:themeColor="text1"/>
                      <w:sz w:val="21"/>
                      <w:szCs w:val="21"/>
                      <w:highlight w:val="none"/>
                      <w14:textFill>
                        <w14:solidFill>
                          <w14:schemeClr w14:val="tx1"/>
                        </w14:solidFill>
                      </w14:textFill>
                    </w:rPr>
                    <w:t>废气排放口</w:t>
                  </w:r>
                </w:p>
              </w:tc>
              <w:tc>
                <w:tcPr>
                  <w:tcW w:w="1540" w:type="dxa"/>
                  <w:tcBorders>
                    <w:tl2br w:val="nil"/>
                    <w:tr2bl w:val="nil"/>
                  </w:tcBorders>
                  <w:noWrap w:val="0"/>
                  <w:tcMar>
                    <w:left w:w="28" w:type="dxa"/>
                    <w:right w:w="28" w:type="dxa"/>
                  </w:tcMar>
                  <w:vAlign w:val="center"/>
                </w:tcPr>
                <w:p w14:paraId="5A947AB6">
                  <w:pPr>
                    <w:spacing w:line="240" w:lineRule="auto"/>
                    <w:ind w:firstLine="0" w:firstLineChars="0"/>
                    <w:jc w:val="center"/>
                    <w:rPr>
                      <w:rFonts w:ascii="Times New Roman" w:hAnsi="Times New Roman"/>
                      <w:b/>
                      <w:bCs/>
                      <w:iCs/>
                      <w:color w:val="000000" w:themeColor="text1"/>
                      <w:sz w:val="21"/>
                      <w:szCs w:val="21"/>
                      <w:highlight w:val="none"/>
                      <w14:textFill>
                        <w14:solidFill>
                          <w14:schemeClr w14:val="tx1"/>
                        </w14:solidFill>
                      </w14:textFill>
                    </w:rPr>
                  </w:pPr>
                  <w:r>
                    <w:rPr>
                      <w:rFonts w:ascii="Times New Roman" w:hAnsi="Times New Roman"/>
                      <w:b/>
                      <w:bCs/>
                      <w:iCs/>
                      <w:color w:val="000000" w:themeColor="text1"/>
                      <w:sz w:val="21"/>
                      <w:szCs w:val="21"/>
                      <w:highlight w:val="none"/>
                      <w14:textFill>
                        <w14:solidFill>
                          <w14:schemeClr w14:val="tx1"/>
                        </w14:solidFill>
                      </w14:textFill>
                    </w:rPr>
                    <w:t>噪声排放源</w:t>
                  </w:r>
                </w:p>
              </w:tc>
              <w:tc>
                <w:tcPr>
                  <w:tcW w:w="1364" w:type="dxa"/>
                  <w:tcBorders>
                    <w:tl2br w:val="nil"/>
                    <w:tr2bl w:val="nil"/>
                  </w:tcBorders>
                  <w:noWrap w:val="0"/>
                  <w:tcMar>
                    <w:left w:w="28" w:type="dxa"/>
                    <w:right w:w="28" w:type="dxa"/>
                  </w:tcMar>
                  <w:vAlign w:val="center"/>
                </w:tcPr>
                <w:p w14:paraId="382F3408">
                  <w:pPr>
                    <w:spacing w:line="240" w:lineRule="auto"/>
                    <w:ind w:firstLine="0" w:firstLineChars="0"/>
                    <w:jc w:val="center"/>
                    <w:rPr>
                      <w:rFonts w:ascii="Times New Roman" w:hAnsi="Times New Roman"/>
                      <w:b/>
                      <w:bCs/>
                      <w:iCs/>
                      <w:color w:val="000000" w:themeColor="text1"/>
                      <w:sz w:val="21"/>
                      <w:szCs w:val="21"/>
                      <w:highlight w:val="none"/>
                      <w14:textFill>
                        <w14:solidFill>
                          <w14:schemeClr w14:val="tx1"/>
                        </w14:solidFill>
                      </w14:textFill>
                    </w:rPr>
                  </w:pPr>
                  <w:r>
                    <w:rPr>
                      <w:rFonts w:ascii="Times New Roman" w:hAnsi="Times New Roman"/>
                      <w:b/>
                      <w:bCs/>
                      <w:iCs/>
                      <w:color w:val="000000" w:themeColor="text1"/>
                      <w:sz w:val="21"/>
                      <w:szCs w:val="21"/>
                      <w:highlight w:val="none"/>
                      <w14:textFill>
                        <w14:solidFill>
                          <w14:schemeClr w14:val="tx1"/>
                        </w14:solidFill>
                      </w14:textFill>
                    </w:rPr>
                    <w:t>一般固体废物</w:t>
                  </w:r>
                </w:p>
              </w:tc>
              <w:tc>
                <w:tcPr>
                  <w:tcW w:w="1473" w:type="dxa"/>
                  <w:tcBorders>
                    <w:tl2br w:val="nil"/>
                    <w:tr2bl w:val="nil"/>
                  </w:tcBorders>
                  <w:noWrap w:val="0"/>
                  <w:tcMar>
                    <w:left w:w="28" w:type="dxa"/>
                    <w:right w:w="28" w:type="dxa"/>
                  </w:tcMar>
                  <w:vAlign w:val="center"/>
                </w:tcPr>
                <w:p w14:paraId="45118CB6">
                  <w:pPr>
                    <w:spacing w:line="240" w:lineRule="auto"/>
                    <w:ind w:firstLine="0" w:firstLineChars="0"/>
                    <w:jc w:val="center"/>
                    <w:rPr>
                      <w:rFonts w:hint="default" w:ascii="Times New Roman" w:hAnsi="Times New Roman" w:eastAsia="宋体"/>
                      <w:b/>
                      <w:bCs/>
                      <w:iCs/>
                      <w:color w:val="000000" w:themeColor="text1"/>
                      <w:sz w:val="21"/>
                      <w:szCs w:val="21"/>
                      <w:highlight w:val="none"/>
                      <w:lang w:val="en-US" w:eastAsia="zh-CN"/>
                      <w14:textFill>
                        <w14:solidFill>
                          <w14:schemeClr w14:val="tx1"/>
                        </w14:solidFill>
                      </w14:textFill>
                    </w:rPr>
                  </w:pPr>
                  <w:r>
                    <w:rPr>
                      <w:rFonts w:hint="eastAsia"/>
                      <w:b/>
                      <w:bCs/>
                      <w:iCs/>
                      <w:color w:val="000000" w:themeColor="text1"/>
                      <w:sz w:val="21"/>
                      <w:szCs w:val="21"/>
                      <w:highlight w:val="none"/>
                      <w:lang w:val="en-US" w:eastAsia="zh-CN"/>
                      <w14:textFill>
                        <w14:solidFill>
                          <w14:schemeClr w14:val="tx1"/>
                        </w14:solidFill>
                      </w14:textFill>
                    </w:rPr>
                    <w:t>废水排放口</w:t>
                  </w:r>
                </w:p>
              </w:tc>
              <w:tc>
                <w:tcPr>
                  <w:tcW w:w="1969" w:type="dxa"/>
                  <w:tcBorders>
                    <w:tl2br w:val="nil"/>
                    <w:tr2bl w:val="nil"/>
                  </w:tcBorders>
                  <w:noWrap w:val="0"/>
                  <w:tcMar>
                    <w:left w:w="28" w:type="dxa"/>
                    <w:right w:w="28" w:type="dxa"/>
                  </w:tcMar>
                  <w:vAlign w:val="center"/>
                </w:tcPr>
                <w:p w14:paraId="43EB94A6">
                  <w:pPr>
                    <w:spacing w:line="240" w:lineRule="auto"/>
                    <w:ind w:firstLine="0" w:firstLineChars="0"/>
                    <w:jc w:val="center"/>
                    <w:rPr>
                      <w:rFonts w:ascii="Times New Roman" w:hAnsi="Times New Roman"/>
                      <w:b/>
                      <w:bCs/>
                      <w:iCs/>
                      <w:color w:val="000000" w:themeColor="text1"/>
                      <w:sz w:val="21"/>
                      <w:szCs w:val="21"/>
                      <w:highlight w:val="none"/>
                      <w14:textFill>
                        <w14:solidFill>
                          <w14:schemeClr w14:val="tx1"/>
                        </w14:solidFill>
                      </w14:textFill>
                    </w:rPr>
                  </w:pPr>
                  <w:r>
                    <w:rPr>
                      <w:rFonts w:ascii="Times New Roman" w:hAnsi="Times New Roman"/>
                      <w:b/>
                      <w:bCs/>
                      <w:iCs/>
                      <w:color w:val="000000" w:themeColor="text1"/>
                      <w:sz w:val="21"/>
                      <w:szCs w:val="21"/>
                      <w:highlight w:val="none"/>
                      <w14:textFill>
                        <w14:solidFill>
                          <w14:schemeClr w14:val="tx1"/>
                        </w14:solidFill>
                      </w14:textFill>
                    </w:rPr>
                    <w:t>危险废物</w:t>
                  </w:r>
                </w:p>
              </w:tc>
            </w:tr>
            <w:tr w14:paraId="09573C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804" w:type="dxa"/>
                  <w:tcBorders>
                    <w:tl2br w:val="nil"/>
                    <w:tr2bl w:val="nil"/>
                  </w:tcBorders>
                  <w:noWrap w:val="0"/>
                  <w:tcMar>
                    <w:left w:w="28" w:type="dxa"/>
                    <w:right w:w="28" w:type="dxa"/>
                  </w:tcMar>
                  <w:vAlign w:val="center"/>
                </w:tcPr>
                <w:p w14:paraId="72C5DF60">
                  <w:pPr>
                    <w:spacing w:line="240" w:lineRule="auto"/>
                    <w:ind w:firstLine="0" w:firstLineChars="0"/>
                    <w:jc w:val="center"/>
                    <w:rPr>
                      <w:rFonts w:ascii="Times New Roman" w:hAnsi="Times New Roman"/>
                      <w:iCs/>
                      <w:color w:val="000000" w:themeColor="text1"/>
                      <w:sz w:val="21"/>
                      <w:szCs w:val="21"/>
                      <w:highlight w:val="none"/>
                      <w14:textFill>
                        <w14:solidFill>
                          <w14:schemeClr w14:val="tx1"/>
                        </w14:solidFill>
                      </w14:textFill>
                    </w:rPr>
                  </w:pPr>
                  <w:r>
                    <w:rPr>
                      <w:rFonts w:ascii="Times New Roman" w:hAnsi="Times New Roman"/>
                      <w:iCs/>
                      <w:color w:val="000000" w:themeColor="text1"/>
                      <w:sz w:val="21"/>
                      <w:szCs w:val="21"/>
                      <w:highlight w:val="none"/>
                      <w14:textFill>
                        <w14:solidFill>
                          <w14:schemeClr w14:val="tx1"/>
                        </w14:solidFill>
                      </w14:textFill>
                    </w:rPr>
                    <w:t>提示图形符号</w:t>
                  </w:r>
                </w:p>
              </w:tc>
              <w:tc>
                <w:tcPr>
                  <w:tcW w:w="1497" w:type="dxa"/>
                  <w:tcBorders>
                    <w:tl2br w:val="nil"/>
                    <w:tr2bl w:val="nil"/>
                  </w:tcBorders>
                  <w:noWrap w:val="0"/>
                  <w:tcMar>
                    <w:left w:w="28" w:type="dxa"/>
                    <w:right w:w="28" w:type="dxa"/>
                  </w:tcMar>
                  <w:vAlign w:val="center"/>
                </w:tcPr>
                <w:p w14:paraId="3F907E9C">
                  <w:pPr>
                    <w:spacing w:line="240" w:lineRule="auto"/>
                    <w:ind w:firstLine="0" w:firstLineChars="0"/>
                    <w:jc w:val="center"/>
                    <w:rPr>
                      <w:rFonts w:ascii="Times New Roman" w:hAnsi="Times New Roman"/>
                      <w:iCs/>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drawing>
                      <wp:inline distT="0" distB="0" distL="114300" distR="114300">
                        <wp:extent cx="828040" cy="685165"/>
                        <wp:effectExtent l="0" t="0" r="10160" b="635"/>
                        <wp:docPr id="127" name="图片 25" descr="废气排放口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5" descr="废气排放口1"/>
                                <pic:cNvPicPr>
                                  <a:picLocks noChangeAspect="1"/>
                                </pic:cNvPicPr>
                              </pic:nvPicPr>
                              <pic:blipFill>
                                <a:blip r:embed="rId27"/>
                                <a:stretch>
                                  <a:fillRect/>
                                </a:stretch>
                              </pic:blipFill>
                              <pic:spPr>
                                <a:xfrm>
                                  <a:off x="0" y="0"/>
                                  <a:ext cx="828040" cy="685165"/>
                                </a:xfrm>
                                <a:prstGeom prst="rect">
                                  <a:avLst/>
                                </a:prstGeom>
                                <a:noFill/>
                                <a:ln>
                                  <a:noFill/>
                                </a:ln>
                              </pic:spPr>
                            </pic:pic>
                          </a:graphicData>
                        </a:graphic>
                      </wp:inline>
                    </w:drawing>
                  </w:r>
                </w:p>
              </w:tc>
              <w:tc>
                <w:tcPr>
                  <w:tcW w:w="1540" w:type="dxa"/>
                  <w:tcBorders>
                    <w:tl2br w:val="nil"/>
                    <w:tr2bl w:val="nil"/>
                  </w:tcBorders>
                  <w:noWrap w:val="0"/>
                  <w:tcMar>
                    <w:left w:w="28" w:type="dxa"/>
                    <w:right w:w="28" w:type="dxa"/>
                  </w:tcMar>
                  <w:vAlign w:val="center"/>
                </w:tcPr>
                <w:p w14:paraId="23ABF473">
                  <w:pPr>
                    <w:spacing w:line="240" w:lineRule="auto"/>
                    <w:ind w:firstLine="0" w:firstLineChars="0"/>
                    <w:jc w:val="center"/>
                    <w:rPr>
                      <w:rFonts w:ascii="Times New Roman" w:hAnsi="Times New Roman"/>
                      <w:iCs/>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drawing>
                      <wp:inline distT="0" distB="0" distL="114300" distR="114300">
                        <wp:extent cx="781685" cy="694690"/>
                        <wp:effectExtent l="0" t="0" r="18415" b="10160"/>
                        <wp:docPr id="41" name="图片 26" descr="噪声排放口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6" descr="噪声排放口1"/>
                                <pic:cNvPicPr>
                                  <a:picLocks noChangeAspect="1"/>
                                </pic:cNvPicPr>
                              </pic:nvPicPr>
                              <pic:blipFill>
                                <a:blip r:embed="rId28"/>
                                <a:stretch>
                                  <a:fillRect/>
                                </a:stretch>
                              </pic:blipFill>
                              <pic:spPr>
                                <a:xfrm>
                                  <a:off x="0" y="0"/>
                                  <a:ext cx="781685" cy="694690"/>
                                </a:xfrm>
                                <a:prstGeom prst="rect">
                                  <a:avLst/>
                                </a:prstGeom>
                                <a:noFill/>
                                <a:ln>
                                  <a:noFill/>
                                </a:ln>
                              </pic:spPr>
                            </pic:pic>
                          </a:graphicData>
                        </a:graphic>
                      </wp:inline>
                    </w:drawing>
                  </w:r>
                </w:p>
              </w:tc>
              <w:tc>
                <w:tcPr>
                  <w:tcW w:w="1364" w:type="dxa"/>
                  <w:tcBorders>
                    <w:tl2br w:val="nil"/>
                    <w:tr2bl w:val="nil"/>
                  </w:tcBorders>
                  <w:noWrap w:val="0"/>
                  <w:tcMar>
                    <w:left w:w="28" w:type="dxa"/>
                    <w:right w:w="28" w:type="dxa"/>
                  </w:tcMar>
                  <w:vAlign w:val="center"/>
                </w:tcPr>
                <w:p w14:paraId="377CE691">
                  <w:pPr>
                    <w:spacing w:line="240" w:lineRule="auto"/>
                    <w:ind w:firstLine="0" w:firstLineChars="0"/>
                    <w:jc w:val="center"/>
                    <w:rPr>
                      <w:rFonts w:ascii="Times New Roman" w:hAnsi="Times New Roman"/>
                      <w:iCs/>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drawing>
                      <wp:inline distT="0" distB="0" distL="114300" distR="114300">
                        <wp:extent cx="805180" cy="744855"/>
                        <wp:effectExtent l="0" t="0" r="13970" b="17145"/>
                        <wp:docPr id="12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7"/>
                                <pic:cNvPicPr>
                                  <a:picLocks noChangeAspect="1"/>
                                </pic:cNvPicPr>
                              </pic:nvPicPr>
                              <pic:blipFill>
                                <a:blip r:embed="rId29"/>
                                <a:stretch>
                                  <a:fillRect/>
                                </a:stretch>
                              </pic:blipFill>
                              <pic:spPr>
                                <a:xfrm>
                                  <a:off x="0" y="0"/>
                                  <a:ext cx="805180" cy="744855"/>
                                </a:xfrm>
                                <a:prstGeom prst="rect">
                                  <a:avLst/>
                                </a:prstGeom>
                                <a:noFill/>
                                <a:ln>
                                  <a:noFill/>
                                </a:ln>
                              </pic:spPr>
                            </pic:pic>
                          </a:graphicData>
                        </a:graphic>
                      </wp:inline>
                    </w:drawing>
                  </w:r>
                </w:p>
              </w:tc>
              <w:tc>
                <w:tcPr>
                  <w:tcW w:w="1473" w:type="dxa"/>
                  <w:tcBorders>
                    <w:tl2br w:val="nil"/>
                    <w:tr2bl w:val="nil"/>
                  </w:tcBorders>
                  <w:noWrap w:val="0"/>
                  <w:tcMar>
                    <w:left w:w="28" w:type="dxa"/>
                    <w:right w:w="28" w:type="dxa"/>
                  </w:tcMar>
                  <w:vAlign w:val="center"/>
                </w:tcPr>
                <w:p w14:paraId="7A3CC1C0">
                  <w:pPr>
                    <w:spacing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position w:val="-25"/>
                      <w14:textFill>
                        <w14:solidFill>
                          <w14:schemeClr w14:val="tx1"/>
                        </w14:solidFill>
                      </w14:textFill>
                    </w:rPr>
                    <w:drawing>
                      <wp:inline distT="0" distB="0" distL="114300" distR="114300">
                        <wp:extent cx="749935" cy="699135"/>
                        <wp:effectExtent l="0" t="0" r="12065" b="5715"/>
                        <wp:docPr id="105" name="图片 31"/>
                        <wp:cNvGraphicFramePr/>
                        <a:graphic xmlns:a="http://schemas.openxmlformats.org/drawingml/2006/main">
                          <a:graphicData uri="http://schemas.openxmlformats.org/drawingml/2006/picture">
                            <pic:pic xmlns:pic="http://schemas.openxmlformats.org/drawingml/2006/picture">
                              <pic:nvPicPr>
                                <pic:cNvPr id="105" name="图片 31"/>
                                <pic:cNvPicPr/>
                              </pic:nvPicPr>
                              <pic:blipFill>
                                <a:blip r:embed="rId30"/>
                                <a:stretch>
                                  <a:fillRect/>
                                </a:stretch>
                              </pic:blipFill>
                              <pic:spPr>
                                <a:xfrm>
                                  <a:off x="0" y="0"/>
                                  <a:ext cx="749935" cy="699135"/>
                                </a:xfrm>
                                <a:prstGeom prst="rect">
                                  <a:avLst/>
                                </a:prstGeom>
                                <a:noFill/>
                                <a:ln>
                                  <a:noFill/>
                                </a:ln>
                              </pic:spPr>
                            </pic:pic>
                          </a:graphicData>
                        </a:graphic>
                      </wp:inline>
                    </w:drawing>
                  </w:r>
                </w:p>
              </w:tc>
              <w:tc>
                <w:tcPr>
                  <w:tcW w:w="1969" w:type="dxa"/>
                  <w:tcBorders>
                    <w:tl2br w:val="nil"/>
                    <w:tr2bl w:val="nil"/>
                  </w:tcBorders>
                  <w:noWrap w:val="0"/>
                  <w:tcMar>
                    <w:left w:w="28" w:type="dxa"/>
                    <w:right w:w="28" w:type="dxa"/>
                  </w:tcMar>
                  <w:vAlign w:val="center"/>
                </w:tcPr>
                <w:p w14:paraId="22C4DA16">
                  <w:pPr>
                    <w:spacing w:line="240" w:lineRule="auto"/>
                    <w:ind w:firstLine="0" w:firstLineChars="0"/>
                    <w:jc w:val="center"/>
                    <w:rPr>
                      <w:rFonts w:ascii="Times New Roman" w:hAnsi="Times New Roman"/>
                      <w:iCs/>
                      <w:color w:val="000000" w:themeColor="text1"/>
                      <w:sz w:val="21"/>
                      <w:szCs w:val="2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drawing>
                      <wp:inline distT="0" distB="0" distL="114300" distR="114300">
                        <wp:extent cx="1051560" cy="667385"/>
                        <wp:effectExtent l="0" t="0" r="15240" b="18415"/>
                        <wp:docPr id="1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28"/>
                                <pic:cNvPicPr>
                                  <a:picLocks noChangeAspect="1"/>
                                </pic:cNvPicPr>
                              </pic:nvPicPr>
                              <pic:blipFill>
                                <a:blip r:embed="rId31"/>
                                <a:stretch>
                                  <a:fillRect/>
                                </a:stretch>
                              </pic:blipFill>
                              <pic:spPr>
                                <a:xfrm>
                                  <a:off x="0" y="0"/>
                                  <a:ext cx="1051560" cy="667385"/>
                                </a:xfrm>
                                <a:prstGeom prst="rect">
                                  <a:avLst/>
                                </a:prstGeom>
                                <a:noFill/>
                                <a:ln>
                                  <a:noFill/>
                                </a:ln>
                              </pic:spPr>
                            </pic:pic>
                          </a:graphicData>
                        </a:graphic>
                      </wp:inline>
                    </w:drawing>
                  </w:r>
                </w:p>
              </w:tc>
            </w:tr>
            <w:tr w14:paraId="62A74E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804" w:type="dxa"/>
                  <w:tcBorders>
                    <w:tl2br w:val="nil"/>
                    <w:tr2bl w:val="nil"/>
                  </w:tcBorders>
                  <w:noWrap w:val="0"/>
                  <w:tcMar>
                    <w:left w:w="28" w:type="dxa"/>
                    <w:right w:w="28" w:type="dxa"/>
                  </w:tcMar>
                  <w:vAlign w:val="center"/>
                </w:tcPr>
                <w:p w14:paraId="2326481D">
                  <w:pPr>
                    <w:spacing w:line="240" w:lineRule="auto"/>
                    <w:ind w:firstLine="0" w:firstLineChars="0"/>
                    <w:jc w:val="center"/>
                    <w:rPr>
                      <w:rFonts w:ascii="Times New Roman" w:hAnsi="Times New Roman"/>
                      <w:iCs/>
                      <w:color w:val="000000" w:themeColor="text1"/>
                      <w:sz w:val="21"/>
                      <w:szCs w:val="21"/>
                      <w:highlight w:val="none"/>
                      <w14:textFill>
                        <w14:solidFill>
                          <w14:schemeClr w14:val="tx1"/>
                        </w14:solidFill>
                      </w14:textFill>
                    </w:rPr>
                  </w:pPr>
                  <w:r>
                    <w:rPr>
                      <w:rFonts w:ascii="Times New Roman" w:hAnsi="Times New Roman"/>
                      <w:iCs/>
                      <w:color w:val="000000" w:themeColor="text1"/>
                      <w:sz w:val="21"/>
                      <w:szCs w:val="21"/>
                      <w:highlight w:val="none"/>
                      <w14:textFill>
                        <w14:solidFill>
                          <w14:schemeClr w14:val="tx1"/>
                        </w14:solidFill>
                      </w14:textFill>
                    </w:rPr>
                    <w:t>功能</w:t>
                  </w:r>
                </w:p>
                <w:p w14:paraId="3953C407">
                  <w:pPr>
                    <w:spacing w:line="240" w:lineRule="auto"/>
                    <w:ind w:firstLine="0" w:firstLineChars="0"/>
                    <w:jc w:val="center"/>
                    <w:rPr>
                      <w:rFonts w:ascii="Times New Roman" w:hAnsi="Times New Roman"/>
                      <w:iCs/>
                      <w:color w:val="000000" w:themeColor="text1"/>
                      <w:sz w:val="21"/>
                      <w:szCs w:val="21"/>
                      <w:highlight w:val="none"/>
                      <w14:textFill>
                        <w14:solidFill>
                          <w14:schemeClr w14:val="tx1"/>
                        </w14:solidFill>
                      </w14:textFill>
                    </w:rPr>
                  </w:pPr>
                  <w:r>
                    <w:rPr>
                      <w:rFonts w:ascii="Times New Roman" w:hAnsi="Times New Roman"/>
                      <w:iCs/>
                      <w:color w:val="000000" w:themeColor="text1"/>
                      <w:sz w:val="21"/>
                      <w:szCs w:val="21"/>
                      <w:highlight w:val="none"/>
                      <w14:textFill>
                        <w14:solidFill>
                          <w14:schemeClr w14:val="tx1"/>
                        </w14:solidFill>
                      </w14:textFill>
                    </w:rPr>
                    <w:t>表示</w:t>
                  </w:r>
                </w:p>
              </w:tc>
              <w:tc>
                <w:tcPr>
                  <w:tcW w:w="1497" w:type="dxa"/>
                  <w:tcBorders>
                    <w:tl2br w:val="nil"/>
                    <w:tr2bl w:val="nil"/>
                  </w:tcBorders>
                  <w:noWrap w:val="0"/>
                  <w:tcMar>
                    <w:left w:w="28" w:type="dxa"/>
                    <w:right w:w="28" w:type="dxa"/>
                  </w:tcMar>
                  <w:vAlign w:val="center"/>
                </w:tcPr>
                <w:p w14:paraId="2A4FC96F">
                  <w:pPr>
                    <w:spacing w:line="240" w:lineRule="auto"/>
                    <w:ind w:firstLine="0" w:firstLineChars="0"/>
                    <w:jc w:val="center"/>
                    <w:rPr>
                      <w:rFonts w:ascii="Times New Roman" w:hAnsi="Times New Roman"/>
                      <w:iCs/>
                      <w:color w:val="000000" w:themeColor="text1"/>
                      <w:sz w:val="21"/>
                      <w:szCs w:val="21"/>
                      <w:highlight w:val="none"/>
                      <w14:textFill>
                        <w14:solidFill>
                          <w14:schemeClr w14:val="tx1"/>
                        </w14:solidFill>
                      </w14:textFill>
                    </w:rPr>
                  </w:pPr>
                  <w:r>
                    <w:rPr>
                      <w:rFonts w:ascii="Times New Roman" w:hAnsi="Times New Roman"/>
                      <w:iCs/>
                      <w:color w:val="000000" w:themeColor="text1"/>
                      <w:sz w:val="21"/>
                      <w:szCs w:val="21"/>
                      <w:highlight w:val="none"/>
                      <w14:textFill>
                        <w14:solidFill>
                          <w14:schemeClr w14:val="tx1"/>
                        </w14:solidFill>
                      </w14:textFill>
                    </w:rPr>
                    <w:t>向大气环境排放废气</w:t>
                  </w:r>
                </w:p>
              </w:tc>
              <w:tc>
                <w:tcPr>
                  <w:tcW w:w="1540" w:type="dxa"/>
                  <w:tcBorders>
                    <w:tl2br w:val="nil"/>
                    <w:tr2bl w:val="nil"/>
                  </w:tcBorders>
                  <w:noWrap w:val="0"/>
                  <w:tcMar>
                    <w:left w:w="28" w:type="dxa"/>
                    <w:right w:w="28" w:type="dxa"/>
                  </w:tcMar>
                  <w:vAlign w:val="center"/>
                </w:tcPr>
                <w:p w14:paraId="694B387D">
                  <w:pPr>
                    <w:spacing w:line="240" w:lineRule="auto"/>
                    <w:ind w:firstLine="0" w:firstLineChars="0"/>
                    <w:jc w:val="center"/>
                    <w:rPr>
                      <w:rFonts w:ascii="Times New Roman" w:hAnsi="Times New Roman"/>
                      <w:iCs/>
                      <w:color w:val="000000" w:themeColor="text1"/>
                      <w:sz w:val="21"/>
                      <w:szCs w:val="21"/>
                      <w:highlight w:val="none"/>
                      <w14:textFill>
                        <w14:solidFill>
                          <w14:schemeClr w14:val="tx1"/>
                        </w14:solidFill>
                      </w14:textFill>
                    </w:rPr>
                  </w:pPr>
                  <w:r>
                    <w:rPr>
                      <w:rFonts w:ascii="Times New Roman" w:hAnsi="Times New Roman"/>
                      <w:iCs/>
                      <w:color w:val="000000" w:themeColor="text1"/>
                      <w:sz w:val="21"/>
                      <w:szCs w:val="21"/>
                      <w:highlight w:val="none"/>
                      <w14:textFill>
                        <w14:solidFill>
                          <w14:schemeClr w14:val="tx1"/>
                        </w14:solidFill>
                      </w14:textFill>
                    </w:rPr>
                    <w:t>向外环境排放噪声</w:t>
                  </w:r>
                </w:p>
              </w:tc>
              <w:tc>
                <w:tcPr>
                  <w:tcW w:w="1364" w:type="dxa"/>
                  <w:tcBorders>
                    <w:tl2br w:val="nil"/>
                    <w:tr2bl w:val="nil"/>
                  </w:tcBorders>
                  <w:noWrap w:val="0"/>
                  <w:tcMar>
                    <w:left w:w="28" w:type="dxa"/>
                    <w:right w:w="28" w:type="dxa"/>
                  </w:tcMar>
                  <w:vAlign w:val="center"/>
                </w:tcPr>
                <w:p w14:paraId="6D177593">
                  <w:pPr>
                    <w:spacing w:line="240" w:lineRule="auto"/>
                    <w:ind w:firstLine="0" w:firstLineChars="0"/>
                    <w:jc w:val="center"/>
                    <w:rPr>
                      <w:rFonts w:ascii="Times New Roman" w:hAnsi="Times New Roman"/>
                      <w:iCs/>
                      <w:color w:val="000000" w:themeColor="text1"/>
                      <w:sz w:val="21"/>
                      <w:szCs w:val="21"/>
                      <w:highlight w:val="none"/>
                      <w14:textFill>
                        <w14:solidFill>
                          <w14:schemeClr w14:val="tx1"/>
                        </w14:solidFill>
                      </w14:textFill>
                    </w:rPr>
                  </w:pPr>
                  <w:r>
                    <w:rPr>
                      <w:rFonts w:ascii="Times New Roman" w:hAnsi="Times New Roman"/>
                      <w:iCs/>
                      <w:color w:val="000000" w:themeColor="text1"/>
                      <w:sz w:val="21"/>
                      <w:szCs w:val="21"/>
                      <w:highlight w:val="none"/>
                      <w14:textFill>
                        <w14:solidFill>
                          <w14:schemeClr w14:val="tx1"/>
                        </w14:solidFill>
                      </w14:textFill>
                    </w:rPr>
                    <w:t>一般固体废物贮存、处置场</w:t>
                  </w:r>
                </w:p>
              </w:tc>
              <w:tc>
                <w:tcPr>
                  <w:tcW w:w="1473" w:type="dxa"/>
                  <w:tcBorders>
                    <w:tl2br w:val="nil"/>
                    <w:tr2bl w:val="nil"/>
                  </w:tcBorders>
                  <w:noWrap w:val="0"/>
                  <w:tcMar>
                    <w:left w:w="28" w:type="dxa"/>
                    <w:right w:w="28" w:type="dxa"/>
                  </w:tcMar>
                  <w:vAlign w:val="center"/>
                </w:tcPr>
                <w:p w14:paraId="0389E697">
                  <w:pPr>
                    <w:spacing w:line="240" w:lineRule="auto"/>
                    <w:ind w:firstLine="0" w:firstLineChars="0"/>
                    <w:jc w:val="center"/>
                    <w:rPr>
                      <w:rFonts w:hint="eastAsia" w:ascii="Times New Roman" w:hAnsi="Times New Roman" w:eastAsia="宋体"/>
                      <w:iCs/>
                      <w:color w:val="000000" w:themeColor="text1"/>
                      <w:sz w:val="21"/>
                      <w:szCs w:val="21"/>
                      <w:highlight w:val="none"/>
                      <w:lang w:val="en-US" w:eastAsia="zh-CN"/>
                      <w14:textFill>
                        <w14:solidFill>
                          <w14:schemeClr w14:val="tx1"/>
                        </w14:solidFill>
                      </w14:textFill>
                    </w:rPr>
                  </w:pPr>
                  <w:r>
                    <w:rPr>
                      <w:rFonts w:ascii="Times New Roman" w:hAnsi="Times New Roman"/>
                      <w:iCs/>
                      <w:color w:val="000000" w:themeColor="text1"/>
                      <w:sz w:val="21"/>
                      <w:szCs w:val="21"/>
                      <w:highlight w:val="none"/>
                      <w14:textFill>
                        <w14:solidFill>
                          <w14:schemeClr w14:val="tx1"/>
                        </w14:solidFill>
                      </w14:textFill>
                    </w:rPr>
                    <w:t>向</w:t>
                  </w:r>
                  <w:r>
                    <w:rPr>
                      <w:rFonts w:hint="eastAsia" w:ascii="Times New Roman" w:hAnsi="Times New Roman"/>
                      <w:iCs/>
                      <w:color w:val="000000" w:themeColor="text1"/>
                      <w:sz w:val="21"/>
                      <w:szCs w:val="21"/>
                      <w:highlight w:val="none"/>
                      <w:lang w:val="en-US" w:eastAsia="zh-CN"/>
                      <w14:textFill>
                        <w14:solidFill>
                          <w14:schemeClr w14:val="tx1"/>
                        </w14:solidFill>
                      </w14:textFill>
                    </w:rPr>
                    <w:t>水</w:t>
                  </w:r>
                  <w:r>
                    <w:rPr>
                      <w:rFonts w:ascii="Times New Roman" w:hAnsi="Times New Roman"/>
                      <w:iCs/>
                      <w:color w:val="000000" w:themeColor="text1"/>
                      <w:sz w:val="21"/>
                      <w:szCs w:val="21"/>
                      <w:highlight w:val="none"/>
                      <w14:textFill>
                        <w14:solidFill>
                          <w14:schemeClr w14:val="tx1"/>
                        </w14:solidFill>
                      </w14:textFill>
                    </w:rPr>
                    <w:t>环境</w:t>
                  </w:r>
                  <w:r>
                    <w:rPr>
                      <w:rFonts w:hint="eastAsia" w:ascii="Times New Roman" w:hAnsi="Times New Roman"/>
                      <w:iCs/>
                      <w:color w:val="000000" w:themeColor="text1"/>
                      <w:sz w:val="21"/>
                      <w:szCs w:val="21"/>
                      <w:highlight w:val="none"/>
                      <w:lang w:val="en-US" w:eastAsia="zh-CN"/>
                      <w14:textFill>
                        <w14:solidFill>
                          <w14:schemeClr w14:val="tx1"/>
                        </w14:solidFill>
                      </w14:textFill>
                    </w:rPr>
                    <w:t>或污水处理单位</w:t>
                  </w:r>
                  <w:r>
                    <w:rPr>
                      <w:rFonts w:ascii="Times New Roman" w:hAnsi="Times New Roman"/>
                      <w:iCs/>
                      <w:color w:val="000000" w:themeColor="text1"/>
                      <w:sz w:val="21"/>
                      <w:szCs w:val="21"/>
                      <w:highlight w:val="none"/>
                      <w14:textFill>
                        <w14:solidFill>
                          <w14:schemeClr w14:val="tx1"/>
                        </w14:solidFill>
                      </w14:textFill>
                    </w:rPr>
                    <w:t>排放废</w:t>
                  </w:r>
                  <w:r>
                    <w:rPr>
                      <w:rFonts w:hint="eastAsia" w:ascii="Times New Roman" w:hAnsi="Times New Roman"/>
                      <w:iCs/>
                      <w:color w:val="000000" w:themeColor="text1"/>
                      <w:sz w:val="21"/>
                      <w:szCs w:val="21"/>
                      <w:highlight w:val="none"/>
                      <w:lang w:val="en-US" w:eastAsia="zh-CN"/>
                      <w14:textFill>
                        <w14:solidFill>
                          <w14:schemeClr w14:val="tx1"/>
                        </w14:solidFill>
                      </w14:textFill>
                    </w:rPr>
                    <w:t>水</w:t>
                  </w:r>
                </w:p>
              </w:tc>
              <w:tc>
                <w:tcPr>
                  <w:tcW w:w="1969" w:type="dxa"/>
                  <w:tcBorders>
                    <w:tl2br w:val="nil"/>
                    <w:tr2bl w:val="nil"/>
                  </w:tcBorders>
                  <w:noWrap w:val="0"/>
                  <w:tcMar>
                    <w:left w:w="28" w:type="dxa"/>
                    <w:right w:w="28" w:type="dxa"/>
                  </w:tcMar>
                  <w:vAlign w:val="center"/>
                </w:tcPr>
                <w:p w14:paraId="31AAC396">
                  <w:pPr>
                    <w:spacing w:line="240" w:lineRule="auto"/>
                    <w:ind w:firstLine="0" w:firstLineChars="0"/>
                    <w:jc w:val="center"/>
                    <w:rPr>
                      <w:rFonts w:hint="eastAsia" w:ascii="Times New Roman" w:hAnsi="Times New Roman" w:eastAsia="宋体"/>
                      <w:iCs/>
                      <w:color w:val="000000" w:themeColor="text1"/>
                      <w:sz w:val="21"/>
                      <w:szCs w:val="21"/>
                      <w:highlight w:val="none"/>
                      <w:lang w:val="en-US" w:eastAsia="zh-CN"/>
                      <w14:textFill>
                        <w14:solidFill>
                          <w14:schemeClr w14:val="tx1"/>
                        </w14:solidFill>
                      </w14:textFill>
                    </w:rPr>
                  </w:pPr>
                  <w:r>
                    <w:rPr>
                      <w:rFonts w:ascii="Times New Roman" w:hAnsi="Times New Roman"/>
                      <w:iCs/>
                      <w:color w:val="000000" w:themeColor="text1"/>
                      <w:sz w:val="21"/>
                      <w:szCs w:val="21"/>
                      <w:highlight w:val="none"/>
                      <w14:textFill>
                        <w14:solidFill>
                          <w14:schemeClr w14:val="tx1"/>
                        </w14:solidFill>
                      </w14:textFill>
                    </w:rPr>
                    <w:t>危险废物贮存</w:t>
                  </w:r>
                  <w:r>
                    <w:rPr>
                      <w:rFonts w:hint="eastAsia" w:ascii="Times New Roman" w:hAnsi="Times New Roman"/>
                      <w:iCs/>
                      <w:color w:val="000000" w:themeColor="text1"/>
                      <w:sz w:val="21"/>
                      <w:szCs w:val="21"/>
                      <w:highlight w:val="none"/>
                      <w:lang w:val="en-US" w:eastAsia="zh-CN"/>
                      <w14:textFill>
                        <w14:solidFill>
                          <w14:schemeClr w14:val="tx1"/>
                        </w14:solidFill>
                      </w14:textFill>
                    </w:rPr>
                    <w:t>设施</w:t>
                  </w:r>
                </w:p>
              </w:tc>
            </w:tr>
          </w:tbl>
          <w:p w14:paraId="6F9C62E3">
            <w:pPr>
              <w:pStyle w:val="3"/>
              <w:numPr>
                <w:ilvl w:val="1"/>
                <w:numId w:val="1"/>
              </w:numPr>
              <w:bidi w:val="0"/>
              <w:ind w:left="0" w:leftChars="0" w:firstLine="0" w:firstLineChars="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三本账”分析</w:t>
            </w:r>
          </w:p>
          <w:p w14:paraId="468B6B7E">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根据项目工程分析及污染源排放情况分析，项目扩建前后污染物排放量增减情况及排放量增减情况见表</w:t>
            </w:r>
          </w:p>
          <w:p w14:paraId="49F03D54">
            <w:pPr>
              <w:pStyle w:val="42"/>
              <w:keepNext/>
              <w:keepLines/>
              <w:pageBreakBefore w:val="0"/>
              <w:widowControl w:val="0"/>
              <w:numPr>
                <w:ilvl w:val="7"/>
                <w:numId w:val="10"/>
              </w:numPr>
              <w:tabs>
                <w:tab w:val="left" w:pos="0"/>
              </w:tabs>
              <w:kinsoku/>
              <w:wordWrap/>
              <w:overflowPunct/>
              <w:topLinePunct w:val="0"/>
              <w:autoSpaceDE/>
              <w:autoSpaceDN/>
              <w:bidi w:val="0"/>
              <w:adjustRightInd/>
              <w:snapToGrid/>
              <w:spacing w:before="0" w:after="0"/>
              <w:ind w:left="630" w:leftChars="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扩建后全厂“三本账”分析一览表</w:t>
            </w:r>
          </w:p>
          <w:tbl>
            <w:tblPr>
              <w:tblStyle w:val="3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6"/>
              <w:gridCol w:w="492"/>
              <w:gridCol w:w="1155"/>
              <w:gridCol w:w="1138"/>
              <w:gridCol w:w="1316"/>
              <w:gridCol w:w="1103"/>
              <w:gridCol w:w="942"/>
              <w:gridCol w:w="1040"/>
              <w:gridCol w:w="1084"/>
            </w:tblGrid>
            <w:tr w14:paraId="7FF93F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2" w:type="pct"/>
                  <w:tcBorders>
                    <w:tl2br w:val="nil"/>
                    <w:tr2bl w:val="nil"/>
                  </w:tcBorders>
                  <w:noWrap w:val="0"/>
                  <w:vAlign w:val="center"/>
                </w:tcPr>
                <w:p w14:paraId="4E610188">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类别</w:t>
                  </w:r>
                </w:p>
              </w:tc>
              <w:tc>
                <w:tcPr>
                  <w:tcW w:w="941" w:type="pct"/>
                  <w:gridSpan w:val="2"/>
                  <w:tcBorders>
                    <w:tl2br w:val="nil"/>
                    <w:tr2bl w:val="nil"/>
                  </w:tcBorders>
                  <w:noWrap w:val="0"/>
                  <w:vAlign w:val="center"/>
                </w:tcPr>
                <w:p w14:paraId="72B2BDD2">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项目</w:t>
                  </w:r>
                </w:p>
              </w:tc>
              <w:tc>
                <w:tcPr>
                  <w:tcW w:w="650" w:type="pct"/>
                  <w:tcBorders>
                    <w:tl2br w:val="nil"/>
                    <w:tr2bl w:val="nil"/>
                  </w:tcBorders>
                  <w:noWrap w:val="0"/>
                  <w:vAlign w:val="center"/>
                </w:tcPr>
                <w:p w14:paraId="6F680837">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lang w:val="en-US" w:eastAsia="zh-CN"/>
                    </w:rPr>
                    <w:t>现有项目已建工程</w:t>
                  </w:r>
                  <w:r>
                    <w:rPr>
                      <w:rFonts w:hint="default" w:ascii="Times New Roman" w:hAnsi="Times New Roman" w:eastAsia="宋体" w:cs="Times New Roman"/>
                      <w:color w:val="auto"/>
                      <w:kern w:val="2"/>
                      <w:sz w:val="21"/>
                      <w:szCs w:val="21"/>
                      <w:highlight w:val="none"/>
                    </w:rPr>
                    <w:t>排放量</w:t>
                  </w:r>
                  <w:r>
                    <w:rPr>
                      <w:rFonts w:hint="eastAsia" w:ascii="Times New Roman" w:hAnsi="Times New Roman" w:eastAsia="宋体" w:cs="Times New Roman"/>
                      <w:color w:val="auto"/>
                      <w:sz w:val="21"/>
                      <w:szCs w:val="21"/>
                      <w:highlight w:val="none"/>
                      <w:lang w:val="en-US" w:eastAsia="zh-CN"/>
                    </w:rPr>
                    <w:t>t/a</w:t>
                  </w:r>
                </w:p>
              </w:tc>
              <w:tc>
                <w:tcPr>
                  <w:tcW w:w="752" w:type="pct"/>
                  <w:tcBorders>
                    <w:tl2br w:val="nil"/>
                    <w:tr2bl w:val="nil"/>
                  </w:tcBorders>
                  <w:noWrap w:val="0"/>
                  <w:vAlign w:val="center"/>
                </w:tcPr>
                <w:p w14:paraId="0F83A939">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已批在建工程排放量</w:t>
                  </w:r>
                  <w:r>
                    <w:rPr>
                      <w:rFonts w:hint="eastAsia" w:ascii="Times New Roman" w:hAnsi="Times New Roman" w:eastAsia="宋体" w:cs="Times New Roman"/>
                      <w:color w:val="auto"/>
                      <w:sz w:val="21"/>
                      <w:szCs w:val="21"/>
                      <w:highlight w:val="none"/>
                      <w:lang w:val="en-US" w:eastAsia="zh-CN"/>
                    </w:rPr>
                    <w:t>t/a</w:t>
                  </w:r>
                </w:p>
              </w:tc>
              <w:tc>
                <w:tcPr>
                  <w:tcW w:w="630" w:type="pct"/>
                  <w:tcBorders>
                    <w:tl2br w:val="nil"/>
                    <w:tr2bl w:val="nil"/>
                  </w:tcBorders>
                  <w:noWrap w:val="0"/>
                  <w:vAlign w:val="center"/>
                </w:tcPr>
                <w:p w14:paraId="5908D23F">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本项目排放量</w:t>
                  </w:r>
                  <w:r>
                    <w:rPr>
                      <w:rFonts w:hint="eastAsia" w:ascii="Times New Roman" w:hAnsi="Times New Roman" w:eastAsia="宋体" w:cs="Times New Roman"/>
                      <w:color w:val="auto"/>
                      <w:sz w:val="21"/>
                      <w:szCs w:val="21"/>
                      <w:highlight w:val="none"/>
                      <w:lang w:val="en-US" w:eastAsia="zh-CN"/>
                    </w:rPr>
                    <w:t>t/a</w:t>
                  </w:r>
                </w:p>
              </w:tc>
              <w:tc>
                <w:tcPr>
                  <w:tcW w:w="538" w:type="pct"/>
                  <w:tcBorders>
                    <w:tl2br w:val="nil"/>
                    <w:tr2bl w:val="nil"/>
                  </w:tcBorders>
                  <w:noWrap w:val="0"/>
                  <w:vAlign w:val="center"/>
                </w:tcPr>
                <w:p w14:paraId="4B7FFB4D">
                  <w:pPr>
                    <w:keepNext w:val="0"/>
                    <w:keepLines w:val="0"/>
                    <w:pageBreakBefore w:val="0"/>
                    <w:widowControl w:val="0"/>
                    <w:kinsoku/>
                    <w:wordWrap/>
                    <w:overflowPunct/>
                    <w:topLinePunct w:val="0"/>
                    <w:bidi w:val="0"/>
                    <w:spacing w:line="240" w:lineRule="auto"/>
                    <w:ind w:firstLine="0" w:firstLineChars="0"/>
                    <w:jc w:val="center"/>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rPr>
                    <w:t>以新带老削减量</w:t>
                  </w:r>
                  <w:r>
                    <w:rPr>
                      <w:rFonts w:hint="eastAsia" w:ascii="Times New Roman" w:hAnsi="Times New Roman" w:eastAsia="宋体" w:cs="Times New Roman"/>
                      <w:color w:val="auto"/>
                      <w:sz w:val="21"/>
                      <w:szCs w:val="21"/>
                      <w:highlight w:val="none"/>
                      <w:lang w:val="en-US" w:eastAsia="zh-CN"/>
                    </w:rPr>
                    <w:t>t/a</w:t>
                  </w:r>
                </w:p>
              </w:tc>
              <w:tc>
                <w:tcPr>
                  <w:tcW w:w="594" w:type="pct"/>
                  <w:tcBorders>
                    <w:tl2br w:val="nil"/>
                    <w:tr2bl w:val="nil"/>
                  </w:tcBorders>
                  <w:noWrap w:val="0"/>
                  <w:vAlign w:val="center"/>
                </w:tcPr>
                <w:p w14:paraId="00874891">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lang w:val="en-US" w:eastAsia="zh-CN"/>
                    </w:rPr>
                    <w:t>扩</w:t>
                  </w:r>
                  <w:r>
                    <w:rPr>
                      <w:rFonts w:hint="eastAsia" w:ascii="Times New Roman" w:hAnsi="Times New Roman" w:eastAsia="宋体" w:cs="Times New Roman"/>
                      <w:color w:val="auto"/>
                      <w:kern w:val="2"/>
                      <w:sz w:val="21"/>
                      <w:szCs w:val="21"/>
                      <w:highlight w:val="none"/>
                      <w:lang w:eastAsia="zh-CN"/>
                    </w:rPr>
                    <w:t>建</w:t>
                  </w:r>
                  <w:r>
                    <w:rPr>
                      <w:rFonts w:hint="default" w:ascii="Times New Roman" w:hAnsi="Times New Roman" w:eastAsia="宋体" w:cs="Times New Roman"/>
                      <w:color w:val="auto"/>
                      <w:kern w:val="2"/>
                      <w:sz w:val="21"/>
                      <w:szCs w:val="21"/>
                      <w:highlight w:val="none"/>
                    </w:rPr>
                    <w:t>后全</w:t>
                  </w:r>
                  <w:r>
                    <w:rPr>
                      <w:rFonts w:hint="eastAsia" w:ascii="Times New Roman" w:hAnsi="Times New Roman" w:eastAsia="宋体" w:cs="Times New Roman"/>
                      <w:color w:val="auto"/>
                      <w:kern w:val="2"/>
                      <w:sz w:val="21"/>
                      <w:szCs w:val="21"/>
                      <w:highlight w:val="none"/>
                      <w:lang w:val="en-US" w:eastAsia="zh-CN"/>
                    </w:rPr>
                    <w:t>厂</w:t>
                  </w:r>
                  <w:r>
                    <w:rPr>
                      <w:rFonts w:hint="default" w:ascii="Times New Roman" w:hAnsi="Times New Roman" w:eastAsia="宋体" w:cs="Times New Roman"/>
                      <w:color w:val="auto"/>
                      <w:kern w:val="2"/>
                      <w:sz w:val="21"/>
                      <w:szCs w:val="21"/>
                      <w:highlight w:val="none"/>
                    </w:rPr>
                    <w:t>排放量</w:t>
                  </w:r>
                  <w:r>
                    <w:rPr>
                      <w:rFonts w:hint="eastAsia" w:ascii="Times New Roman" w:hAnsi="Times New Roman" w:eastAsia="宋体" w:cs="Times New Roman"/>
                      <w:color w:val="auto"/>
                      <w:sz w:val="21"/>
                      <w:szCs w:val="21"/>
                      <w:highlight w:val="none"/>
                      <w:lang w:val="en-US" w:eastAsia="zh-CN"/>
                    </w:rPr>
                    <w:t>t/a</w:t>
                  </w:r>
                </w:p>
              </w:tc>
              <w:tc>
                <w:tcPr>
                  <w:tcW w:w="619" w:type="pct"/>
                  <w:tcBorders>
                    <w:tl2br w:val="nil"/>
                    <w:tr2bl w:val="nil"/>
                  </w:tcBorders>
                  <w:noWrap w:val="0"/>
                  <w:vAlign w:val="center"/>
                </w:tcPr>
                <w:p w14:paraId="749CEE97">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增减量</w:t>
                  </w:r>
                  <w:r>
                    <w:rPr>
                      <w:rFonts w:hint="eastAsia" w:ascii="Times New Roman" w:hAnsi="Times New Roman" w:eastAsia="宋体" w:cs="Times New Roman"/>
                      <w:color w:val="auto"/>
                      <w:sz w:val="21"/>
                      <w:szCs w:val="21"/>
                      <w:highlight w:val="none"/>
                      <w:lang w:val="en-US" w:eastAsia="zh-CN"/>
                    </w:rPr>
                    <w:t>t/a</w:t>
                  </w:r>
                </w:p>
              </w:tc>
            </w:tr>
            <w:tr w14:paraId="034993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2" w:type="pct"/>
                  <w:vMerge w:val="restart"/>
                  <w:tcBorders>
                    <w:tl2br w:val="nil"/>
                    <w:tr2bl w:val="nil"/>
                  </w:tcBorders>
                  <w:noWrap w:val="0"/>
                  <w:vAlign w:val="center"/>
                </w:tcPr>
                <w:p w14:paraId="78EC648E">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废水</w:t>
                  </w:r>
                </w:p>
              </w:tc>
              <w:tc>
                <w:tcPr>
                  <w:tcW w:w="281" w:type="pct"/>
                  <w:vMerge w:val="restart"/>
                  <w:tcBorders>
                    <w:tl2br w:val="nil"/>
                    <w:tr2bl w:val="nil"/>
                  </w:tcBorders>
                  <w:noWrap w:val="0"/>
                  <w:vAlign w:val="center"/>
                </w:tcPr>
                <w:p w14:paraId="47A6A5AF">
                  <w:pPr>
                    <w:keepNext w:val="0"/>
                    <w:keepLines w:val="0"/>
                    <w:pageBreakBefore w:val="0"/>
                    <w:widowControl w:val="0"/>
                    <w:kinsoku/>
                    <w:wordWrap/>
                    <w:overflowPunct/>
                    <w:topLinePunct w:val="0"/>
                    <w:autoSpaceDE w:val="0"/>
                    <w:autoSpaceDN w:val="0"/>
                    <w:bidi w:val="0"/>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生活污水</w:t>
                  </w:r>
                </w:p>
              </w:tc>
              <w:tc>
                <w:tcPr>
                  <w:tcW w:w="660" w:type="pct"/>
                  <w:tcBorders>
                    <w:tl2br w:val="nil"/>
                    <w:tr2bl w:val="nil"/>
                  </w:tcBorders>
                  <w:noWrap w:val="0"/>
                  <w:vAlign w:val="center"/>
                </w:tcPr>
                <w:p w14:paraId="23177FFA">
                  <w:pPr>
                    <w:pStyle w:val="30"/>
                    <w:keepNext w:val="0"/>
                    <w:keepLines w:val="0"/>
                    <w:pageBreakBefore w:val="0"/>
                    <w:widowControl w:val="0"/>
                    <w:kinsoku/>
                    <w:wordWrap/>
                    <w:overflowPunct/>
                    <w:topLinePunct w:val="0"/>
                    <w:bidi w:val="0"/>
                    <w:spacing w:before="0" w:beforeAutospacing="0" w:after="0" w:afterAutospacing="0"/>
                    <w:ind w:left="0" w:leftChars="0" w:right="0" w:right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宋体"/>
                      <w:color w:val="000000" w:themeColor="text1"/>
                      <w:kern w:val="2"/>
                      <w:sz w:val="21"/>
                      <w:szCs w:val="21"/>
                      <w:highlight w:val="none"/>
                      <w:lang w:bidi="ar"/>
                      <w14:textFill>
                        <w14:solidFill>
                          <w14:schemeClr w14:val="tx1"/>
                        </w14:solidFill>
                      </w14:textFill>
                    </w:rPr>
                    <w:t>废水量</w:t>
                  </w:r>
                </w:p>
              </w:tc>
              <w:tc>
                <w:tcPr>
                  <w:tcW w:w="650" w:type="pct"/>
                  <w:tcBorders>
                    <w:tl2br w:val="nil"/>
                    <w:tr2bl w:val="nil"/>
                  </w:tcBorders>
                  <w:noWrap w:val="0"/>
                  <w:vAlign w:val="center"/>
                </w:tcPr>
                <w:p w14:paraId="47B34BA0">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300</w:t>
                  </w:r>
                </w:p>
              </w:tc>
              <w:tc>
                <w:tcPr>
                  <w:tcW w:w="752" w:type="pct"/>
                  <w:tcBorders>
                    <w:tl2br w:val="nil"/>
                    <w:tr2bl w:val="nil"/>
                  </w:tcBorders>
                  <w:noWrap w:val="0"/>
                  <w:vAlign w:val="center"/>
                </w:tcPr>
                <w:p w14:paraId="1C1524FD">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630" w:type="pct"/>
                  <w:tcBorders>
                    <w:tl2br w:val="nil"/>
                    <w:tr2bl w:val="nil"/>
                  </w:tcBorders>
                  <w:noWrap w:val="0"/>
                  <w:vAlign w:val="center"/>
                </w:tcPr>
                <w:p w14:paraId="6E1086BD">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538" w:type="pct"/>
                  <w:tcBorders>
                    <w:tl2br w:val="nil"/>
                    <w:tr2bl w:val="nil"/>
                  </w:tcBorders>
                  <w:noWrap w:val="0"/>
                  <w:vAlign w:val="center"/>
                </w:tcPr>
                <w:p w14:paraId="469084AC">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594" w:type="pct"/>
                  <w:tcBorders>
                    <w:tl2br w:val="nil"/>
                    <w:tr2bl w:val="nil"/>
                  </w:tcBorders>
                  <w:shd w:val="clear" w:color="auto" w:fill="auto"/>
                  <w:noWrap w:val="0"/>
                  <w:vAlign w:val="center"/>
                </w:tcPr>
                <w:p w14:paraId="6D92C095">
                  <w:pPr>
                    <w:keepNext w:val="0"/>
                    <w:keepLines w:val="0"/>
                    <w:pageBreakBefore w:val="0"/>
                    <w:widowControl/>
                    <w:kinsoku/>
                    <w:wordWrap/>
                    <w:overflowPunct/>
                    <w:topLinePunct w:val="0"/>
                    <w:bidi w:val="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300</w:t>
                  </w:r>
                </w:p>
              </w:tc>
              <w:tc>
                <w:tcPr>
                  <w:tcW w:w="619" w:type="pct"/>
                  <w:tcBorders>
                    <w:tl2br w:val="nil"/>
                    <w:tr2bl w:val="nil"/>
                  </w:tcBorders>
                  <w:shd w:val="clear" w:color="auto" w:fill="auto"/>
                  <w:noWrap w:val="0"/>
                  <w:vAlign w:val="center"/>
                </w:tcPr>
                <w:p w14:paraId="2FF0F882">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t>0</w:t>
                  </w:r>
                </w:p>
              </w:tc>
            </w:tr>
            <w:tr w14:paraId="00F5F9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2" w:type="pct"/>
                  <w:vMerge w:val="continue"/>
                  <w:tcBorders>
                    <w:tl2br w:val="nil"/>
                    <w:tr2bl w:val="nil"/>
                  </w:tcBorders>
                  <w:noWrap w:val="0"/>
                  <w:vAlign w:val="center"/>
                </w:tcPr>
                <w:p w14:paraId="65649C8F">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kern w:val="2"/>
                      <w:sz w:val="21"/>
                      <w:szCs w:val="21"/>
                      <w:highlight w:val="none"/>
                    </w:rPr>
                  </w:pPr>
                </w:p>
              </w:tc>
              <w:tc>
                <w:tcPr>
                  <w:tcW w:w="281" w:type="pct"/>
                  <w:vMerge w:val="continue"/>
                  <w:tcBorders>
                    <w:tl2br w:val="nil"/>
                    <w:tr2bl w:val="nil"/>
                  </w:tcBorders>
                  <w:noWrap w:val="0"/>
                  <w:vAlign w:val="center"/>
                </w:tcPr>
                <w:p w14:paraId="72417884">
                  <w:pPr>
                    <w:keepNext w:val="0"/>
                    <w:keepLines w:val="0"/>
                    <w:pageBreakBefore w:val="0"/>
                    <w:widowControl w:val="0"/>
                    <w:kinsoku/>
                    <w:wordWrap/>
                    <w:overflowPunct/>
                    <w:topLinePunct w:val="0"/>
                    <w:bidi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rPr>
                  </w:pPr>
                </w:p>
              </w:tc>
              <w:tc>
                <w:tcPr>
                  <w:tcW w:w="660" w:type="pct"/>
                  <w:tcBorders>
                    <w:tl2br w:val="nil"/>
                    <w:tr2bl w:val="nil"/>
                  </w:tcBorders>
                  <w:noWrap w:val="0"/>
                  <w:vAlign w:val="center"/>
                </w:tcPr>
                <w:p w14:paraId="671B88F2">
                  <w:pPr>
                    <w:pStyle w:val="30"/>
                    <w:keepNext w:val="0"/>
                    <w:keepLines w:val="0"/>
                    <w:pageBreakBefore w:val="0"/>
                    <w:widowControl w:val="0"/>
                    <w:kinsoku/>
                    <w:wordWrap/>
                    <w:overflowPunct/>
                    <w:topLinePunct w:val="0"/>
                    <w:bidi w:val="0"/>
                    <w:spacing w:before="0" w:beforeAutospacing="0" w:after="0" w:afterAutospacing="0"/>
                    <w:ind w:left="0" w:leftChars="0" w:right="0" w:rightChars="0"/>
                    <w:jc w:val="center"/>
                    <w:rPr>
                      <w:rFonts w:hint="eastAsia" w:ascii="Times New Roman" w:hAnsi="Times New Roman" w:eastAsia="宋体" w:cs="Times New Roman"/>
                      <w:color w:val="auto"/>
                      <w:sz w:val="21"/>
                      <w:szCs w:val="21"/>
                      <w:highlight w:val="none"/>
                      <w:lang w:eastAsia="zh-CN"/>
                    </w:rPr>
                  </w:pPr>
                  <w:r>
                    <w:rPr>
                      <w:rFonts w:ascii="Times New Roman" w:hAnsi="Times New Roman"/>
                      <w:color w:val="000000" w:themeColor="text1"/>
                      <w:kern w:val="2"/>
                      <w:sz w:val="21"/>
                      <w:szCs w:val="21"/>
                      <w:highlight w:val="none"/>
                      <w:lang w:bidi="ar"/>
                      <w14:textFill>
                        <w14:solidFill>
                          <w14:schemeClr w14:val="tx1"/>
                        </w14:solidFill>
                      </w14:textFill>
                    </w:rPr>
                    <w:t>COD</w:t>
                  </w:r>
                </w:p>
              </w:tc>
              <w:tc>
                <w:tcPr>
                  <w:tcW w:w="650" w:type="pct"/>
                  <w:tcBorders>
                    <w:tl2br w:val="nil"/>
                    <w:tr2bl w:val="nil"/>
                  </w:tcBorders>
                  <w:noWrap w:val="0"/>
                  <w:vAlign w:val="center"/>
                </w:tcPr>
                <w:p w14:paraId="548DDB60">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0.102</w:t>
                  </w:r>
                </w:p>
              </w:tc>
              <w:tc>
                <w:tcPr>
                  <w:tcW w:w="752" w:type="pct"/>
                  <w:tcBorders>
                    <w:tl2br w:val="nil"/>
                    <w:tr2bl w:val="nil"/>
                  </w:tcBorders>
                  <w:noWrap w:val="0"/>
                  <w:vAlign w:val="center"/>
                </w:tcPr>
                <w:p w14:paraId="76D5C3F2">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630" w:type="pct"/>
                  <w:tcBorders>
                    <w:tl2br w:val="nil"/>
                    <w:tr2bl w:val="nil"/>
                  </w:tcBorders>
                  <w:noWrap w:val="0"/>
                  <w:vAlign w:val="center"/>
                </w:tcPr>
                <w:p w14:paraId="1799A9EC">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538" w:type="pct"/>
                  <w:tcBorders>
                    <w:tl2br w:val="nil"/>
                    <w:tr2bl w:val="nil"/>
                  </w:tcBorders>
                  <w:noWrap w:val="0"/>
                  <w:vAlign w:val="center"/>
                </w:tcPr>
                <w:p w14:paraId="5D362385">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594" w:type="pct"/>
                  <w:tcBorders>
                    <w:tl2br w:val="nil"/>
                    <w:tr2bl w:val="nil"/>
                  </w:tcBorders>
                  <w:shd w:val="clear" w:color="auto" w:fill="auto"/>
                  <w:noWrap w:val="0"/>
                  <w:vAlign w:val="center"/>
                </w:tcPr>
                <w:p w14:paraId="295804B5">
                  <w:pPr>
                    <w:pStyle w:val="96"/>
                    <w:keepNext w:val="0"/>
                    <w:keepLines w:val="0"/>
                    <w:pageBreakBefore w:val="0"/>
                    <w:kinsoku/>
                    <w:wordWrap/>
                    <w:overflowPunct/>
                    <w:topLinePunct w:val="0"/>
                    <w:bidi w:val="0"/>
                    <w:spacing w:line="240" w:lineRule="auto"/>
                    <w:jc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spacing w:val="4"/>
                      <w:sz w:val="21"/>
                      <w:szCs w:val="21"/>
                      <w:highlight w:val="none"/>
                      <w:lang w:val="en-US" w:eastAsia="zh-CN" w:bidi="ar-SA"/>
                      <w14:textFill>
                        <w14:solidFill>
                          <w14:schemeClr w14:val="tx1"/>
                        </w14:solidFill>
                      </w14:textFill>
                    </w:rPr>
                    <w:t>0.102</w:t>
                  </w:r>
                </w:p>
              </w:tc>
              <w:tc>
                <w:tcPr>
                  <w:tcW w:w="619" w:type="pct"/>
                  <w:tcBorders>
                    <w:tl2br w:val="nil"/>
                    <w:tr2bl w:val="nil"/>
                  </w:tcBorders>
                  <w:shd w:val="clear" w:color="auto" w:fill="auto"/>
                  <w:noWrap w:val="0"/>
                  <w:vAlign w:val="center"/>
                </w:tcPr>
                <w:p w14:paraId="7CDCDA1F">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t>0</w:t>
                  </w:r>
                </w:p>
              </w:tc>
            </w:tr>
            <w:tr w14:paraId="19DF8D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2" w:type="pct"/>
                  <w:vMerge w:val="continue"/>
                  <w:tcBorders>
                    <w:tl2br w:val="nil"/>
                    <w:tr2bl w:val="nil"/>
                  </w:tcBorders>
                  <w:noWrap w:val="0"/>
                  <w:vAlign w:val="center"/>
                </w:tcPr>
                <w:p w14:paraId="0FB85487">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kern w:val="2"/>
                      <w:sz w:val="21"/>
                      <w:szCs w:val="21"/>
                      <w:highlight w:val="none"/>
                    </w:rPr>
                  </w:pPr>
                </w:p>
              </w:tc>
              <w:tc>
                <w:tcPr>
                  <w:tcW w:w="281" w:type="pct"/>
                  <w:vMerge w:val="continue"/>
                  <w:tcBorders>
                    <w:tl2br w:val="nil"/>
                    <w:tr2bl w:val="nil"/>
                  </w:tcBorders>
                  <w:noWrap w:val="0"/>
                  <w:vAlign w:val="center"/>
                </w:tcPr>
                <w:p w14:paraId="7750892E">
                  <w:pPr>
                    <w:keepNext w:val="0"/>
                    <w:keepLines w:val="0"/>
                    <w:pageBreakBefore w:val="0"/>
                    <w:widowControl w:val="0"/>
                    <w:kinsoku/>
                    <w:wordWrap/>
                    <w:overflowPunct/>
                    <w:topLinePunct w:val="0"/>
                    <w:bidi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rPr>
                  </w:pPr>
                </w:p>
              </w:tc>
              <w:tc>
                <w:tcPr>
                  <w:tcW w:w="660" w:type="pct"/>
                  <w:tcBorders>
                    <w:tl2br w:val="nil"/>
                    <w:tr2bl w:val="nil"/>
                  </w:tcBorders>
                  <w:noWrap w:val="0"/>
                  <w:vAlign w:val="center"/>
                </w:tcPr>
                <w:p w14:paraId="5D6679CA">
                  <w:pPr>
                    <w:pStyle w:val="30"/>
                    <w:keepNext w:val="0"/>
                    <w:keepLines w:val="0"/>
                    <w:pageBreakBefore w:val="0"/>
                    <w:widowControl w:val="0"/>
                    <w:kinsoku/>
                    <w:wordWrap/>
                    <w:overflowPunct/>
                    <w:topLinePunct w:val="0"/>
                    <w:bidi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ascii="Times New Roman" w:hAnsi="Times New Roman"/>
                      <w:color w:val="000000" w:themeColor="text1"/>
                      <w:kern w:val="2"/>
                      <w:sz w:val="21"/>
                      <w:szCs w:val="21"/>
                      <w:highlight w:val="none"/>
                      <w:lang w:bidi="ar"/>
                      <w14:textFill>
                        <w14:solidFill>
                          <w14:schemeClr w14:val="tx1"/>
                        </w14:solidFill>
                      </w14:textFill>
                    </w:rPr>
                    <w:t>BOD</w:t>
                  </w:r>
                  <w:r>
                    <w:rPr>
                      <w:rFonts w:ascii="Times New Roman" w:hAnsi="Times New Roman"/>
                      <w:color w:val="000000" w:themeColor="text1"/>
                      <w:kern w:val="2"/>
                      <w:sz w:val="21"/>
                      <w:szCs w:val="21"/>
                      <w:highlight w:val="none"/>
                      <w:vertAlign w:val="subscript"/>
                      <w:lang w:bidi="ar"/>
                      <w14:textFill>
                        <w14:solidFill>
                          <w14:schemeClr w14:val="tx1"/>
                        </w14:solidFill>
                      </w14:textFill>
                    </w:rPr>
                    <w:t>5</w:t>
                  </w:r>
                </w:p>
              </w:tc>
              <w:tc>
                <w:tcPr>
                  <w:tcW w:w="650" w:type="pct"/>
                  <w:tcBorders>
                    <w:tl2br w:val="nil"/>
                    <w:tr2bl w:val="nil"/>
                  </w:tcBorders>
                  <w:noWrap w:val="0"/>
                  <w:vAlign w:val="center"/>
                </w:tcPr>
                <w:p w14:paraId="4F9BA2B7">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0.0546</w:t>
                  </w:r>
                </w:p>
              </w:tc>
              <w:tc>
                <w:tcPr>
                  <w:tcW w:w="752" w:type="pct"/>
                  <w:tcBorders>
                    <w:tl2br w:val="nil"/>
                    <w:tr2bl w:val="nil"/>
                  </w:tcBorders>
                  <w:noWrap w:val="0"/>
                  <w:vAlign w:val="center"/>
                </w:tcPr>
                <w:p w14:paraId="15327D2C">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630" w:type="pct"/>
                  <w:tcBorders>
                    <w:tl2br w:val="nil"/>
                    <w:tr2bl w:val="nil"/>
                  </w:tcBorders>
                  <w:noWrap w:val="0"/>
                  <w:vAlign w:val="center"/>
                </w:tcPr>
                <w:p w14:paraId="450E15A4">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538" w:type="pct"/>
                  <w:tcBorders>
                    <w:tl2br w:val="nil"/>
                    <w:tr2bl w:val="nil"/>
                  </w:tcBorders>
                  <w:noWrap w:val="0"/>
                  <w:vAlign w:val="center"/>
                </w:tcPr>
                <w:p w14:paraId="30AF12EC">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594" w:type="pct"/>
                  <w:tcBorders>
                    <w:tl2br w:val="nil"/>
                    <w:tr2bl w:val="nil"/>
                  </w:tcBorders>
                  <w:shd w:val="clear" w:color="auto" w:fill="auto"/>
                  <w:noWrap w:val="0"/>
                  <w:vAlign w:val="center"/>
                </w:tcPr>
                <w:p w14:paraId="372AC7CB">
                  <w:pPr>
                    <w:pStyle w:val="96"/>
                    <w:keepNext w:val="0"/>
                    <w:keepLines w:val="0"/>
                    <w:pageBreakBefore w:val="0"/>
                    <w:kinsoku/>
                    <w:wordWrap/>
                    <w:overflowPunct/>
                    <w:topLinePunct w:val="0"/>
                    <w:bidi w:val="0"/>
                    <w:spacing w:line="240" w:lineRule="auto"/>
                    <w:jc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spacing w:val="4"/>
                      <w:sz w:val="21"/>
                      <w:szCs w:val="21"/>
                      <w:highlight w:val="none"/>
                      <w:lang w:val="en-US" w:eastAsia="zh-CN" w:bidi="ar-SA"/>
                      <w14:textFill>
                        <w14:solidFill>
                          <w14:schemeClr w14:val="tx1"/>
                        </w14:solidFill>
                      </w14:textFill>
                    </w:rPr>
                    <w:t>0.0546</w:t>
                  </w:r>
                </w:p>
              </w:tc>
              <w:tc>
                <w:tcPr>
                  <w:tcW w:w="619" w:type="pct"/>
                  <w:tcBorders>
                    <w:tl2br w:val="nil"/>
                    <w:tr2bl w:val="nil"/>
                  </w:tcBorders>
                  <w:shd w:val="clear" w:color="auto" w:fill="auto"/>
                  <w:noWrap w:val="0"/>
                  <w:vAlign w:val="center"/>
                </w:tcPr>
                <w:p w14:paraId="1B3DC1C1">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1"/>
                      <w:sz w:val="21"/>
                      <w:szCs w:val="21"/>
                      <w:highlight w:val="none"/>
                      <w:lang w:val="en-US" w:eastAsia="zh-CN" w:bidi="ar-SA"/>
                      <w14:textFill>
                        <w14:solidFill>
                          <w14:schemeClr w14:val="tx1"/>
                        </w14:solidFill>
                      </w14:textFill>
                    </w:rPr>
                    <w:t>0</w:t>
                  </w:r>
                </w:p>
              </w:tc>
            </w:tr>
            <w:tr w14:paraId="213B95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2" w:type="pct"/>
                  <w:vMerge w:val="continue"/>
                  <w:tcBorders>
                    <w:tl2br w:val="nil"/>
                    <w:tr2bl w:val="nil"/>
                  </w:tcBorders>
                  <w:noWrap w:val="0"/>
                  <w:vAlign w:val="center"/>
                </w:tcPr>
                <w:p w14:paraId="2BA03CD8">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kern w:val="2"/>
                      <w:sz w:val="21"/>
                      <w:szCs w:val="21"/>
                      <w:highlight w:val="none"/>
                    </w:rPr>
                  </w:pPr>
                </w:p>
              </w:tc>
              <w:tc>
                <w:tcPr>
                  <w:tcW w:w="281" w:type="pct"/>
                  <w:vMerge w:val="continue"/>
                  <w:tcBorders>
                    <w:tl2br w:val="nil"/>
                    <w:tr2bl w:val="nil"/>
                  </w:tcBorders>
                  <w:noWrap w:val="0"/>
                  <w:vAlign w:val="center"/>
                </w:tcPr>
                <w:p w14:paraId="17A6706E">
                  <w:pPr>
                    <w:keepNext w:val="0"/>
                    <w:keepLines w:val="0"/>
                    <w:pageBreakBefore w:val="0"/>
                    <w:widowControl w:val="0"/>
                    <w:kinsoku/>
                    <w:wordWrap/>
                    <w:overflowPunct/>
                    <w:topLinePunct w:val="0"/>
                    <w:bidi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rPr>
                  </w:pPr>
                </w:p>
              </w:tc>
              <w:tc>
                <w:tcPr>
                  <w:tcW w:w="660" w:type="pct"/>
                  <w:tcBorders>
                    <w:tl2br w:val="nil"/>
                    <w:tr2bl w:val="nil"/>
                  </w:tcBorders>
                  <w:noWrap w:val="0"/>
                  <w:vAlign w:val="center"/>
                </w:tcPr>
                <w:p w14:paraId="7056EA64">
                  <w:pPr>
                    <w:pStyle w:val="30"/>
                    <w:keepNext w:val="0"/>
                    <w:keepLines w:val="0"/>
                    <w:pageBreakBefore w:val="0"/>
                    <w:widowControl w:val="0"/>
                    <w:kinsoku/>
                    <w:wordWrap/>
                    <w:overflowPunct/>
                    <w:topLinePunct w:val="0"/>
                    <w:bidi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ascii="Times New Roman" w:hAnsi="Times New Roman"/>
                      <w:color w:val="000000" w:themeColor="text1"/>
                      <w:kern w:val="2"/>
                      <w:sz w:val="21"/>
                      <w:szCs w:val="21"/>
                      <w:highlight w:val="none"/>
                      <w:lang w:bidi="ar"/>
                      <w14:textFill>
                        <w14:solidFill>
                          <w14:schemeClr w14:val="tx1"/>
                        </w14:solidFill>
                      </w14:textFill>
                    </w:rPr>
                    <w:t>SS</w:t>
                  </w:r>
                </w:p>
              </w:tc>
              <w:tc>
                <w:tcPr>
                  <w:tcW w:w="650" w:type="pct"/>
                  <w:tcBorders>
                    <w:tl2br w:val="nil"/>
                    <w:tr2bl w:val="nil"/>
                  </w:tcBorders>
                  <w:noWrap w:val="0"/>
                  <w:vAlign w:val="center"/>
                </w:tcPr>
                <w:p w14:paraId="7982C421">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0.053</w:t>
                  </w:r>
                </w:p>
              </w:tc>
              <w:tc>
                <w:tcPr>
                  <w:tcW w:w="752" w:type="pct"/>
                  <w:tcBorders>
                    <w:tl2br w:val="nil"/>
                    <w:tr2bl w:val="nil"/>
                  </w:tcBorders>
                  <w:noWrap w:val="0"/>
                  <w:vAlign w:val="center"/>
                </w:tcPr>
                <w:p w14:paraId="5F3BEDF2">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630" w:type="pct"/>
                  <w:tcBorders>
                    <w:tl2br w:val="nil"/>
                    <w:tr2bl w:val="nil"/>
                  </w:tcBorders>
                  <w:shd w:val="clear" w:color="auto" w:fill="auto"/>
                  <w:noWrap w:val="0"/>
                  <w:vAlign w:val="center"/>
                </w:tcPr>
                <w:p w14:paraId="0F57F7EF">
                  <w:pPr>
                    <w:keepNext w:val="0"/>
                    <w:keepLines w:val="0"/>
                    <w:pageBreakBefore w:val="0"/>
                    <w:kinsoku/>
                    <w:wordWrap/>
                    <w:overflowPunct/>
                    <w:topLinePunct w:val="0"/>
                    <w:bidi w:val="0"/>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w:t>
                  </w:r>
                </w:p>
              </w:tc>
              <w:tc>
                <w:tcPr>
                  <w:tcW w:w="538" w:type="pct"/>
                  <w:tcBorders>
                    <w:tl2br w:val="nil"/>
                    <w:tr2bl w:val="nil"/>
                  </w:tcBorders>
                  <w:noWrap w:val="0"/>
                  <w:vAlign w:val="center"/>
                </w:tcPr>
                <w:p w14:paraId="29371B38">
                  <w:pPr>
                    <w:keepNext w:val="0"/>
                    <w:keepLines w:val="0"/>
                    <w:pageBreakBefore w:val="0"/>
                    <w:kinsoku/>
                    <w:wordWrap/>
                    <w:overflowPunct/>
                    <w:topLinePunct w:val="0"/>
                    <w:bidi w:val="0"/>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snapToGrid w:val="0"/>
                      <w:color w:val="000000" w:themeColor="text1"/>
                      <w:kern w:val="21"/>
                      <w:sz w:val="21"/>
                      <w:szCs w:val="21"/>
                      <w:highlight w:val="none"/>
                      <w:lang w:val="en-US" w:eastAsia="zh-CN" w:bidi="ar-SA"/>
                      <w14:textFill>
                        <w14:solidFill>
                          <w14:schemeClr w14:val="tx1"/>
                        </w14:solidFill>
                      </w14:textFill>
                    </w:rPr>
                    <w:t>-0.0068</w:t>
                  </w:r>
                </w:p>
              </w:tc>
              <w:tc>
                <w:tcPr>
                  <w:tcW w:w="594" w:type="pct"/>
                  <w:tcBorders>
                    <w:tl2br w:val="nil"/>
                    <w:tr2bl w:val="nil"/>
                  </w:tcBorders>
                  <w:shd w:val="clear" w:color="auto" w:fill="auto"/>
                  <w:noWrap w:val="0"/>
                  <w:vAlign w:val="center"/>
                </w:tcPr>
                <w:p w14:paraId="5C55E7AE">
                  <w:pPr>
                    <w:pStyle w:val="96"/>
                    <w:keepNext w:val="0"/>
                    <w:keepLines w:val="0"/>
                    <w:pageBreakBefore w:val="0"/>
                    <w:kinsoku/>
                    <w:wordWrap/>
                    <w:overflowPunct/>
                    <w:topLinePunct w:val="0"/>
                    <w:bidi w:val="0"/>
                    <w:spacing w:line="240" w:lineRule="auto"/>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spacing w:val="4"/>
                      <w:sz w:val="21"/>
                      <w:szCs w:val="21"/>
                      <w:highlight w:val="none"/>
                      <w:lang w:val="en-US" w:eastAsia="zh-CN" w:bidi="ar-SA"/>
                      <w14:textFill>
                        <w14:solidFill>
                          <w14:schemeClr w14:val="tx1"/>
                        </w14:solidFill>
                      </w14:textFill>
                    </w:rPr>
                    <w:t>0.0462</w:t>
                  </w:r>
                </w:p>
              </w:tc>
              <w:tc>
                <w:tcPr>
                  <w:tcW w:w="619" w:type="pct"/>
                  <w:tcBorders>
                    <w:tl2br w:val="nil"/>
                    <w:tr2bl w:val="nil"/>
                  </w:tcBorders>
                  <w:shd w:val="clear" w:color="auto" w:fill="auto"/>
                  <w:noWrap w:val="0"/>
                  <w:vAlign w:val="center"/>
                </w:tcPr>
                <w:p w14:paraId="1D238653">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1"/>
                      <w:sz w:val="21"/>
                      <w:szCs w:val="21"/>
                      <w:highlight w:val="none"/>
                      <w:lang w:val="en-US" w:eastAsia="zh-CN" w:bidi="ar-SA"/>
                      <w14:textFill>
                        <w14:solidFill>
                          <w14:schemeClr w14:val="tx1"/>
                        </w14:solidFill>
                      </w14:textFill>
                    </w:rPr>
                    <w:t>-0.0068</w:t>
                  </w:r>
                </w:p>
              </w:tc>
            </w:tr>
            <w:tr w14:paraId="4656F7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2" w:type="pct"/>
                  <w:vMerge w:val="continue"/>
                  <w:tcBorders>
                    <w:tl2br w:val="nil"/>
                    <w:tr2bl w:val="nil"/>
                  </w:tcBorders>
                  <w:noWrap w:val="0"/>
                  <w:vAlign w:val="center"/>
                </w:tcPr>
                <w:p w14:paraId="3845B0E9">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kern w:val="2"/>
                      <w:sz w:val="21"/>
                      <w:szCs w:val="21"/>
                      <w:highlight w:val="none"/>
                    </w:rPr>
                  </w:pPr>
                </w:p>
              </w:tc>
              <w:tc>
                <w:tcPr>
                  <w:tcW w:w="281" w:type="pct"/>
                  <w:vMerge w:val="continue"/>
                  <w:tcBorders>
                    <w:tl2br w:val="nil"/>
                    <w:tr2bl w:val="nil"/>
                  </w:tcBorders>
                  <w:noWrap w:val="0"/>
                  <w:vAlign w:val="center"/>
                </w:tcPr>
                <w:p w14:paraId="69205034">
                  <w:pPr>
                    <w:keepNext w:val="0"/>
                    <w:keepLines w:val="0"/>
                    <w:pageBreakBefore w:val="0"/>
                    <w:widowControl w:val="0"/>
                    <w:kinsoku/>
                    <w:wordWrap/>
                    <w:overflowPunct/>
                    <w:topLinePunct w:val="0"/>
                    <w:bidi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rPr>
                  </w:pPr>
                </w:p>
              </w:tc>
              <w:tc>
                <w:tcPr>
                  <w:tcW w:w="660" w:type="pct"/>
                  <w:tcBorders>
                    <w:tl2br w:val="nil"/>
                    <w:tr2bl w:val="nil"/>
                  </w:tcBorders>
                  <w:noWrap w:val="0"/>
                  <w:vAlign w:val="center"/>
                </w:tcPr>
                <w:p w14:paraId="584D6194">
                  <w:pPr>
                    <w:pStyle w:val="30"/>
                    <w:keepNext w:val="0"/>
                    <w:keepLines w:val="0"/>
                    <w:pageBreakBefore w:val="0"/>
                    <w:widowControl w:val="0"/>
                    <w:kinsoku/>
                    <w:wordWrap/>
                    <w:overflowPunct/>
                    <w:topLinePunct w:val="0"/>
                    <w:bidi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ascii="Times New Roman" w:hAnsi="Times New Roman"/>
                      <w:color w:val="000000" w:themeColor="text1"/>
                      <w:kern w:val="2"/>
                      <w:sz w:val="21"/>
                      <w:szCs w:val="21"/>
                      <w:highlight w:val="none"/>
                      <w:lang w:bidi="ar"/>
                      <w14:textFill>
                        <w14:solidFill>
                          <w14:schemeClr w14:val="tx1"/>
                        </w14:solidFill>
                      </w14:textFill>
                    </w:rPr>
                    <w:t>NH</w:t>
                  </w:r>
                  <w:r>
                    <w:rPr>
                      <w:rFonts w:ascii="Times New Roman" w:hAnsi="Times New Roman"/>
                      <w:color w:val="000000" w:themeColor="text1"/>
                      <w:kern w:val="2"/>
                      <w:sz w:val="21"/>
                      <w:szCs w:val="21"/>
                      <w:highlight w:val="none"/>
                      <w:vertAlign w:val="subscript"/>
                      <w:lang w:bidi="ar"/>
                      <w14:textFill>
                        <w14:solidFill>
                          <w14:schemeClr w14:val="tx1"/>
                        </w14:solidFill>
                      </w14:textFill>
                    </w:rPr>
                    <w:t>3-</w:t>
                  </w:r>
                  <w:r>
                    <w:rPr>
                      <w:rFonts w:ascii="Times New Roman" w:hAnsi="Times New Roman"/>
                      <w:color w:val="000000" w:themeColor="text1"/>
                      <w:kern w:val="2"/>
                      <w:sz w:val="21"/>
                      <w:szCs w:val="21"/>
                      <w:highlight w:val="none"/>
                      <w:lang w:bidi="ar"/>
                      <w14:textFill>
                        <w14:solidFill>
                          <w14:schemeClr w14:val="tx1"/>
                        </w14:solidFill>
                      </w14:textFill>
                    </w:rPr>
                    <w:t>N</w:t>
                  </w:r>
                </w:p>
              </w:tc>
              <w:tc>
                <w:tcPr>
                  <w:tcW w:w="650" w:type="pct"/>
                  <w:tcBorders>
                    <w:tl2br w:val="nil"/>
                    <w:tr2bl w:val="nil"/>
                  </w:tcBorders>
                  <w:noWrap w:val="0"/>
                  <w:vAlign w:val="center"/>
                </w:tcPr>
                <w:p w14:paraId="09D386FE">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0.010</w:t>
                  </w:r>
                </w:p>
              </w:tc>
              <w:tc>
                <w:tcPr>
                  <w:tcW w:w="752" w:type="pct"/>
                  <w:tcBorders>
                    <w:tl2br w:val="nil"/>
                    <w:tr2bl w:val="nil"/>
                  </w:tcBorders>
                  <w:noWrap w:val="0"/>
                  <w:vAlign w:val="center"/>
                </w:tcPr>
                <w:p w14:paraId="3B2D4438">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630" w:type="pct"/>
                  <w:tcBorders>
                    <w:tl2br w:val="nil"/>
                    <w:tr2bl w:val="nil"/>
                  </w:tcBorders>
                  <w:shd w:val="clear" w:color="auto" w:fill="auto"/>
                  <w:noWrap w:val="0"/>
                  <w:vAlign w:val="center"/>
                </w:tcPr>
                <w:p w14:paraId="7B2D5168">
                  <w:pPr>
                    <w:keepNext w:val="0"/>
                    <w:keepLines w:val="0"/>
                    <w:pageBreakBefore w:val="0"/>
                    <w:kinsoku/>
                    <w:wordWrap/>
                    <w:overflowPunct/>
                    <w:topLinePunct w:val="0"/>
                    <w:bidi w:val="0"/>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w:t>
                  </w:r>
                </w:p>
              </w:tc>
              <w:tc>
                <w:tcPr>
                  <w:tcW w:w="538" w:type="pct"/>
                  <w:tcBorders>
                    <w:tl2br w:val="nil"/>
                    <w:tr2bl w:val="nil"/>
                  </w:tcBorders>
                  <w:noWrap w:val="0"/>
                  <w:vAlign w:val="center"/>
                </w:tcPr>
                <w:p w14:paraId="1004D01E">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594" w:type="pct"/>
                  <w:tcBorders>
                    <w:tl2br w:val="nil"/>
                    <w:tr2bl w:val="nil"/>
                  </w:tcBorders>
                  <w:shd w:val="clear" w:color="auto" w:fill="auto"/>
                  <w:noWrap w:val="0"/>
                  <w:vAlign w:val="center"/>
                </w:tcPr>
                <w:p w14:paraId="085B73C7">
                  <w:pPr>
                    <w:pStyle w:val="96"/>
                    <w:keepNext w:val="0"/>
                    <w:keepLines w:val="0"/>
                    <w:pageBreakBefore w:val="0"/>
                    <w:kinsoku/>
                    <w:wordWrap/>
                    <w:overflowPunct/>
                    <w:topLinePunct w:val="0"/>
                    <w:bidi w:val="0"/>
                    <w:spacing w:line="240" w:lineRule="auto"/>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spacing w:val="4"/>
                      <w:sz w:val="21"/>
                      <w:szCs w:val="21"/>
                      <w:highlight w:val="none"/>
                      <w:lang w:val="en-US" w:eastAsia="zh-CN" w:bidi="ar-SA"/>
                      <w14:textFill>
                        <w14:solidFill>
                          <w14:schemeClr w14:val="tx1"/>
                        </w14:solidFill>
                      </w14:textFill>
                    </w:rPr>
                    <w:t>0.0102</w:t>
                  </w:r>
                </w:p>
              </w:tc>
              <w:tc>
                <w:tcPr>
                  <w:tcW w:w="619" w:type="pct"/>
                  <w:tcBorders>
                    <w:tl2br w:val="nil"/>
                    <w:tr2bl w:val="nil"/>
                  </w:tcBorders>
                  <w:noWrap w:val="0"/>
                  <w:vAlign w:val="center"/>
                </w:tcPr>
                <w:p w14:paraId="3074B284">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r>
            <w:tr w14:paraId="69F9BA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2" w:type="pct"/>
                  <w:vMerge w:val="restart"/>
                  <w:tcBorders>
                    <w:tl2br w:val="nil"/>
                    <w:tr2bl w:val="nil"/>
                  </w:tcBorders>
                  <w:noWrap w:val="0"/>
                  <w:vAlign w:val="center"/>
                </w:tcPr>
                <w:p w14:paraId="41A5E936">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废气</w:t>
                  </w:r>
                </w:p>
              </w:tc>
              <w:tc>
                <w:tcPr>
                  <w:tcW w:w="941" w:type="pct"/>
                  <w:gridSpan w:val="2"/>
                  <w:tcBorders>
                    <w:tl2br w:val="nil"/>
                    <w:tr2bl w:val="nil"/>
                  </w:tcBorders>
                  <w:shd w:val="clear" w:color="auto" w:fill="auto"/>
                  <w:noWrap w:val="0"/>
                  <w:vAlign w:val="center"/>
                </w:tcPr>
                <w:p w14:paraId="7B2ABFFC">
                  <w:pPr>
                    <w:pStyle w:val="96"/>
                    <w:keepNext w:val="0"/>
                    <w:keepLines w:val="0"/>
                    <w:pageBreakBefore w:val="0"/>
                    <w:kinsoku/>
                    <w:wordWrap/>
                    <w:overflowPunct/>
                    <w:topLinePunct w:val="0"/>
                    <w:bidi w:val="0"/>
                    <w:spacing w:line="240" w:lineRule="auto"/>
                    <w:jc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SO</w:t>
                  </w:r>
                  <w:r>
                    <w:rPr>
                      <w:rFonts w:hint="eastAsia" w:ascii="Times New Roman" w:hAnsi="Times New Roman" w:cs="Times New Roman"/>
                      <w:color w:val="000000" w:themeColor="text1"/>
                      <w:sz w:val="21"/>
                      <w:szCs w:val="21"/>
                      <w:highlight w:val="none"/>
                      <w:vertAlign w:val="subscript"/>
                      <w:lang w:val="en-US" w:eastAsia="zh-CN"/>
                      <w14:textFill>
                        <w14:solidFill>
                          <w14:schemeClr w14:val="tx1"/>
                        </w14:solidFill>
                      </w14:textFill>
                    </w:rPr>
                    <w:t>2</w:t>
                  </w:r>
                </w:p>
              </w:tc>
              <w:tc>
                <w:tcPr>
                  <w:tcW w:w="650" w:type="pct"/>
                  <w:tcBorders>
                    <w:tl2br w:val="nil"/>
                    <w:tr2bl w:val="nil"/>
                  </w:tcBorders>
                  <w:shd w:val="clear" w:color="auto" w:fill="auto"/>
                  <w:noWrap w:val="0"/>
                  <w:vAlign w:val="center"/>
                </w:tcPr>
                <w:p w14:paraId="636AA94E">
                  <w:pPr>
                    <w:keepNext w:val="0"/>
                    <w:keepLines w:val="0"/>
                    <w:pageBreakBefore w:val="0"/>
                    <w:widowControl/>
                    <w:kinsoku/>
                    <w:wordWrap/>
                    <w:overflowPunct/>
                    <w:topLinePunct w:val="0"/>
                    <w:bidi w:val="0"/>
                    <w:jc w:val="center"/>
                    <w:textAlignment w:val="bottom"/>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0.30</w:t>
                  </w:r>
                </w:p>
              </w:tc>
              <w:tc>
                <w:tcPr>
                  <w:tcW w:w="752" w:type="pct"/>
                  <w:tcBorders>
                    <w:tl2br w:val="nil"/>
                    <w:tr2bl w:val="nil"/>
                  </w:tcBorders>
                  <w:noWrap w:val="0"/>
                  <w:vAlign w:val="center"/>
                </w:tcPr>
                <w:p w14:paraId="7E9519E2">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630" w:type="pct"/>
                  <w:tcBorders>
                    <w:tl2br w:val="nil"/>
                    <w:tr2bl w:val="nil"/>
                  </w:tcBorders>
                  <w:noWrap w:val="0"/>
                  <w:vAlign w:val="center"/>
                </w:tcPr>
                <w:p w14:paraId="457BDE27">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0.47</w:t>
                  </w:r>
                </w:p>
              </w:tc>
              <w:tc>
                <w:tcPr>
                  <w:tcW w:w="538" w:type="pct"/>
                  <w:tcBorders>
                    <w:tl2br w:val="nil"/>
                    <w:tr2bl w:val="nil"/>
                  </w:tcBorders>
                  <w:noWrap w:val="0"/>
                  <w:vAlign w:val="center"/>
                </w:tcPr>
                <w:p w14:paraId="4689845B">
                  <w:pPr>
                    <w:keepNext w:val="0"/>
                    <w:keepLines w:val="0"/>
                    <w:pageBreakBefore w:val="0"/>
                    <w:kinsoku/>
                    <w:wordWrap/>
                    <w:overflowPunct/>
                    <w:topLinePunct w:val="0"/>
                    <w:bidi w:val="0"/>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594" w:type="pct"/>
                  <w:tcBorders>
                    <w:tl2br w:val="nil"/>
                    <w:tr2bl w:val="nil"/>
                  </w:tcBorders>
                  <w:shd w:val="clear" w:color="auto" w:fill="auto"/>
                  <w:noWrap w:val="0"/>
                  <w:vAlign w:val="center"/>
                </w:tcPr>
                <w:p w14:paraId="5538D0EC">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1"/>
                      <w:sz w:val="21"/>
                      <w:szCs w:val="21"/>
                      <w:highlight w:val="none"/>
                      <w:lang w:val="en-US" w:eastAsia="zh-CN" w:bidi="ar-SA"/>
                      <w14:textFill>
                        <w14:solidFill>
                          <w14:schemeClr w14:val="tx1"/>
                        </w14:solidFill>
                      </w14:textFill>
                    </w:rPr>
                    <w:t>0.77</w:t>
                  </w:r>
                </w:p>
              </w:tc>
              <w:tc>
                <w:tcPr>
                  <w:tcW w:w="619" w:type="pct"/>
                  <w:tcBorders>
                    <w:tl2br w:val="nil"/>
                    <w:tr2bl w:val="nil"/>
                  </w:tcBorders>
                  <w:shd w:val="clear" w:color="auto" w:fill="auto"/>
                  <w:noWrap w:val="0"/>
                  <w:vAlign w:val="center"/>
                </w:tcPr>
                <w:p w14:paraId="2D245388">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+0.47</w:t>
                  </w:r>
                </w:p>
              </w:tc>
            </w:tr>
            <w:tr w14:paraId="68A867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2" w:type="pct"/>
                  <w:vMerge w:val="continue"/>
                  <w:tcBorders>
                    <w:tl2br w:val="nil"/>
                    <w:tr2bl w:val="nil"/>
                  </w:tcBorders>
                  <w:noWrap w:val="0"/>
                  <w:vAlign w:val="center"/>
                </w:tcPr>
                <w:p w14:paraId="4CB09833">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941" w:type="pct"/>
                  <w:gridSpan w:val="2"/>
                  <w:tcBorders>
                    <w:tl2br w:val="nil"/>
                    <w:tr2bl w:val="nil"/>
                  </w:tcBorders>
                  <w:shd w:val="clear" w:color="auto" w:fill="auto"/>
                  <w:noWrap w:val="0"/>
                  <w:vAlign w:val="center"/>
                </w:tcPr>
                <w:p w14:paraId="4832C128">
                  <w:pPr>
                    <w:pStyle w:val="96"/>
                    <w:keepNext w:val="0"/>
                    <w:keepLines w:val="0"/>
                    <w:pageBreakBefore w:val="0"/>
                    <w:kinsoku/>
                    <w:wordWrap/>
                    <w:overflowPunct/>
                    <w:topLinePunct w:val="0"/>
                    <w:bidi w:val="0"/>
                    <w:spacing w:line="240" w:lineRule="auto"/>
                    <w:jc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NOx</w:t>
                  </w:r>
                </w:p>
              </w:tc>
              <w:tc>
                <w:tcPr>
                  <w:tcW w:w="650" w:type="pct"/>
                  <w:tcBorders>
                    <w:tl2br w:val="nil"/>
                    <w:tr2bl w:val="nil"/>
                  </w:tcBorders>
                  <w:shd w:val="clear" w:color="auto" w:fill="auto"/>
                  <w:noWrap w:val="0"/>
                  <w:vAlign w:val="center"/>
                </w:tcPr>
                <w:p w14:paraId="7635AD36">
                  <w:pPr>
                    <w:keepNext w:val="0"/>
                    <w:keepLines w:val="0"/>
                    <w:pageBreakBefore w:val="0"/>
                    <w:widowControl/>
                    <w:kinsoku/>
                    <w:wordWrap/>
                    <w:overflowPunct/>
                    <w:topLinePunct w:val="0"/>
                    <w:bidi w:val="0"/>
                    <w:jc w:val="center"/>
                    <w:textAlignment w:val="bottom"/>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kern w:val="2"/>
                      <w:sz w:val="21"/>
                      <w:szCs w:val="21"/>
                      <w:lang w:val="en-US" w:eastAsia="zh-CN" w:bidi="ar-SA"/>
                    </w:rPr>
                    <w:t>2.80</w:t>
                  </w:r>
                  <w:r>
                    <w:rPr>
                      <w:rFonts w:hint="eastAsia" w:ascii="Times New Roman" w:hAnsi="Times New Roman" w:eastAsia="宋体" w:cs="Times New Roman"/>
                      <w:color w:val="000000"/>
                      <w:kern w:val="2"/>
                      <w:sz w:val="21"/>
                      <w:szCs w:val="21"/>
                      <w:lang w:val="en-US" w:eastAsia="zh-CN" w:bidi="ar-SA"/>
                    </w:rPr>
                    <w:t>7</w:t>
                  </w:r>
                </w:p>
              </w:tc>
              <w:tc>
                <w:tcPr>
                  <w:tcW w:w="752" w:type="pct"/>
                  <w:tcBorders>
                    <w:tl2br w:val="nil"/>
                    <w:tr2bl w:val="nil"/>
                  </w:tcBorders>
                  <w:noWrap w:val="0"/>
                  <w:vAlign w:val="center"/>
                </w:tcPr>
                <w:p w14:paraId="243560CD">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630" w:type="pct"/>
                  <w:tcBorders>
                    <w:tl2br w:val="nil"/>
                    <w:tr2bl w:val="nil"/>
                  </w:tcBorders>
                  <w:noWrap w:val="0"/>
                  <w:vAlign w:val="center"/>
                </w:tcPr>
                <w:p w14:paraId="098E18FC">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0.658</w:t>
                  </w:r>
                </w:p>
              </w:tc>
              <w:tc>
                <w:tcPr>
                  <w:tcW w:w="538" w:type="pct"/>
                  <w:tcBorders>
                    <w:tl2br w:val="nil"/>
                    <w:tr2bl w:val="nil"/>
                  </w:tcBorders>
                  <w:noWrap w:val="0"/>
                  <w:vAlign w:val="center"/>
                </w:tcPr>
                <w:p w14:paraId="0E2E956A">
                  <w:pPr>
                    <w:keepNext w:val="0"/>
                    <w:keepLines w:val="0"/>
                    <w:pageBreakBefore w:val="0"/>
                    <w:kinsoku/>
                    <w:wordWrap/>
                    <w:overflowPunct/>
                    <w:topLinePunct w:val="0"/>
                    <w:bidi w:val="0"/>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594" w:type="pct"/>
                  <w:tcBorders>
                    <w:tl2br w:val="nil"/>
                    <w:tr2bl w:val="nil"/>
                  </w:tcBorders>
                  <w:shd w:val="clear" w:color="auto" w:fill="auto"/>
                  <w:noWrap w:val="0"/>
                  <w:vAlign w:val="center"/>
                </w:tcPr>
                <w:p w14:paraId="555A6077">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1"/>
                      <w:sz w:val="21"/>
                      <w:szCs w:val="21"/>
                      <w:highlight w:val="none"/>
                      <w:lang w:val="en-US" w:eastAsia="zh-CN" w:bidi="ar-SA"/>
                      <w14:textFill>
                        <w14:solidFill>
                          <w14:schemeClr w14:val="tx1"/>
                        </w14:solidFill>
                      </w14:textFill>
                    </w:rPr>
                    <w:t>3.465</w:t>
                  </w:r>
                </w:p>
              </w:tc>
              <w:tc>
                <w:tcPr>
                  <w:tcW w:w="619" w:type="pct"/>
                  <w:tcBorders>
                    <w:tl2br w:val="nil"/>
                    <w:tr2bl w:val="nil"/>
                  </w:tcBorders>
                  <w:shd w:val="clear" w:color="auto" w:fill="auto"/>
                  <w:noWrap w:val="0"/>
                  <w:vAlign w:val="center"/>
                </w:tcPr>
                <w:p w14:paraId="150A778E">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+0.658</w:t>
                  </w:r>
                </w:p>
              </w:tc>
            </w:tr>
            <w:tr w14:paraId="351CC1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2" w:type="pct"/>
                  <w:vMerge w:val="continue"/>
                  <w:tcBorders>
                    <w:tl2br w:val="nil"/>
                    <w:tr2bl w:val="nil"/>
                  </w:tcBorders>
                  <w:noWrap w:val="0"/>
                  <w:vAlign w:val="center"/>
                </w:tcPr>
                <w:p w14:paraId="324419E2">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941" w:type="pct"/>
                  <w:gridSpan w:val="2"/>
                  <w:tcBorders>
                    <w:tl2br w:val="nil"/>
                    <w:tr2bl w:val="nil"/>
                  </w:tcBorders>
                  <w:shd w:val="clear" w:color="auto" w:fill="auto"/>
                  <w:noWrap w:val="0"/>
                  <w:vAlign w:val="center"/>
                </w:tcPr>
                <w:p w14:paraId="72622BF0">
                  <w:pPr>
                    <w:keepNext w:val="0"/>
                    <w:keepLines w:val="0"/>
                    <w:pageBreakBefore w:val="0"/>
                    <w:widowControl/>
                    <w:kinsoku/>
                    <w:wordWrap/>
                    <w:overflowPunct/>
                    <w:topLinePunct w:val="0"/>
                    <w:bidi w:val="0"/>
                    <w:jc w:val="center"/>
                    <w:textAlignment w:val="center"/>
                    <w:rPr>
                      <w:rFonts w:hint="default" w:ascii="宋体" w:hAnsi="宋体" w:eastAsia="宋体" w:cs="宋体"/>
                      <w:color w:val="000000" w:themeColor="text1"/>
                      <w:kern w:val="0"/>
                      <w:sz w:val="21"/>
                      <w:szCs w:val="21"/>
                      <w:highlight w:val="none"/>
                      <w:lang w:val="en-US" w:eastAsia="zh-CN" w:bidi="ar"/>
                      <w14:textFill>
                        <w14:solidFill>
                          <w14:schemeClr w14:val="tx1"/>
                        </w14:solidFill>
                      </w14:textFill>
                    </w:rPr>
                  </w:pPr>
                  <w:r>
                    <w:rPr>
                      <w:rFonts w:hint="eastAsia" w:ascii="宋体" w:hAnsi="宋体" w:cs="宋体"/>
                      <w:color w:val="000000" w:themeColor="text1"/>
                      <w:kern w:val="0"/>
                      <w:szCs w:val="21"/>
                      <w:highlight w:val="none"/>
                      <w:lang w:val="en-US" w:eastAsia="zh-CN" w:bidi="ar"/>
                      <w14:textFill>
                        <w14:solidFill>
                          <w14:schemeClr w14:val="tx1"/>
                        </w14:solidFill>
                      </w14:textFill>
                    </w:rPr>
                    <w:t>烟尘（</w:t>
                  </w:r>
                  <w:r>
                    <w:rPr>
                      <w:rFonts w:hint="eastAsia" w:ascii="宋体" w:hAnsi="宋体" w:cs="宋体"/>
                      <w:color w:val="000000" w:themeColor="text1"/>
                      <w:kern w:val="0"/>
                      <w:szCs w:val="21"/>
                      <w:highlight w:val="none"/>
                      <w:lang w:bidi="ar"/>
                      <w14:textFill>
                        <w14:solidFill>
                          <w14:schemeClr w14:val="tx1"/>
                        </w14:solidFill>
                      </w14:textFill>
                    </w:rPr>
                    <w:t>颗粒物</w:t>
                  </w:r>
                  <w:r>
                    <w:rPr>
                      <w:rFonts w:hint="eastAsia" w:ascii="宋体" w:hAnsi="宋体" w:cs="宋体"/>
                      <w:color w:val="000000" w:themeColor="text1"/>
                      <w:kern w:val="0"/>
                      <w:szCs w:val="21"/>
                      <w:highlight w:val="none"/>
                      <w:lang w:eastAsia="zh-CN" w:bidi="ar"/>
                      <w14:textFill>
                        <w14:solidFill>
                          <w14:schemeClr w14:val="tx1"/>
                        </w14:solidFill>
                      </w14:textFill>
                    </w:rPr>
                    <w:t>）</w:t>
                  </w:r>
                </w:p>
              </w:tc>
              <w:tc>
                <w:tcPr>
                  <w:tcW w:w="650" w:type="pct"/>
                  <w:tcBorders>
                    <w:tl2br w:val="nil"/>
                    <w:tr2bl w:val="nil"/>
                  </w:tcBorders>
                  <w:shd w:val="clear" w:color="auto" w:fill="auto"/>
                  <w:noWrap w:val="0"/>
                  <w:vAlign w:val="center"/>
                </w:tcPr>
                <w:p w14:paraId="5FAA9888">
                  <w:pPr>
                    <w:keepNext w:val="0"/>
                    <w:keepLines w:val="0"/>
                    <w:pageBreakBefore w:val="0"/>
                    <w:widowControl/>
                    <w:kinsoku/>
                    <w:wordWrap/>
                    <w:overflowPunct/>
                    <w:topLinePunct w:val="0"/>
                    <w:bidi w:val="0"/>
                    <w:jc w:val="center"/>
                    <w:textAlignment w:val="bottom"/>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kern w:val="2"/>
                      <w:sz w:val="21"/>
                      <w:szCs w:val="21"/>
                      <w:lang w:val="en-US" w:eastAsia="zh-CN" w:bidi="ar-SA"/>
                    </w:rPr>
                    <w:t>0.429</w:t>
                  </w:r>
                </w:p>
              </w:tc>
              <w:tc>
                <w:tcPr>
                  <w:tcW w:w="752" w:type="pct"/>
                  <w:tcBorders>
                    <w:tl2br w:val="nil"/>
                    <w:tr2bl w:val="nil"/>
                  </w:tcBorders>
                  <w:noWrap w:val="0"/>
                  <w:vAlign w:val="center"/>
                </w:tcPr>
                <w:p w14:paraId="2801EBD6">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630" w:type="pct"/>
                  <w:tcBorders>
                    <w:tl2br w:val="nil"/>
                    <w:tr2bl w:val="nil"/>
                  </w:tcBorders>
                  <w:noWrap w:val="0"/>
                  <w:vAlign w:val="center"/>
                </w:tcPr>
                <w:p w14:paraId="4588A8A5">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0.0023</w:t>
                  </w:r>
                </w:p>
              </w:tc>
              <w:tc>
                <w:tcPr>
                  <w:tcW w:w="538" w:type="pct"/>
                  <w:tcBorders>
                    <w:tl2br w:val="nil"/>
                    <w:tr2bl w:val="nil"/>
                  </w:tcBorders>
                  <w:noWrap w:val="0"/>
                  <w:vAlign w:val="center"/>
                </w:tcPr>
                <w:p w14:paraId="47A32D56">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594" w:type="pct"/>
                  <w:tcBorders>
                    <w:tl2br w:val="nil"/>
                    <w:tr2bl w:val="nil"/>
                  </w:tcBorders>
                  <w:shd w:val="clear" w:color="auto" w:fill="auto"/>
                  <w:noWrap w:val="0"/>
                  <w:vAlign w:val="center"/>
                </w:tcPr>
                <w:p w14:paraId="6FF58B5F">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0.4313</w:t>
                  </w:r>
                </w:p>
              </w:tc>
              <w:tc>
                <w:tcPr>
                  <w:tcW w:w="619" w:type="pct"/>
                  <w:tcBorders>
                    <w:tl2br w:val="nil"/>
                    <w:tr2bl w:val="nil"/>
                  </w:tcBorders>
                  <w:shd w:val="clear" w:color="auto" w:fill="auto"/>
                  <w:noWrap w:val="0"/>
                  <w:vAlign w:val="center"/>
                </w:tcPr>
                <w:p w14:paraId="08AD61FC">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+0.0023</w:t>
                  </w:r>
                </w:p>
              </w:tc>
            </w:tr>
            <w:tr w14:paraId="18A273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2" w:type="pct"/>
                  <w:vMerge w:val="continue"/>
                  <w:tcBorders>
                    <w:tl2br w:val="nil"/>
                    <w:tr2bl w:val="nil"/>
                  </w:tcBorders>
                  <w:noWrap w:val="0"/>
                  <w:vAlign w:val="center"/>
                </w:tcPr>
                <w:p w14:paraId="63C3CE36">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941" w:type="pct"/>
                  <w:gridSpan w:val="2"/>
                  <w:tcBorders>
                    <w:tl2br w:val="nil"/>
                    <w:tr2bl w:val="nil"/>
                  </w:tcBorders>
                  <w:shd w:val="clear" w:color="auto" w:fill="auto"/>
                  <w:noWrap w:val="0"/>
                  <w:vAlign w:val="center"/>
                </w:tcPr>
                <w:p w14:paraId="488576CD">
                  <w:pPr>
                    <w:keepNext w:val="0"/>
                    <w:keepLines w:val="0"/>
                    <w:pageBreakBefore w:val="0"/>
                    <w:widowControl/>
                    <w:kinsoku/>
                    <w:wordWrap/>
                    <w:overflowPunct/>
                    <w:topLinePunct w:val="0"/>
                    <w:bidi w:val="0"/>
                    <w:jc w:val="center"/>
                    <w:textAlignment w:val="cente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pPr>
                  <w:r>
                    <w:rPr>
                      <w:rFonts w:hint="eastAsia" w:ascii="宋体" w:hAnsi="宋体" w:cs="宋体"/>
                      <w:color w:val="000000" w:themeColor="text1"/>
                      <w:kern w:val="0"/>
                      <w:szCs w:val="21"/>
                      <w:highlight w:val="none"/>
                      <w:lang w:val="en-US" w:eastAsia="zh-CN" w:bidi="ar"/>
                      <w14:textFill>
                        <w14:solidFill>
                          <w14:schemeClr w14:val="tx1"/>
                        </w14:solidFill>
                      </w14:textFill>
                    </w:rPr>
                    <w:t>工艺粉尘（颗粒物）</w:t>
                  </w:r>
                </w:p>
              </w:tc>
              <w:tc>
                <w:tcPr>
                  <w:tcW w:w="650" w:type="pct"/>
                  <w:tcBorders>
                    <w:tl2br w:val="nil"/>
                    <w:tr2bl w:val="nil"/>
                  </w:tcBorders>
                  <w:shd w:val="clear" w:color="auto" w:fill="auto"/>
                  <w:noWrap w:val="0"/>
                  <w:vAlign w:val="center"/>
                </w:tcPr>
                <w:p w14:paraId="6176058E">
                  <w:pPr>
                    <w:keepNext w:val="0"/>
                    <w:keepLines w:val="0"/>
                    <w:pageBreakBefore w:val="0"/>
                    <w:widowControl/>
                    <w:kinsoku/>
                    <w:wordWrap/>
                    <w:overflowPunct/>
                    <w:topLinePunct w:val="0"/>
                    <w:bidi w:val="0"/>
                    <w:jc w:val="center"/>
                    <w:textAlignment w:val="bottom"/>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i w:val="0"/>
                      <w:iCs w:val="0"/>
                      <w:color w:val="000000"/>
                      <w:kern w:val="0"/>
                      <w:sz w:val="21"/>
                      <w:szCs w:val="21"/>
                      <w:u w:val="none"/>
                      <w:lang w:val="en-US" w:eastAsia="zh-CN" w:bidi="ar"/>
                    </w:rPr>
                    <w:t>1.344</w:t>
                  </w:r>
                </w:p>
              </w:tc>
              <w:tc>
                <w:tcPr>
                  <w:tcW w:w="752" w:type="pct"/>
                  <w:tcBorders>
                    <w:tl2br w:val="nil"/>
                    <w:tr2bl w:val="nil"/>
                  </w:tcBorders>
                  <w:noWrap w:val="0"/>
                  <w:vAlign w:val="center"/>
                </w:tcPr>
                <w:p w14:paraId="33CB3CB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w:t>
                  </w:r>
                </w:p>
              </w:tc>
              <w:tc>
                <w:tcPr>
                  <w:tcW w:w="630" w:type="pct"/>
                  <w:tcBorders>
                    <w:tl2br w:val="nil"/>
                    <w:tr2bl w:val="nil"/>
                  </w:tcBorders>
                  <w:noWrap w:val="0"/>
                  <w:vAlign w:val="center"/>
                </w:tcPr>
                <w:p w14:paraId="0FE0C3E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0.12</w:t>
                  </w:r>
                </w:p>
              </w:tc>
              <w:tc>
                <w:tcPr>
                  <w:tcW w:w="538" w:type="pct"/>
                  <w:tcBorders>
                    <w:tl2br w:val="nil"/>
                    <w:tr2bl w:val="nil"/>
                  </w:tcBorders>
                  <w:noWrap w:val="0"/>
                  <w:vAlign w:val="center"/>
                </w:tcPr>
                <w:p w14:paraId="1CB537D4">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594" w:type="pct"/>
                  <w:tcBorders>
                    <w:tl2br w:val="nil"/>
                    <w:tr2bl w:val="nil"/>
                  </w:tcBorders>
                  <w:shd w:val="clear" w:color="auto" w:fill="auto"/>
                  <w:noWrap w:val="0"/>
                  <w:vAlign w:val="center"/>
                </w:tcPr>
                <w:p w14:paraId="6A775D82">
                  <w:pPr>
                    <w:keepNext w:val="0"/>
                    <w:keepLines w:val="0"/>
                    <w:pageBreakBefore w:val="0"/>
                    <w:widowControl/>
                    <w:suppressLineNumbers w:val="0"/>
                    <w:kinsoku/>
                    <w:wordWrap/>
                    <w:overflowPunct/>
                    <w:topLinePunct w:val="0"/>
                    <w:bidi w:val="0"/>
                    <w:jc w:val="center"/>
                    <w:textAlignment w:val="center"/>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1.464</w:t>
                  </w:r>
                </w:p>
              </w:tc>
              <w:tc>
                <w:tcPr>
                  <w:tcW w:w="619" w:type="pct"/>
                  <w:tcBorders>
                    <w:tl2br w:val="nil"/>
                    <w:tr2bl w:val="nil"/>
                  </w:tcBorders>
                  <w:shd w:val="clear" w:color="auto" w:fill="auto"/>
                  <w:noWrap w:val="0"/>
                  <w:vAlign w:val="center"/>
                </w:tcPr>
                <w:p w14:paraId="5674B8BE">
                  <w:pPr>
                    <w:keepNext w:val="0"/>
                    <w:keepLines w:val="0"/>
                    <w:pageBreakBefore w:val="0"/>
                    <w:widowControl/>
                    <w:suppressLineNumbers w:val="0"/>
                    <w:kinsoku/>
                    <w:wordWrap/>
                    <w:overflowPunct/>
                    <w:topLinePunct w:val="0"/>
                    <w:bidi w:val="0"/>
                    <w:jc w:val="center"/>
                    <w:textAlignment w:val="center"/>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+0.12</w:t>
                  </w:r>
                </w:p>
              </w:tc>
            </w:tr>
            <w:tr w14:paraId="067A0E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2" w:type="pct"/>
                  <w:vMerge w:val="restart"/>
                  <w:tcBorders>
                    <w:tl2br w:val="nil"/>
                    <w:tr2bl w:val="nil"/>
                  </w:tcBorders>
                  <w:noWrap w:val="0"/>
                  <w:vAlign w:val="center"/>
                </w:tcPr>
                <w:p w14:paraId="39CB5C5E">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固废</w:t>
                  </w:r>
                </w:p>
              </w:tc>
              <w:tc>
                <w:tcPr>
                  <w:tcW w:w="941" w:type="pct"/>
                  <w:gridSpan w:val="2"/>
                  <w:tcBorders>
                    <w:tl2br w:val="nil"/>
                    <w:tr2bl w:val="nil"/>
                  </w:tcBorders>
                  <w:noWrap w:val="0"/>
                  <w:vAlign w:val="center"/>
                </w:tcPr>
                <w:p w14:paraId="5831450A">
                  <w:pPr>
                    <w:pStyle w:val="156"/>
                    <w:keepNext w:val="0"/>
                    <w:keepLines w:val="0"/>
                    <w:pageBreakBefore w:val="0"/>
                    <w:kinsoku/>
                    <w:wordWrap/>
                    <w:overflowPunct/>
                    <w:topLinePunct w:val="0"/>
                    <w:bidi w:val="0"/>
                    <w:ind w:firstLine="0" w:firstLineChars="0"/>
                    <w:rPr>
                      <w:rFonts w:hint="default" w:ascii="Times New Roman" w:hAnsi="Times New Roman" w:eastAsia="宋体" w:cs="Times New Roman"/>
                      <w:color w:val="auto"/>
                      <w:kern w:val="2"/>
                      <w:sz w:val="21"/>
                      <w:szCs w:val="21"/>
                      <w:highlight w:val="none"/>
                    </w:rPr>
                  </w:pPr>
                  <w:r>
                    <w:rPr>
                      <w:rFonts w:hint="eastAsia"/>
                      <w:color w:val="000000"/>
                      <w:sz w:val="21"/>
                      <w:szCs w:val="21"/>
                    </w:rPr>
                    <w:t>颗粒物</w:t>
                  </w:r>
                </w:p>
              </w:tc>
              <w:tc>
                <w:tcPr>
                  <w:tcW w:w="650" w:type="pct"/>
                  <w:tcBorders>
                    <w:tl2br w:val="nil"/>
                    <w:tr2bl w:val="nil"/>
                  </w:tcBorders>
                  <w:noWrap w:val="0"/>
                  <w:vAlign w:val="center"/>
                </w:tcPr>
                <w:p w14:paraId="4E25C726">
                  <w:pPr>
                    <w:pStyle w:val="156"/>
                    <w:keepNext w:val="0"/>
                    <w:keepLines w:val="0"/>
                    <w:pageBreakBefore w:val="0"/>
                    <w:kinsoku/>
                    <w:wordWrap/>
                    <w:overflowPunct/>
                    <w:topLinePunct w:val="0"/>
                    <w:bidi w:val="0"/>
                    <w:ind w:firstLine="0" w:firstLineChars="0"/>
                    <w:rPr>
                      <w:rFonts w:hint="default" w:ascii="Times New Roman" w:hAnsi="Times New Roman" w:eastAsia="宋体" w:cs="Times New Roman"/>
                      <w:color w:val="auto"/>
                      <w:kern w:val="2"/>
                      <w:sz w:val="21"/>
                      <w:szCs w:val="21"/>
                      <w:highlight w:val="none"/>
                      <w:lang w:val="en-US" w:eastAsia="zh-CN"/>
                    </w:rPr>
                  </w:pPr>
                  <w:r>
                    <w:rPr>
                      <w:rFonts w:hint="eastAsia" w:eastAsia="宋体"/>
                      <w:color w:val="000000"/>
                      <w:kern w:val="2"/>
                      <w:sz w:val="21"/>
                      <w:szCs w:val="21"/>
                      <w:lang w:val="en-US" w:eastAsia="zh-CN" w:bidi="ar-SA"/>
                    </w:rPr>
                    <w:t>124.6</w:t>
                  </w:r>
                </w:p>
              </w:tc>
              <w:tc>
                <w:tcPr>
                  <w:tcW w:w="752" w:type="pct"/>
                  <w:tcBorders>
                    <w:tl2br w:val="nil"/>
                    <w:tr2bl w:val="nil"/>
                  </w:tcBorders>
                  <w:noWrap w:val="0"/>
                  <w:vAlign w:val="center"/>
                </w:tcPr>
                <w:p w14:paraId="603F22B3">
                  <w:pPr>
                    <w:keepNext w:val="0"/>
                    <w:keepLines w:val="0"/>
                    <w:pageBreakBefore w:val="0"/>
                    <w:widowControl w:val="0"/>
                    <w:kinsoku/>
                    <w:wordWrap/>
                    <w:overflowPunct/>
                    <w:topLinePunct w:val="0"/>
                    <w:autoSpaceDE w:val="0"/>
                    <w:autoSpaceDN w:val="0"/>
                    <w:bidi w:val="0"/>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630" w:type="pct"/>
                  <w:tcBorders>
                    <w:tl2br w:val="nil"/>
                    <w:tr2bl w:val="nil"/>
                  </w:tcBorders>
                  <w:noWrap w:val="0"/>
                  <w:vAlign w:val="center"/>
                </w:tcPr>
                <w:p w14:paraId="1876D017">
                  <w:pPr>
                    <w:keepNext w:val="0"/>
                    <w:keepLines w:val="0"/>
                    <w:pageBreakBefore w:val="0"/>
                    <w:widowControl w:val="0"/>
                    <w:kinsoku/>
                    <w:wordWrap/>
                    <w:overflowPunct/>
                    <w:topLinePunct w:val="0"/>
                    <w:autoSpaceDE w:val="0"/>
                    <w:autoSpaceDN w:val="0"/>
                    <w:bidi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40.5925</w:t>
                  </w:r>
                </w:p>
              </w:tc>
              <w:tc>
                <w:tcPr>
                  <w:tcW w:w="538" w:type="pct"/>
                  <w:tcBorders>
                    <w:tl2br w:val="nil"/>
                    <w:tr2bl w:val="nil"/>
                  </w:tcBorders>
                  <w:noWrap w:val="0"/>
                  <w:vAlign w:val="center"/>
                </w:tcPr>
                <w:p w14:paraId="162486D1">
                  <w:pPr>
                    <w:keepNext w:val="0"/>
                    <w:keepLines w:val="0"/>
                    <w:pageBreakBefore w:val="0"/>
                    <w:kinsoku/>
                    <w:wordWrap/>
                    <w:overflowPunct/>
                    <w:topLinePunct w:val="0"/>
                    <w:bidi w:val="0"/>
                    <w:spacing w:line="240" w:lineRule="auto"/>
                    <w:ind w:firstLine="0" w:firstLineChars="0"/>
                    <w:jc w:val="center"/>
                    <w:rPr>
                      <w:rFonts w:hint="eastAsia" w:cs="Times New Roman"/>
                      <w:color w:val="auto"/>
                      <w:kern w:val="0"/>
                      <w:sz w:val="21"/>
                      <w:szCs w:val="21"/>
                      <w:highlight w:val="none"/>
                      <w:lang w:val="en-US" w:eastAsia="zh-CN" w:bidi="he-IL"/>
                    </w:rPr>
                  </w:pPr>
                  <w:r>
                    <w:rPr>
                      <w:rFonts w:hint="default" w:ascii="Times New Roman" w:hAnsi="Times New Roman" w:eastAsia="宋体" w:cs="Times New Roman"/>
                      <w:color w:val="auto"/>
                      <w:sz w:val="21"/>
                      <w:szCs w:val="21"/>
                      <w:highlight w:val="none"/>
                    </w:rPr>
                    <w:t>0</w:t>
                  </w:r>
                </w:p>
              </w:tc>
              <w:tc>
                <w:tcPr>
                  <w:tcW w:w="594" w:type="pct"/>
                  <w:tcBorders>
                    <w:tl2br w:val="nil"/>
                    <w:tr2bl w:val="nil"/>
                  </w:tcBorders>
                  <w:noWrap w:val="0"/>
                  <w:vAlign w:val="center"/>
                </w:tcPr>
                <w:p w14:paraId="10CC4286">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he-IL"/>
                    </w:rPr>
                  </w:pPr>
                  <w:r>
                    <w:rPr>
                      <w:rFonts w:hint="eastAsia" w:ascii="Times New Roman" w:hAnsi="Times New Roman" w:cs="Times New Roman"/>
                      <w:color w:val="auto"/>
                      <w:kern w:val="0"/>
                      <w:sz w:val="21"/>
                      <w:szCs w:val="21"/>
                      <w:highlight w:val="none"/>
                      <w:lang w:val="en-US" w:eastAsia="zh-CN" w:bidi="he-IL"/>
                    </w:rPr>
                    <w:t>165.1925</w:t>
                  </w:r>
                </w:p>
              </w:tc>
              <w:tc>
                <w:tcPr>
                  <w:tcW w:w="619" w:type="pct"/>
                  <w:tcBorders>
                    <w:tl2br w:val="nil"/>
                    <w:tr2bl w:val="nil"/>
                  </w:tcBorders>
                  <w:noWrap w:val="0"/>
                  <w:vAlign w:val="center"/>
                </w:tcPr>
                <w:p w14:paraId="28364AB3">
                  <w:pPr>
                    <w:keepNext w:val="0"/>
                    <w:keepLines w:val="0"/>
                    <w:pageBreakBefore w:val="0"/>
                    <w:widowControl w:val="0"/>
                    <w:kinsoku/>
                    <w:wordWrap/>
                    <w:overflowPunct/>
                    <w:topLinePunct w:val="0"/>
                    <w:autoSpaceDE w:val="0"/>
                    <w:autoSpaceDN w:val="0"/>
                    <w:bidi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he-IL"/>
                    </w:rPr>
                  </w:pPr>
                  <w:r>
                    <w:rPr>
                      <w:rFonts w:hint="eastAsia" w:ascii="Times New Roman" w:hAnsi="Times New Roman" w:cs="Times New Roman"/>
                      <w:color w:val="auto"/>
                      <w:kern w:val="0"/>
                      <w:sz w:val="21"/>
                      <w:szCs w:val="21"/>
                      <w:highlight w:val="none"/>
                      <w:lang w:val="en-US" w:eastAsia="zh-CN" w:bidi="he-IL"/>
                    </w:rPr>
                    <w:t>+40.5925</w:t>
                  </w:r>
                </w:p>
              </w:tc>
            </w:tr>
            <w:tr w14:paraId="584F63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2" w:type="pct"/>
                  <w:vMerge w:val="continue"/>
                  <w:tcBorders>
                    <w:tl2br w:val="nil"/>
                    <w:tr2bl w:val="nil"/>
                  </w:tcBorders>
                  <w:noWrap w:val="0"/>
                  <w:vAlign w:val="center"/>
                </w:tcPr>
                <w:p w14:paraId="0D574DFE">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kern w:val="2"/>
                      <w:sz w:val="21"/>
                      <w:szCs w:val="21"/>
                      <w:highlight w:val="none"/>
                    </w:rPr>
                  </w:pPr>
                </w:p>
              </w:tc>
              <w:tc>
                <w:tcPr>
                  <w:tcW w:w="941" w:type="pct"/>
                  <w:gridSpan w:val="2"/>
                  <w:tcBorders>
                    <w:tl2br w:val="nil"/>
                    <w:tr2bl w:val="nil"/>
                  </w:tcBorders>
                  <w:noWrap w:val="0"/>
                  <w:vAlign w:val="center"/>
                </w:tcPr>
                <w:p w14:paraId="58D34151">
                  <w:pPr>
                    <w:pStyle w:val="156"/>
                    <w:keepNext w:val="0"/>
                    <w:keepLines w:val="0"/>
                    <w:pageBreakBefore w:val="0"/>
                    <w:kinsoku/>
                    <w:wordWrap/>
                    <w:overflowPunct/>
                    <w:topLinePunct w:val="0"/>
                    <w:bidi w:val="0"/>
                    <w:ind w:firstLine="0" w:firstLineChars="0"/>
                    <w:jc w:val="center"/>
                    <w:rPr>
                      <w:rFonts w:hint="default" w:ascii="Times New Roman" w:hAnsi="Times New Roman" w:eastAsia="宋体" w:cs="Times New Roman"/>
                      <w:color w:val="auto"/>
                      <w:sz w:val="21"/>
                      <w:szCs w:val="21"/>
                      <w:highlight w:val="none"/>
                      <w:lang w:eastAsia="zh-CN"/>
                    </w:rPr>
                  </w:pPr>
                  <w:r>
                    <w:rPr>
                      <w:color w:val="000000"/>
                      <w:sz w:val="21"/>
                      <w:szCs w:val="21"/>
                    </w:rPr>
                    <w:t>边角料</w:t>
                  </w:r>
                </w:p>
              </w:tc>
              <w:tc>
                <w:tcPr>
                  <w:tcW w:w="650" w:type="pct"/>
                  <w:tcBorders>
                    <w:tl2br w:val="nil"/>
                    <w:tr2bl w:val="nil"/>
                  </w:tcBorders>
                  <w:noWrap w:val="0"/>
                  <w:vAlign w:val="center"/>
                </w:tcPr>
                <w:p w14:paraId="0C8215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000000"/>
                      <w:kern w:val="2"/>
                      <w:sz w:val="21"/>
                      <w:szCs w:val="21"/>
                      <w:lang w:val="en-US" w:eastAsia="zh-CN" w:bidi="ar-SA"/>
                    </w:rPr>
                    <w:t>5274.1</w:t>
                  </w:r>
                </w:p>
              </w:tc>
              <w:tc>
                <w:tcPr>
                  <w:tcW w:w="752" w:type="pct"/>
                  <w:tcBorders>
                    <w:tl2br w:val="nil"/>
                    <w:tr2bl w:val="nil"/>
                  </w:tcBorders>
                  <w:noWrap w:val="0"/>
                  <w:vAlign w:val="center"/>
                </w:tcPr>
                <w:p w14:paraId="3CE5494F">
                  <w:pPr>
                    <w:keepNext w:val="0"/>
                    <w:keepLines w:val="0"/>
                    <w:pageBreakBefore w:val="0"/>
                    <w:widowControl w:val="0"/>
                    <w:kinsoku/>
                    <w:wordWrap/>
                    <w:overflowPunct/>
                    <w:topLinePunct w:val="0"/>
                    <w:bidi w:val="0"/>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630" w:type="pct"/>
                  <w:tcBorders>
                    <w:tl2br w:val="nil"/>
                    <w:tr2bl w:val="nil"/>
                  </w:tcBorders>
                  <w:noWrap w:val="0"/>
                  <w:vAlign w:val="center"/>
                </w:tcPr>
                <w:p w14:paraId="13EC9710">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879</w:t>
                  </w:r>
                </w:p>
              </w:tc>
              <w:tc>
                <w:tcPr>
                  <w:tcW w:w="538" w:type="pct"/>
                  <w:tcBorders>
                    <w:tl2br w:val="nil"/>
                    <w:tr2bl w:val="nil"/>
                  </w:tcBorders>
                  <w:noWrap w:val="0"/>
                  <w:vAlign w:val="center"/>
                </w:tcPr>
                <w:p w14:paraId="2A7AE925">
                  <w:pPr>
                    <w:keepNext w:val="0"/>
                    <w:keepLines w:val="0"/>
                    <w:pageBreakBefore w:val="0"/>
                    <w:kinsoku/>
                    <w:wordWrap/>
                    <w:overflowPunct/>
                    <w:topLinePunct w:val="0"/>
                    <w:bidi w:val="0"/>
                    <w:spacing w:line="240" w:lineRule="auto"/>
                    <w:ind w:firstLine="0" w:firstLineChars="0"/>
                    <w:jc w:val="center"/>
                    <w:rPr>
                      <w:rFonts w:hint="eastAsia" w:cs="Times New Roman"/>
                      <w:color w:val="auto"/>
                      <w:kern w:val="0"/>
                      <w:sz w:val="21"/>
                      <w:szCs w:val="21"/>
                      <w:highlight w:val="none"/>
                      <w:lang w:val="en-US" w:eastAsia="zh-CN" w:bidi="he-IL"/>
                    </w:rPr>
                  </w:pPr>
                  <w:r>
                    <w:rPr>
                      <w:rFonts w:hint="default" w:ascii="Times New Roman" w:hAnsi="Times New Roman" w:eastAsia="宋体" w:cs="Times New Roman"/>
                      <w:color w:val="auto"/>
                      <w:sz w:val="21"/>
                      <w:szCs w:val="21"/>
                      <w:highlight w:val="none"/>
                    </w:rPr>
                    <w:t>0</w:t>
                  </w:r>
                </w:p>
              </w:tc>
              <w:tc>
                <w:tcPr>
                  <w:tcW w:w="594" w:type="pct"/>
                  <w:tcBorders>
                    <w:tl2br w:val="nil"/>
                    <w:tr2bl w:val="nil"/>
                  </w:tcBorders>
                  <w:noWrap w:val="0"/>
                  <w:vAlign w:val="center"/>
                </w:tcPr>
                <w:p w14:paraId="7D1233F1">
                  <w:pPr>
                    <w:keepNext w:val="0"/>
                    <w:keepLines w:val="0"/>
                    <w:pageBreakBefore w:val="0"/>
                    <w:widowControl w:val="0"/>
                    <w:kinsoku/>
                    <w:wordWrap/>
                    <w:overflowPunct/>
                    <w:topLinePunct w:val="0"/>
                    <w:autoSpaceDE w:val="0"/>
                    <w:autoSpaceDN w:val="0"/>
                    <w:bidi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he-IL"/>
                    </w:rPr>
                  </w:pPr>
                  <w:r>
                    <w:rPr>
                      <w:rFonts w:hint="eastAsia" w:ascii="Times New Roman" w:hAnsi="Times New Roman" w:cs="Times New Roman"/>
                      <w:color w:val="auto"/>
                      <w:kern w:val="0"/>
                      <w:sz w:val="21"/>
                      <w:szCs w:val="21"/>
                      <w:highlight w:val="none"/>
                      <w:lang w:val="en-US" w:eastAsia="zh-CN" w:bidi="he-IL"/>
                    </w:rPr>
                    <w:t>6153.1</w:t>
                  </w:r>
                </w:p>
              </w:tc>
              <w:tc>
                <w:tcPr>
                  <w:tcW w:w="619" w:type="pct"/>
                  <w:tcBorders>
                    <w:tl2br w:val="nil"/>
                    <w:tr2bl w:val="nil"/>
                  </w:tcBorders>
                  <w:noWrap w:val="0"/>
                  <w:vAlign w:val="center"/>
                </w:tcPr>
                <w:p w14:paraId="55520B7D">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he-IL"/>
                    </w:rPr>
                  </w:pPr>
                  <w:r>
                    <w:rPr>
                      <w:rFonts w:hint="eastAsia" w:ascii="Times New Roman" w:hAnsi="Times New Roman" w:cs="Times New Roman"/>
                      <w:color w:val="auto"/>
                      <w:kern w:val="0"/>
                      <w:sz w:val="21"/>
                      <w:szCs w:val="21"/>
                      <w:highlight w:val="none"/>
                      <w:lang w:val="en-US" w:eastAsia="zh-CN" w:bidi="he-IL"/>
                    </w:rPr>
                    <w:t>+879</w:t>
                  </w:r>
                </w:p>
              </w:tc>
            </w:tr>
            <w:tr w14:paraId="58DEE0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2" w:type="pct"/>
                  <w:vMerge w:val="continue"/>
                  <w:tcBorders>
                    <w:tl2br w:val="nil"/>
                    <w:tr2bl w:val="nil"/>
                  </w:tcBorders>
                  <w:noWrap w:val="0"/>
                  <w:vAlign w:val="center"/>
                </w:tcPr>
                <w:p w14:paraId="7670B0E9">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kern w:val="2"/>
                      <w:sz w:val="21"/>
                      <w:szCs w:val="21"/>
                      <w:highlight w:val="none"/>
                    </w:rPr>
                  </w:pPr>
                </w:p>
              </w:tc>
              <w:tc>
                <w:tcPr>
                  <w:tcW w:w="941" w:type="pct"/>
                  <w:gridSpan w:val="2"/>
                  <w:tcBorders>
                    <w:tl2br w:val="nil"/>
                    <w:tr2bl w:val="nil"/>
                  </w:tcBorders>
                  <w:noWrap w:val="0"/>
                  <w:vAlign w:val="center"/>
                </w:tcPr>
                <w:p w14:paraId="0319EC2A">
                  <w:pPr>
                    <w:pStyle w:val="156"/>
                    <w:keepNext w:val="0"/>
                    <w:keepLines w:val="0"/>
                    <w:pageBreakBefore w:val="0"/>
                    <w:kinsoku/>
                    <w:wordWrap/>
                    <w:overflowPunct/>
                    <w:topLinePunct w:val="0"/>
                    <w:bidi w:val="0"/>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000000"/>
                      <w:sz w:val="21"/>
                      <w:szCs w:val="21"/>
                      <w:lang w:val="en-US" w:eastAsia="zh-CN"/>
                    </w:rPr>
                    <w:t>废布袋</w:t>
                  </w:r>
                </w:p>
              </w:tc>
              <w:tc>
                <w:tcPr>
                  <w:tcW w:w="650" w:type="pct"/>
                  <w:tcBorders>
                    <w:tl2br w:val="nil"/>
                    <w:tr2bl w:val="nil"/>
                  </w:tcBorders>
                  <w:noWrap w:val="0"/>
                  <w:vAlign w:val="center"/>
                </w:tcPr>
                <w:p w14:paraId="373E8722">
                  <w:pPr>
                    <w:pStyle w:val="15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000000"/>
                      <w:kern w:val="0"/>
                      <w:sz w:val="21"/>
                      <w:szCs w:val="21"/>
                      <w:lang w:val="en-US" w:eastAsia="zh-CN" w:bidi="ar-SA"/>
                    </w:rPr>
                    <w:t>1.5</w:t>
                  </w:r>
                </w:p>
              </w:tc>
              <w:tc>
                <w:tcPr>
                  <w:tcW w:w="752" w:type="pct"/>
                  <w:tcBorders>
                    <w:tl2br w:val="nil"/>
                    <w:tr2bl w:val="nil"/>
                  </w:tcBorders>
                  <w:noWrap w:val="0"/>
                  <w:vAlign w:val="center"/>
                </w:tcPr>
                <w:p w14:paraId="60D02232">
                  <w:pPr>
                    <w:keepNext w:val="0"/>
                    <w:keepLines w:val="0"/>
                    <w:pageBreakBefore w:val="0"/>
                    <w:widowControl w:val="0"/>
                    <w:kinsoku/>
                    <w:wordWrap/>
                    <w:overflowPunct/>
                    <w:topLinePunct w:val="0"/>
                    <w:bidi w:val="0"/>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630" w:type="pct"/>
                  <w:tcBorders>
                    <w:tl2br w:val="nil"/>
                    <w:tr2bl w:val="nil"/>
                  </w:tcBorders>
                  <w:noWrap w:val="0"/>
                  <w:vAlign w:val="center"/>
                </w:tcPr>
                <w:p w14:paraId="1F4D0371">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538" w:type="pct"/>
                  <w:tcBorders>
                    <w:tl2br w:val="nil"/>
                    <w:tr2bl w:val="nil"/>
                  </w:tcBorders>
                  <w:noWrap w:val="0"/>
                  <w:vAlign w:val="center"/>
                </w:tcPr>
                <w:p w14:paraId="44E24588">
                  <w:pPr>
                    <w:keepNext w:val="0"/>
                    <w:keepLines w:val="0"/>
                    <w:pageBreakBefore w:val="0"/>
                    <w:kinsoku/>
                    <w:wordWrap/>
                    <w:overflowPunct/>
                    <w:topLinePunct w:val="0"/>
                    <w:bidi w:val="0"/>
                    <w:spacing w:line="240" w:lineRule="auto"/>
                    <w:ind w:firstLine="0" w:firstLineChars="0"/>
                    <w:jc w:val="center"/>
                    <w:rPr>
                      <w:rFonts w:hint="eastAsia" w:cs="Times New Roman"/>
                      <w:color w:val="auto"/>
                      <w:kern w:val="0"/>
                      <w:sz w:val="21"/>
                      <w:szCs w:val="21"/>
                      <w:highlight w:val="none"/>
                      <w:lang w:val="en-US" w:eastAsia="zh-CN" w:bidi="he-IL"/>
                    </w:rPr>
                  </w:pPr>
                  <w:r>
                    <w:rPr>
                      <w:rFonts w:hint="default" w:ascii="Times New Roman" w:hAnsi="Times New Roman" w:eastAsia="宋体" w:cs="Times New Roman"/>
                      <w:color w:val="auto"/>
                      <w:sz w:val="21"/>
                      <w:szCs w:val="21"/>
                      <w:highlight w:val="none"/>
                    </w:rPr>
                    <w:t>0</w:t>
                  </w:r>
                </w:p>
              </w:tc>
              <w:tc>
                <w:tcPr>
                  <w:tcW w:w="594" w:type="pct"/>
                  <w:tcBorders>
                    <w:tl2br w:val="nil"/>
                    <w:tr2bl w:val="nil"/>
                  </w:tcBorders>
                  <w:noWrap w:val="0"/>
                  <w:vAlign w:val="center"/>
                </w:tcPr>
                <w:p w14:paraId="67694647">
                  <w:pPr>
                    <w:keepNext w:val="0"/>
                    <w:keepLines w:val="0"/>
                    <w:pageBreakBefore w:val="0"/>
                    <w:widowControl w:val="0"/>
                    <w:kinsoku/>
                    <w:wordWrap/>
                    <w:overflowPunct/>
                    <w:topLinePunct w:val="0"/>
                    <w:autoSpaceDE w:val="0"/>
                    <w:autoSpaceDN w:val="0"/>
                    <w:bidi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he-IL"/>
                    </w:rPr>
                  </w:pPr>
                  <w:r>
                    <w:rPr>
                      <w:rFonts w:hint="eastAsia" w:ascii="Times New Roman" w:hAnsi="Times New Roman" w:cs="Times New Roman"/>
                      <w:color w:val="auto"/>
                      <w:kern w:val="0"/>
                      <w:sz w:val="21"/>
                      <w:szCs w:val="21"/>
                      <w:highlight w:val="none"/>
                      <w:lang w:val="en-US" w:eastAsia="zh-CN" w:bidi="he-IL"/>
                    </w:rPr>
                    <w:t>3</w:t>
                  </w:r>
                </w:p>
              </w:tc>
              <w:tc>
                <w:tcPr>
                  <w:tcW w:w="619" w:type="pct"/>
                  <w:tcBorders>
                    <w:tl2br w:val="nil"/>
                    <w:tr2bl w:val="nil"/>
                  </w:tcBorders>
                  <w:noWrap w:val="0"/>
                  <w:vAlign w:val="center"/>
                </w:tcPr>
                <w:p w14:paraId="4EA07FA3">
                  <w:pPr>
                    <w:keepNext w:val="0"/>
                    <w:keepLines w:val="0"/>
                    <w:pageBreakBefore w:val="0"/>
                    <w:widowControl w:val="0"/>
                    <w:kinsoku/>
                    <w:wordWrap/>
                    <w:overflowPunct/>
                    <w:topLinePunct w:val="0"/>
                    <w:autoSpaceDE w:val="0"/>
                    <w:autoSpaceDN w:val="0"/>
                    <w:bidi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he-IL"/>
                    </w:rPr>
                  </w:pPr>
                  <w:r>
                    <w:rPr>
                      <w:rFonts w:hint="eastAsia" w:ascii="Times New Roman" w:hAnsi="Times New Roman" w:cs="Times New Roman"/>
                      <w:color w:val="auto"/>
                      <w:kern w:val="0"/>
                      <w:sz w:val="21"/>
                      <w:szCs w:val="21"/>
                      <w:highlight w:val="none"/>
                      <w:lang w:val="en-US" w:eastAsia="zh-CN" w:bidi="he-IL"/>
                    </w:rPr>
                    <w:t>+1.5</w:t>
                  </w:r>
                </w:p>
              </w:tc>
            </w:tr>
            <w:tr w14:paraId="289F2D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2" w:type="pct"/>
                  <w:vMerge w:val="continue"/>
                  <w:tcBorders>
                    <w:tl2br w:val="nil"/>
                    <w:tr2bl w:val="nil"/>
                  </w:tcBorders>
                  <w:noWrap w:val="0"/>
                  <w:vAlign w:val="center"/>
                </w:tcPr>
                <w:p w14:paraId="7A865FED">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kern w:val="2"/>
                      <w:sz w:val="21"/>
                      <w:szCs w:val="21"/>
                      <w:highlight w:val="none"/>
                    </w:rPr>
                  </w:pPr>
                </w:p>
              </w:tc>
              <w:tc>
                <w:tcPr>
                  <w:tcW w:w="941" w:type="pct"/>
                  <w:gridSpan w:val="2"/>
                  <w:tcBorders>
                    <w:tl2br w:val="nil"/>
                    <w:tr2bl w:val="nil"/>
                  </w:tcBorders>
                  <w:noWrap w:val="0"/>
                  <w:vAlign w:val="center"/>
                </w:tcPr>
                <w:p w14:paraId="1FFC1B8C">
                  <w:pPr>
                    <w:pStyle w:val="156"/>
                    <w:keepNext w:val="0"/>
                    <w:keepLines w:val="0"/>
                    <w:pageBreakBefore w:val="0"/>
                    <w:kinsoku/>
                    <w:wordWrap/>
                    <w:overflowPunct/>
                    <w:topLinePunct w:val="0"/>
                    <w:bidi w:val="0"/>
                    <w:ind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炉渣</w:t>
                  </w:r>
                </w:p>
              </w:tc>
              <w:tc>
                <w:tcPr>
                  <w:tcW w:w="650" w:type="pct"/>
                  <w:tcBorders>
                    <w:tl2br w:val="nil"/>
                    <w:tr2bl w:val="nil"/>
                  </w:tcBorders>
                  <w:noWrap w:val="0"/>
                  <w:vAlign w:val="center"/>
                </w:tcPr>
                <w:p w14:paraId="190DD2D0">
                  <w:pPr>
                    <w:pStyle w:val="15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0</w:t>
                  </w:r>
                </w:p>
              </w:tc>
              <w:tc>
                <w:tcPr>
                  <w:tcW w:w="752" w:type="pct"/>
                  <w:tcBorders>
                    <w:tl2br w:val="nil"/>
                    <w:tr2bl w:val="nil"/>
                  </w:tcBorders>
                  <w:noWrap w:val="0"/>
                  <w:vAlign w:val="center"/>
                </w:tcPr>
                <w:p w14:paraId="168D41D9">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630" w:type="pct"/>
                  <w:tcBorders>
                    <w:tl2br w:val="nil"/>
                    <w:tr2bl w:val="nil"/>
                  </w:tcBorders>
                  <w:noWrap w:val="0"/>
                  <w:vAlign w:val="center"/>
                </w:tcPr>
                <w:p w14:paraId="19809629">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w:t>
                  </w:r>
                  <w:r>
                    <w:rPr>
                      <w:rFonts w:hint="eastAsia" w:cs="Times New Roman"/>
                      <w:color w:val="auto"/>
                      <w:sz w:val="21"/>
                      <w:szCs w:val="21"/>
                      <w:highlight w:val="none"/>
                      <w:lang w:val="en-US" w:eastAsia="zh-CN"/>
                    </w:rPr>
                    <w:t>6</w:t>
                  </w:r>
                </w:p>
              </w:tc>
              <w:tc>
                <w:tcPr>
                  <w:tcW w:w="538" w:type="pct"/>
                  <w:tcBorders>
                    <w:tl2br w:val="nil"/>
                    <w:tr2bl w:val="nil"/>
                  </w:tcBorders>
                  <w:noWrap w:val="0"/>
                  <w:vAlign w:val="center"/>
                </w:tcPr>
                <w:p w14:paraId="2351F115">
                  <w:pPr>
                    <w:keepNext w:val="0"/>
                    <w:keepLines w:val="0"/>
                    <w:pageBreakBefore w:val="0"/>
                    <w:kinsoku/>
                    <w:wordWrap/>
                    <w:overflowPunct/>
                    <w:topLinePunct w:val="0"/>
                    <w:bidi w:val="0"/>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594" w:type="pct"/>
                  <w:tcBorders>
                    <w:tl2br w:val="nil"/>
                    <w:tr2bl w:val="nil"/>
                  </w:tcBorders>
                  <w:noWrap w:val="0"/>
                  <w:vAlign w:val="center"/>
                </w:tcPr>
                <w:p w14:paraId="788E30F7">
                  <w:pPr>
                    <w:keepNext w:val="0"/>
                    <w:keepLines w:val="0"/>
                    <w:pageBreakBefore w:val="0"/>
                    <w:widowControl w:val="0"/>
                    <w:kinsoku/>
                    <w:wordWrap/>
                    <w:overflowPunct/>
                    <w:topLinePunct w:val="0"/>
                    <w:autoSpaceDE w:val="0"/>
                    <w:autoSpaceDN w:val="0"/>
                    <w:bidi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he-IL"/>
                    </w:rPr>
                  </w:pPr>
                  <w:r>
                    <w:rPr>
                      <w:rFonts w:hint="eastAsia" w:ascii="Times New Roman" w:hAnsi="Times New Roman" w:cs="Times New Roman"/>
                      <w:color w:val="auto"/>
                      <w:kern w:val="0"/>
                      <w:sz w:val="21"/>
                      <w:szCs w:val="21"/>
                      <w:highlight w:val="none"/>
                      <w:lang w:val="en-US" w:eastAsia="zh-CN" w:bidi="he-IL"/>
                    </w:rPr>
                    <w:t>7.</w:t>
                  </w:r>
                  <w:r>
                    <w:rPr>
                      <w:rFonts w:hint="eastAsia" w:cs="Times New Roman"/>
                      <w:color w:val="auto"/>
                      <w:kern w:val="0"/>
                      <w:sz w:val="21"/>
                      <w:szCs w:val="21"/>
                      <w:highlight w:val="none"/>
                      <w:lang w:val="en-US" w:eastAsia="zh-CN" w:bidi="he-IL"/>
                    </w:rPr>
                    <w:t>6</w:t>
                  </w:r>
                </w:p>
              </w:tc>
              <w:tc>
                <w:tcPr>
                  <w:tcW w:w="619" w:type="pct"/>
                  <w:tcBorders>
                    <w:tl2br w:val="nil"/>
                    <w:tr2bl w:val="nil"/>
                  </w:tcBorders>
                  <w:noWrap w:val="0"/>
                  <w:vAlign w:val="center"/>
                </w:tcPr>
                <w:p w14:paraId="5D4E8506">
                  <w:pPr>
                    <w:keepNext w:val="0"/>
                    <w:keepLines w:val="0"/>
                    <w:pageBreakBefore w:val="0"/>
                    <w:widowControl w:val="0"/>
                    <w:kinsoku/>
                    <w:wordWrap/>
                    <w:overflowPunct/>
                    <w:topLinePunct w:val="0"/>
                    <w:autoSpaceDE w:val="0"/>
                    <w:autoSpaceDN w:val="0"/>
                    <w:bidi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he-IL"/>
                    </w:rPr>
                  </w:pPr>
                  <w:r>
                    <w:rPr>
                      <w:rFonts w:hint="eastAsia" w:ascii="Times New Roman" w:hAnsi="Times New Roman" w:cs="Times New Roman"/>
                      <w:color w:val="auto"/>
                      <w:kern w:val="0"/>
                      <w:sz w:val="21"/>
                      <w:szCs w:val="21"/>
                      <w:highlight w:val="none"/>
                      <w:lang w:val="en-US" w:eastAsia="zh-CN" w:bidi="he-IL"/>
                    </w:rPr>
                    <w:t>+7.</w:t>
                  </w:r>
                  <w:r>
                    <w:rPr>
                      <w:rFonts w:hint="eastAsia" w:cs="Times New Roman"/>
                      <w:color w:val="auto"/>
                      <w:kern w:val="0"/>
                      <w:sz w:val="21"/>
                      <w:szCs w:val="21"/>
                      <w:highlight w:val="none"/>
                      <w:lang w:val="en-US" w:eastAsia="zh-CN" w:bidi="he-IL"/>
                    </w:rPr>
                    <w:t>6</w:t>
                  </w:r>
                </w:p>
              </w:tc>
            </w:tr>
            <w:tr w14:paraId="2A7A8F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2" w:type="pct"/>
                  <w:vMerge w:val="continue"/>
                  <w:tcBorders>
                    <w:tl2br w:val="nil"/>
                    <w:tr2bl w:val="nil"/>
                  </w:tcBorders>
                  <w:noWrap w:val="0"/>
                  <w:vAlign w:val="center"/>
                </w:tcPr>
                <w:p w14:paraId="29AC8629">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kern w:val="2"/>
                      <w:sz w:val="21"/>
                      <w:szCs w:val="21"/>
                      <w:highlight w:val="none"/>
                    </w:rPr>
                  </w:pPr>
                </w:p>
              </w:tc>
              <w:tc>
                <w:tcPr>
                  <w:tcW w:w="941" w:type="pct"/>
                  <w:gridSpan w:val="2"/>
                  <w:tcBorders>
                    <w:tl2br w:val="nil"/>
                    <w:tr2bl w:val="nil"/>
                  </w:tcBorders>
                  <w:noWrap w:val="0"/>
                  <w:vAlign w:val="center"/>
                </w:tcPr>
                <w:p w14:paraId="29004528">
                  <w:pPr>
                    <w:pStyle w:val="156"/>
                    <w:keepNext w:val="0"/>
                    <w:keepLines w:val="0"/>
                    <w:pageBreakBefore w:val="0"/>
                    <w:kinsoku/>
                    <w:wordWrap/>
                    <w:overflowPunct/>
                    <w:topLinePunct w:val="0"/>
                    <w:bidi w:val="0"/>
                    <w:ind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钢筋边角料</w:t>
                  </w:r>
                </w:p>
              </w:tc>
              <w:tc>
                <w:tcPr>
                  <w:tcW w:w="650" w:type="pct"/>
                  <w:tcBorders>
                    <w:tl2br w:val="nil"/>
                    <w:tr2bl w:val="nil"/>
                  </w:tcBorders>
                  <w:noWrap w:val="0"/>
                  <w:vAlign w:val="center"/>
                </w:tcPr>
                <w:p w14:paraId="5F0244F3">
                  <w:pPr>
                    <w:pStyle w:val="15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0</w:t>
                  </w:r>
                </w:p>
              </w:tc>
              <w:tc>
                <w:tcPr>
                  <w:tcW w:w="752" w:type="pct"/>
                  <w:tcBorders>
                    <w:tl2br w:val="nil"/>
                    <w:tr2bl w:val="nil"/>
                  </w:tcBorders>
                  <w:noWrap w:val="0"/>
                  <w:vAlign w:val="center"/>
                </w:tcPr>
                <w:p w14:paraId="3DEFC235">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630" w:type="pct"/>
                  <w:tcBorders>
                    <w:tl2br w:val="nil"/>
                    <w:tr2bl w:val="nil"/>
                  </w:tcBorders>
                  <w:noWrap w:val="0"/>
                  <w:vAlign w:val="center"/>
                </w:tcPr>
                <w:p w14:paraId="015C6DF8">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w:t>
                  </w:r>
                </w:p>
              </w:tc>
              <w:tc>
                <w:tcPr>
                  <w:tcW w:w="538" w:type="pct"/>
                  <w:tcBorders>
                    <w:tl2br w:val="nil"/>
                    <w:tr2bl w:val="nil"/>
                  </w:tcBorders>
                  <w:noWrap w:val="0"/>
                  <w:vAlign w:val="center"/>
                </w:tcPr>
                <w:p w14:paraId="5E9518D9">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594" w:type="pct"/>
                  <w:tcBorders>
                    <w:tl2br w:val="nil"/>
                    <w:tr2bl w:val="nil"/>
                  </w:tcBorders>
                  <w:noWrap w:val="0"/>
                  <w:vAlign w:val="center"/>
                </w:tcPr>
                <w:p w14:paraId="7B961F4B">
                  <w:pPr>
                    <w:keepNext w:val="0"/>
                    <w:keepLines w:val="0"/>
                    <w:pageBreakBefore w:val="0"/>
                    <w:widowControl w:val="0"/>
                    <w:kinsoku/>
                    <w:wordWrap/>
                    <w:overflowPunct/>
                    <w:topLinePunct w:val="0"/>
                    <w:autoSpaceDE w:val="0"/>
                    <w:autoSpaceDN w:val="0"/>
                    <w:bidi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he-IL"/>
                    </w:rPr>
                  </w:pPr>
                  <w:r>
                    <w:rPr>
                      <w:rFonts w:hint="eastAsia" w:ascii="Times New Roman" w:hAnsi="Times New Roman" w:cs="Times New Roman"/>
                      <w:color w:val="auto"/>
                      <w:kern w:val="0"/>
                      <w:sz w:val="21"/>
                      <w:szCs w:val="21"/>
                      <w:highlight w:val="none"/>
                      <w:lang w:val="en-US" w:eastAsia="zh-CN" w:bidi="he-IL"/>
                    </w:rPr>
                    <w:t>5</w:t>
                  </w:r>
                </w:p>
              </w:tc>
              <w:tc>
                <w:tcPr>
                  <w:tcW w:w="619" w:type="pct"/>
                  <w:tcBorders>
                    <w:tl2br w:val="nil"/>
                    <w:tr2bl w:val="nil"/>
                  </w:tcBorders>
                  <w:noWrap w:val="0"/>
                  <w:vAlign w:val="center"/>
                </w:tcPr>
                <w:p w14:paraId="14385F4D">
                  <w:pPr>
                    <w:keepNext w:val="0"/>
                    <w:keepLines w:val="0"/>
                    <w:pageBreakBefore w:val="0"/>
                    <w:widowControl w:val="0"/>
                    <w:kinsoku/>
                    <w:wordWrap/>
                    <w:overflowPunct/>
                    <w:topLinePunct w:val="0"/>
                    <w:autoSpaceDE w:val="0"/>
                    <w:autoSpaceDN w:val="0"/>
                    <w:bidi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he-IL"/>
                    </w:rPr>
                  </w:pPr>
                  <w:r>
                    <w:rPr>
                      <w:rFonts w:hint="eastAsia" w:ascii="Times New Roman" w:hAnsi="Times New Roman" w:cs="Times New Roman"/>
                      <w:color w:val="auto"/>
                      <w:kern w:val="0"/>
                      <w:sz w:val="21"/>
                      <w:szCs w:val="21"/>
                      <w:highlight w:val="none"/>
                      <w:lang w:val="en-US" w:eastAsia="zh-CN" w:bidi="he-IL"/>
                    </w:rPr>
                    <w:t>+5</w:t>
                  </w:r>
                </w:p>
              </w:tc>
            </w:tr>
            <w:tr w14:paraId="07C0CD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2" w:type="pct"/>
                  <w:vMerge w:val="continue"/>
                  <w:tcBorders>
                    <w:tl2br w:val="nil"/>
                    <w:tr2bl w:val="nil"/>
                  </w:tcBorders>
                  <w:noWrap w:val="0"/>
                  <w:vAlign w:val="center"/>
                </w:tcPr>
                <w:p w14:paraId="67D975D7">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kern w:val="2"/>
                      <w:sz w:val="21"/>
                      <w:szCs w:val="21"/>
                      <w:highlight w:val="none"/>
                    </w:rPr>
                  </w:pPr>
                </w:p>
              </w:tc>
              <w:tc>
                <w:tcPr>
                  <w:tcW w:w="941" w:type="pct"/>
                  <w:gridSpan w:val="2"/>
                  <w:tcBorders>
                    <w:tl2br w:val="nil"/>
                    <w:tr2bl w:val="nil"/>
                  </w:tcBorders>
                  <w:noWrap w:val="0"/>
                  <w:vAlign w:val="center"/>
                </w:tcPr>
                <w:p w14:paraId="21DFDA76">
                  <w:pPr>
                    <w:pStyle w:val="156"/>
                    <w:keepNext w:val="0"/>
                    <w:keepLines w:val="0"/>
                    <w:pageBreakBefore w:val="0"/>
                    <w:kinsoku/>
                    <w:wordWrap/>
                    <w:overflowPunct/>
                    <w:topLinePunct w:val="0"/>
                    <w:bidi w:val="0"/>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000000"/>
                      <w:sz w:val="21"/>
                      <w:szCs w:val="21"/>
                    </w:rPr>
                    <w:t>生活垃圾</w:t>
                  </w:r>
                </w:p>
              </w:tc>
              <w:tc>
                <w:tcPr>
                  <w:tcW w:w="650" w:type="pct"/>
                  <w:tcBorders>
                    <w:tl2br w:val="nil"/>
                    <w:tr2bl w:val="nil"/>
                  </w:tcBorders>
                  <w:noWrap w:val="0"/>
                  <w:vAlign w:val="center"/>
                </w:tcPr>
                <w:p w14:paraId="1383DE10">
                  <w:pPr>
                    <w:pStyle w:val="15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000000"/>
                      <w:kern w:val="0"/>
                      <w:sz w:val="21"/>
                      <w:szCs w:val="21"/>
                      <w:lang w:val="en-US" w:eastAsia="zh-CN" w:bidi="ar-SA"/>
                    </w:rPr>
                    <w:t>7.5</w:t>
                  </w:r>
                </w:p>
              </w:tc>
              <w:tc>
                <w:tcPr>
                  <w:tcW w:w="752" w:type="pct"/>
                  <w:tcBorders>
                    <w:tl2br w:val="nil"/>
                    <w:tr2bl w:val="nil"/>
                  </w:tcBorders>
                  <w:noWrap w:val="0"/>
                  <w:vAlign w:val="center"/>
                </w:tcPr>
                <w:p w14:paraId="740CDCFB">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630" w:type="pct"/>
                  <w:tcBorders>
                    <w:tl2br w:val="nil"/>
                    <w:tr2bl w:val="nil"/>
                  </w:tcBorders>
                  <w:noWrap w:val="0"/>
                  <w:vAlign w:val="center"/>
                </w:tcPr>
                <w:p w14:paraId="5DDB993B">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538" w:type="pct"/>
                  <w:tcBorders>
                    <w:tl2br w:val="nil"/>
                    <w:tr2bl w:val="nil"/>
                  </w:tcBorders>
                  <w:noWrap w:val="0"/>
                  <w:vAlign w:val="center"/>
                </w:tcPr>
                <w:p w14:paraId="5A1E9E66">
                  <w:pPr>
                    <w:keepNext w:val="0"/>
                    <w:keepLines w:val="0"/>
                    <w:pageBreakBefore w:val="0"/>
                    <w:kinsoku/>
                    <w:wordWrap/>
                    <w:overflowPunct/>
                    <w:topLinePunct w:val="0"/>
                    <w:bidi w:val="0"/>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594" w:type="pct"/>
                  <w:tcBorders>
                    <w:tl2br w:val="nil"/>
                    <w:tr2bl w:val="nil"/>
                  </w:tcBorders>
                  <w:noWrap w:val="0"/>
                  <w:vAlign w:val="center"/>
                </w:tcPr>
                <w:p w14:paraId="2A9E15AF">
                  <w:pPr>
                    <w:keepNext w:val="0"/>
                    <w:keepLines w:val="0"/>
                    <w:pageBreakBefore w:val="0"/>
                    <w:widowControl w:val="0"/>
                    <w:kinsoku/>
                    <w:wordWrap/>
                    <w:overflowPunct/>
                    <w:topLinePunct w:val="0"/>
                    <w:autoSpaceDE w:val="0"/>
                    <w:autoSpaceDN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7.5</w:t>
                  </w:r>
                </w:p>
              </w:tc>
              <w:tc>
                <w:tcPr>
                  <w:tcW w:w="619" w:type="pct"/>
                  <w:tcBorders>
                    <w:tl2br w:val="nil"/>
                    <w:tr2bl w:val="nil"/>
                  </w:tcBorders>
                  <w:noWrap w:val="0"/>
                  <w:vAlign w:val="center"/>
                </w:tcPr>
                <w:p w14:paraId="3D5474E5">
                  <w:pPr>
                    <w:keepNext w:val="0"/>
                    <w:keepLines w:val="0"/>
                    <w:pageBreakBefore w:val="0"/>
                    <w:widowControl w:val="0"/>
                    <w:kinsoku/>
                    <w:wordWrap/>
                    <w:overflowPunct/>
                    <w:topLinePunct w:val="0"/>
                    <w:autoSpaceDE w:val="0"/>
                    <w:autoSpaceDN w:val="0"/>
                    <w:bidi w:val="0"/>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r>
          </w:tbl>
          <w:p w14:paraId="3DEAD905">
            <w:pPr>
              <w:pStyle w:val="16"/>
              <w:rPr>
                <w:rFonts w:hint="eastAsia"/>
              </w:rPr>
            </w:pPr>
          </w:p>
        </w:tc>
      </w:tr>
    </w:tbl>
    <w:p w14:paraId="7BF977FA">
      <w:pPr>
        <w:adjustRightInd w:val="0"/>
        <w:snapToGrid w:val="0"/>
        <w:spacing w:line="360" w:lineRule="auto"/>
        <w:rPr>
          <w:rFonts w:ascii="宋体" w:cs="宋体"/>
          <w:b/>
          <w:color w:val="000000" w:themeColor="text1"/>
          <w:kern w:val="0"/>
          <w:sz w:val="28"/>
          <w:szCs w:val="28"/>
          <w:highlight w:val="none"/>
          <w14:textFill>
            <w14:solidFill>
              <w14:schemeClr w14:val="tx1"/>
            </w14:solidFill>
          </w14:textFill>
        </w:rPr>
        <w:sectPr>
          <w:pgSz w:w="11905" w:h="16838"/>
          <w:pgMar w:top="1417" w:right="1417" w:bottom="1417" w:left="1417" w:header="851" w:footer="1077" w:gutter="0"/>
          <w:pgBorders>
            <w:top w:val="none" w:sz="0" w:space="0"/>
            <w:left w:val="none" w:sz="0" w:space="0"/>
            <w:bottom w:val="none" w:sz="0" w:space="0"/>
            <w:right w:val="none" w:sz="0" w:space="0"/>
          </w:pgBorders>
          <w:pgNumType w:fmt="decimal"/>
          <w:cols w:space="0" w:num="1"/>
          <w:docGrid w:linePitch="312" w:charSpace="0"/>
        </w:sectPr>
      </w:pPr>
    </w:p>
    <w:p w14:paraId="2460F64A">
      <w:pPr>
        <w:pStyle w:val="2"/>
        <w:keepNext/>
        <w:keepLines w:val="0"/>
        <w:pageBreakBefore w:val="0"/>
        <w:widowControl w:val="0"/>
        <w:numPr>
          <w:ilvl w:val="0"/>
          <w:numId w:val="16"/>
        </w:numPr>
        <w:tabs>
          <w:tab w:val="left" w:pos="0"/>
        </w:tabs>
        <w:kinsoku/>
        <w:wordWrap/>
        <w:overflowPunct w:val="0"/>
        <w:topLinePunct w:val="0"/>
        <w:autoSpaceDE/>
        <w:autoSpaceDN/>
        <w:bidi w:val="0"/>
        <w:adjustRightInd/>
        <w:snapToGrid w:val="0"/>
        <w:spacing w:line="240" w:lineRule="auto"/>
        <w:ind w:left="431" w:leftChars="0" w:hanging="431" w:firstLineChars="0"/>
        <w:textAlignment w:val="auto"/>
        <w:rPr>
          <w:rFonts w:hint="eastAsia" w:eastAsia="宋体"/>
          <w:color w:val="000000" w:themeColor="text1"/>
          <w:highlight w:val="none"/>
          <w14:textFill>
            <w14:solidFill>
              <w14:schemeClr w14:val="tx1"/>
            </w14:solidFill>
          </w14:textFill>
        </w:rPr>
      </w:pPr>
      <w:bookmarkStart w:id="63" w:name="_Toc28314"/>
      <w:bookmarkStart w:id="64" w:name="_Toc18771"/>
      <w:bookmarkStart w:id="65" w:name="_Toc8930"/>
      <w:bookmarkStart w:id="66" w:name="_Toc25031"/>
      <w:bookmarkStart w:id="67" w:name="_Hlk54167917"/>
      <w:bookmarkStart w:id="68" w:name="_Toc16374"/>
      <w:r>
        <w:rPr>
          <w:rFonts w:hint="eastAsia" w:eastAsia="宋体"/>
          <w:color w:val="000000" w:themeColor="text1"/>
          <w:highlight w:val="none"/>
          <w14:textFill>
            <w14:solidFill>
              <w14:schemeClr w14:val="tx1"/>
            </w14:solidFill>
          </w14:textFill>
        </w:rPr>
        <w:t>环境保护措施监督检查清单</w:t>
      </w:r>
      <w:bookmarkEnd w:id="63"/>
      <w:bookmarkEnd w:id="64"/>
      <w:bookmarkEnd w:id="65"/>
      <w:bookmarkEnd w:id="66"/>
      <w:bookmarkEnd w:id="67"/>
      <w:bookmarkEnd w:id="68"/>
    </w:p>
    <w:tbl>
      <w:tblPr>
        <w:tblStyle w:val="32"/>
        <w:tblW w:w="89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60"/>
        <w:gridCol w:w="1350"/>
        <w:gridCol w:w="1391"/>
        <w:gridCol w:w="2059"/>
        <w:gridCol w:w="3311"/>
      </w:tblGrid>
      <w:tr w14:paraId="590504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60" w:type="dxa"/>
            <w:tcBorders>
              <w:tl2br w:val="single" w:color="auto" w:sz="4" w:space="0"/>
            </w:tcBorders>
            <w:vAlign w:val="center"/>
          </w:tcPr>
          <w:p w14:paraId="6BD3CBE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right"/>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内容</w:t>
            </w:r>
          </w:p>
          <w:p w14:paraId="6878E9D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要素</w:t>
            </w:r>
          </w:p>
        </w:tc>
        <w:tc>
          <w:tcPr>
            <w:tcW w:w="1350" w:type="dxa"/>
            <w:vAlign w:val="center"/>
          </w:tcPr>
          <w:p w14:paraId="3947E5C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排放口(编号、名称)/污染源</w:t>
            </w:r>
          </w:p>
        </w:tc>
        <w:tc>
          <w:tcPr>
            <w:tcW w:w="1391" w:type="dxa"/>
            <w:vAlign w:val="center"/>
          </w:tcPr>
          <w:p w14:paraId="3F8233E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污染物项目</w:t>
            </w:r>
          </w:p>
        </w:tc>
        <w:tc>
          <w:tcPr>
            <w:tcW w:w="2059" w:type="dxa"/>
            <w:vAlign w:val="center"/>
          </w:tcPr>
          <w:p w14:paraId="6ECD3A4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环境保护措施</w:t>
            </w:r>
          </w:p>
        </w:tc>
        <w:tc>
          <w:tcPr>
            <w:tcW w:w="3311" w:type="dxa"/>
            <w:vAlign w:val="center"/>
          </w:tcPr>
          <w:p w14:paraId="6DABB25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执行标准</w:t>
            </w:r>
          </w:p>
        </w:tc>
      </w:tr>
      <w:tr w14:paraId="01A37A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7" w:hRule="atLeast"/>
          <w:jc w:val="center"/>
        </w:trPr>
        <w:tc>
          <w:tcPr>
            <w:tcW w:w="860" w:type="dxa"/>
            <w:vMerge w:val="restart"/>
            <w:vAlign w:val="center"/>
          </w:tcPr>
          <w:p w14:paraId="26C56F0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大气</w:t>
            </w:r>
          </w:p>
          <w:p w14:paraId="5E95626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环境</w:t>
            </w:r>
          </w:p>
        </w:tc>
        <w:tc>
          <w:tcPr>
            <w:tcW w:w="1350" w:type="dxa"/>
            <w:shd w:val="clear" w:color="auto" w:fill="auto"/>
            <w:vAlign w:val="center"/>
          </w:tcPr>
          <w:p w14:paraId="6289255D">
            <w:pPr>
              <w:pStyle w:val="46"/>
              <w:keepNext w:val="0"/>
              <w:keepLines w:val="0"/>
              <w:pageBreakBefore w:val="0"/>
              <w:widowControl w:val="0"/>
              <w:tabs>
                <w:tab w:val="left" w:pos="0"/>
              </w:tabs>
              <w:kinsoku/>
              <w:wordWrap/>
              <w:overflowPunct/>
              <w:topLinePunct w:val="0"/>
              <w:autoSpaceDE/>
              <w:autoSpaceDN/>
              <w:bidi w:val="0"/>
              <w:spacing w:line="240" w:lineRule="auto"/>
              <w:ind w:left="0" w:leftChars="0" w:firstLine="0" w:firstLineChars="0"/>
              <w:textAlignment w:val="auto"/>
              <w:rPr>
                <w:rFonts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DA0</w:t>
            </w:r>
            <w:r>
              <w:rPr>
                <w:rFonts w:hint="eastAsia" w:cs="Times New Roman"/>
                <w:color w:val="000000" w:themeColor="text1"/>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highlight w:val="none"/>
                <w:lang w:val="en-US" w:eastAsia="zh-CN"/>
                <w14:textFill>
                  <w14:solidFill>
                    <w14:schemeClr w14:val="tx1"/>
                  </w14:solidFill>
                </w14:textFill>
              </w:rPr>
              <w:t>1</w:t>
            </w:r>
            <w:r>
              <w:rPr>
                <w:rFonts w:hint="eastAsia"/>
                <w:color w:val="000000" w:themeColor="text1"/>
                <w:sz w:val="21"/>
                <w:szCs w:val="21"/>
                <w:highlight w:val="none"/>
                <w:lang w:val="en-US" w:eastAsia="zh-CN"/>
                <w14:textFill>
                  <w14:solidFill>
                    <w14:schemeClr w14:val="tx1"/>
                  </w14:solidFill>
                </w14:textFill>
              </w:rPr>
              <w:t>（燃生物质锅炉）</w:t>
            </w:r>
          </w:p>
        </w:tc>
        <w:tc>
          <w:tcPr>
            <w:tcW w:w="1391" w:type="dxa"/>
            <w:shd w:val="clear" w:color="auto" w:fill="auto"/>
            <w:vAlign w:val="center"/>
          </w:tcPr>
          <w:p w14:paraId="6007220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color w:val="000000"/>
                <w:sz w:val="21"/>
                <w:szCs w:val="21"/>
              </w:rPr>
              <w:t>颗粒物、SO</w:t>
            </w:r>
            <w:r>
              <w:rPr>
                <w:rFonts w:hint="eastAsia"/>
                <w:color w:val="000000"/>
                <w:sz w:val="21"/>
                <w:szCs w:val="21"/>
                <w:vertAlign w:val="subscript"/>
              </w:rPr>
              <w:t>2</w:t>
            </w:r>
            <w:r>
              <w:rPr>
                <w:rFonts w:hint="eastAsia"/>
                <w:color w:val="000000"/>
                <w:sz w:val="21"/>
                <w:szCs w:val="21"/>
              </w:rPr>
              <w:t>、NO</w:t>
            </w:r>
            <w:r>
              <w:rPr>
                <w:rFonts w:hint="eastAsia"/>
                <w:color w:val="000000"/>
                <w:sz w:val="21"/>
                <w:szCs w:val="21"/>
                <w:vertAlign w:val="subscript"/>
              </w:rPr>
              <w:t>X</w:t>
            </w:r>
            <w:r>
              <w:rPr>
                <w:rFonts w:hint="eastAsia"/>
                <w:color w:val="000000"/>
                <w:sz w:val="21"/>
                <w:szCs w:val="21"/>
                <w:vertAlign w:val="baseline"/>
                <w:lang w:eastAsia="zh-CN"/>
              </w:rPr>
              <w:t>、林格曼黑度</w:t>
            </w:r>
          </w:p>
        </w:tc>
        <w:tc>
          <w:tcPr>
            <w:tcW w:w="2059" w:type="dxa"/>
            <w:shd w:val="clear" w:color="auto" w:fill="auto"/>
            <w:vAlign w:val="center"/>
          </w:tcPr>
          <w:p w14:paraId="66DB5C45">
            <w:pPr>
              <w:pStyle w:val="46"/>
              <w:keepNext w:val="0"/>
              <w:keepLines w:val="0"/>
              <w:pageBreakBefore w:val="0"/>
              <w:widowControl w:val="0"/>
              <w:tabs>
                <w:tab w:val="left" w:pos="0"/>
              </w:tabs>
              <w:kinsoku/>
              <w:wordWrap/>
              <w:overflowPunct/>
              <w:topLinePunct w:val="0"/>
              <w:autoSpaceDE/>
              <w:autoSpaceDN/>
              <w:bidi w:val="0"/>
              <w:spacing w:line="240" w:lineRule="auto"/>
              <w:ind w:left="0" w:leftChars="0" w:firstLine="0" w:firstLineChars="0"/>
              <w:jc w:val="center"/>
              <w:textAlignment w:val="auto"/>
              <w:rPr>
                <w:rFonts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低氮燃烧+多</w:t>
            </w:r>
          </w:p>
          <w:p w14:paraId="4F2FE603">
            <w:pPr>
              <w:pStyle w:val="46"/>
              <w:keepNext w:val="0"/>
              <w:keepLines w:val="0"/>
              <w:pageBreakBefore w:val="0"/>
              <w:widowControl w:val="0"/>
              <w:tabs>
                <w:tab w:val="left" w:pos="0"/>
              </w:tabs>
              <w:kinsoku/>
              <w:wordWrap/>
              <w:overflowPunct/>
              <w:topLinePunct w:val="0"/>
              <w:autoSpaceDE/>
              <w:autoSpaceDN/>
              <w:bidi w:val="0"/>
              <w:spacing w:line="240" w:lineRule="auto"/>
              <w:ind w:left="0" w:leftChars="0" w:firstLine="0" w:firstLineChars="0"/>
              <w:jc w:val="center"/>
              <w:textAlignment w:val="auto"/>
              <w:rPr>
                <w:rFonts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管除尘器+布袋除</w:t>
            </w:r>
          </w:p>
          <w:p w14:paraId="58033359">
            <w:pPr>
              <w:pStyle w:val="46"/>
              <w:keepNext w:val="0"/>
              <w:keepLines w:val="0"/>
              <w:pageBreakBefore w:val="0"/>
              <w:widowControl w:val="0"/>
              <w:tabs>
                <w:tab w:val="left" w:pos="0"/>
              </w:tabs>
              <w:kinsoku/>
              <w:wordWrap/>
              <w:overflowPunct/>
              <w:topLinePunct w:val="0"/>
              <w:autoSpaceDE/>
              <w:autoSpaceDN/>
              <w:bidi w:val="0"/>
              <w:spacing w:line="240" w:lineRule="auto"/>
              <w:ind w:left="0" w:leftChars="0" w:firstLine="0" w:firstLineChars="0"/>
              <w:jc w:val="center"/>
              <w:textAlignment w:val="auto"/>
              <w:rPr>
                <w:rFonts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尘器+1根40m高</w:t>
            </w:r>
          </w:p>
          <w:p w14:paraId="2D6372E2">
            <w:pPr>
              <w:pStyle w:val="46"/>
              <w:keepNext w:val="0"/>
              <w:keepLines w:val="0"/>
              <w:pageBreakBefore w:val="0"/>
              <w:widowControl w:val="0"/>
              <w:tabs>
                <w:tab w:val="left" w:pos="0"/>
              </w:tabs>
              <w:kinsoku/>
              <w:wordWrap/>
              <w:overflowPunct/>
              <w:topLinePunct w:val="0"/>
              <w:autoSpaceDE/>
              <w:autoSpaceDN/>
              <w:bidi w:val="0"/>
              <w:spacing w:line="240" w:lineRule="auto"/>
              <w:ind w:left="0" w:leftChars="0" w:firstLine="0" w:firstLineChars="0"/>
              <w:jc w:val="center"/>
              <w:textAlignment w:val="auto"/>
              <w:rPr>
                <w:rFonts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kern w:val="2"/>
                <w:sz w:val="21"/>
                <w:szCs w:val="24"/>
                <w:highlight w:val="none"/>
                <w:lang w:val="en-US" w:eastAsia="zh-CN" w:bidi="ar-SA"/>
                <w14:textFill>
                  <w14:solidFill>
                    <w14:schemeClr w14:val="tx1"/>
                  </w14:solidFill>
                </w14:textFill>
              </w:rPr>
              <w:t>排气筒</w:t>
            </w:r>
            <w:r>
              <w:rPr>
                <w:rFonts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排放</w:t>
            </w:r>
          </w:p>
        </w:tc>
        <w:tc>
          <w:tcPr>
            <w:tcW w:w="3311" w:type="dxa"/>
            <w:shd w:val="clear" w:color="auto" w:fill="auto"/>
            <w:vAlign w:val="center"/>
          </w:tcPr>
          <w:p w14:paraId="313879D9">
            <w:pPr>
              <w:pStyle w:val="46"/>
              <w:keepNext w:val="0"/>
              <w:keepLines w:val="0"/>
              <w:pageBreakBefore w:val="0"/>
              <w:widowControl w:val="0"/>
              <w:tabs>
                <w:tab w:val="left" w:pos="0"/>
              </w:tabs>
              <w:kinsoku/>
              <w:wordWrap/>
              <w:overflowPunct/>
              <w:topLinePunct w:val="0"/>
              <w:autoSpaceDE/>
              <w:autoSpaceDN/>
              <w:bidi w:val="0"/>
              <w:spacing w:line="240" w:lineRule="auto"/>
              <w:ind w:left="0" w:leftChars="0" w:firstLine="0" w:firstLineChars="0"/>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《锅炉大气污染物排放</w:t>
            </w:r>
          </w:p>
          <w:p w14:paraId="46CBF472">
            <w:pPr>
              <w:pStyle w:val="46"/>
              <w:keepNext w:val="0"/>
              <w:keepLines w:val="0"/>
              <w:pageBreakBefore w:val="0"/>
              <w:widowControl w:val="0"/>
              <w:tabs>
                <w:tab w:val="left" w:pos="0"/>
              </w:tabs>
              <w:kinsoku/>
              <w:wordWrap/>
              <w:overflowPunct/>
              <w:topLinePunct w:val="0"/>
              <w:autoSpaceDE/>
              <w:autoSpaceDN/>
              <w:bidi w:val="0"/>
              <w:spacing w:line="240" w:lineRule="auto"/>
              <w:ind w:left="0" w:leftChars="0" w:firstLine="0" w:firstLineChars="0"/>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标准》（GB 13271-</w:t>
            </w:r>
          </w:p>
          <w:p w14:paraId="723DCAB0">
            <w:pPr>
              <w:pStyle w:val="46"/>
              <w:keepNext w:val="0"/>
              <w:keepLines w:val="0"/>
              <w:pageBreakBefore w:val="0"/>
              <w:widowControl w:val="0"/>
              <w:tabs>
                <w:tab w:val="left" w:pos="0"/>
              </w:tabs>
              <w:kinsoku/>
              <w:wordWrap/>
              <w:overflowPunct/>
              <w:topLinePunct w:val="0"/>
              <w:autoSpaceDE/>
              <w:autoSpaceDN/>
              <w:bidi w:val="0"/>
              <w:spacing w:line="240" w:lineRule="auto"/>
              <w:ind w:left="0" w:leftChars="0" w:firstLine="0" w:firstLineChars="0"/>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2014）中表3燃煤锅炉</w:t>
            </w:r>
          </w:p>
          <w:p w14:paraId="11587E83">
            <w:pPr>
              <w:pStyle w:val="46"/>
              <w:keepNext w:val="0"/>
              <w:keepLines w:val="0"/>
              <w:pageBreakBefore w:val="0"/>
              <w:widowControl w:val="0"/>
              <w:tabs>
                <w:tab w:val="left" w:pos="0"/>
              </w:tabs>
              <w:kinsoku/>
              <w:wordWrap/>
              <w:overflowPunct/>
              <w:topLinePunct w:val="0"/>
              <w:autoSpaceDE/>
              <w:autoSpaceDN/>
              <w:bidi w:val="0"/>
              <w:spacing w:line="240" w:lineRule="auto"/>
              <w:ind w:left="0" w:leftChars="0" w:firstLine="0" w:firstLineChars="0"/>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的特别排放限值</w:t>
            </w:r>
          </w:p>
        </w:tc>
      </w:tr>
      <w:tr w14:paraId="0CCB6F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38" w:hRule="atLeast"/>
          <w:jc w:val="center"/>
        </w:trPr>
        <w:tc>
          <w:tcPr>
            <w:tcW w:w="860" w:type="dxa"/>
            <w:vMerge w:val="continue"/>
            <w:vAlign w:val="center"/>
          </w:tcPr>
          <w:p w14:paraId="3AD48F7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cs="宋体"/>
                <w:color w:val="000000" w:themeColor="text1"/>
                <w:szCs w:val="21"/>
                <w:highlight w:val="none"/>
                <w14:textFill>
                  <w14:solidFill>
                    <w14:schemeClr w14:val="tx1"/>
                  </w14:solidFill>
                </w14:textFill>
              </w:rPr>
            </w:pPr>
          </w:p>
        </w:tc>
        <w:tc>
          <w:tcPr>
            <w:tcW w:w="1350" w:type="dxa"/>
            <w:vAlign w:val="center"/>
          </w:tcPr>
          <w:p w14:paraId="5ED6AB1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无组织排放</w:t>
            </w:r>
          </w:p>
        </w:tc>
        <w:tc>
          <w:tcPr>
            <w:tcW w:w="1391" w:type="dxa"/>
            <w:vAlign w:val="center"/>
          </w:tcPr>
          <w:p w14:paraId="7442091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cs="宋体"/>
                <w:color w:val="000000" w:themeColor="text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颗粒物</w:t>
            </w:r>
          </w:p>
        </w:tc>
        <w:tc>
          <w:tcPr>
            <w:tcW w:w="2059" w:type="dxa"/>
            <w:vAlign w:val="center"/>
          </w:tcPr>
          <w:p w14:paraId="4C212F2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cs="宋体"/>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kern w:val="2"/>
                <w:sz w:val="21"/>
                <w:szCs w:val="21"/>
                <w:u w:val="none" w:color="auto"/>
                <w:lang w:val="en-US" w:eastAsia="zh-CN" w:bidi="ar-SA"/>
              </w:rPr>
              <w:t>料</w:t>
            </w:r>
            <w:r>
              <w:rPr>
                <w:rFonts w:hint="default" w:ascii="Times New Roman" w:hAnsi="Times New Roman" w:cs="Times New Roman"/>
                <w:color w:val="000000"/>
                <w:sz w:val="21"/>
                <w:szCs w:val="21"/>
                <w:lang w:val="en-US" w:eastAsia="zh-CN"/>
              </w:rPr>
              <w:t>仓顶</w:t>
            </w:r>
            <w:r>
              <w:rPr>
                <w:rFonts w:hint="eastAsia" w:ascii="Times New Roman" w:hAnsi="Times New Roman" w:cs="Times New Roman"/>
                <w:color w:val="000000"/>
                <w:sz w:val="21"/>
                <w:szCs w:val="21"/>
                <w:lang w:val="en-US" w:eastAsia="zh-CN"/>
              </w:rPr>
              <w:t>、进料搅拌系统均分别配备了</w:t>
            </w:r>
            <w:r>
              <w:rPr>
                <w:rFonts w:eastAsia="宋体"/>
                <w:color w:val="000000"/>
                <w:sz w:val="21"/>
                <w:szCs w:val="21"/>
              </w:rPr>
              <w:t>袋式除尘</w:t>
            </w:r>
            <w:r>
              <w:rPr>
                <w:rFonts w:hint="eastAsia" w:ascii="Times New Roman" w:hAnsi="Times New Roman" w:cs="Times New Roman"/>
                <w:color w:val="000000"/>
                <w:sz w:val="21"/>
                <w:szCs w:val="21"/>
                <w:lang w:val="en-US" w:eastAsia="zh-CN"/>
              </w:rPr>
              <w:t>器</w:t>
            </w:r>
            <w:r>
              <w:rPr>
                <w:rFonts w:hint="eastAsia" w:cs="Times New Roman"/>
                <w:color w:val="000000"/>
                <w:sz w:val="21"/>
                <w:szCs w:val="21"/>
                <w:lang w:val="en-US" w:eastAsia="zh-CN"/>
              </w:rPr>
              <w:t>（依托现有工程）</w:t>
            </w:r>
            <w:r>
              <w:rPr>
                <w:rFonts w:hint="eastAsia" w:ascii="Times New Roman" w:hAnsi="Times New Roman" w:cs="Times New Roman"/>
                <w:color w:val="000000"/>
                <w:sz w:val="21"/>
                <w:szCs w:val="21"/>
                <w:lang w:val="en-US" w:eastAsia="zh-CN"/>
              </w:rPr>
              <w:t>，粉尘经处理后无组织排放</w:t>
            </w:r>
          </w:p>
        </w:tc>
        <w:tc>
          <w:tcPr>
            <w:tcW w:w="3311" w:type="dxa"/>
            <w:vAlign w:val="center"/>
          </w:tcPr>
          <w:p w14:paraId="1F718169">
            <w:pPr>
              <w:pStyle w:val="46"/>
              <w:keepNext w:val="0"/>
              <w:keepLines w:val="0"/>
              <w:pageBreakBefore w:val="0"/>
              <w:widowControl w:val="0"/>
              <w:kinsoku/>
              <w:wordWrap/>
              <w:overflowPunct/>
              <w:topLinePunct w:val="0"/>
              <w:autoSpaceDE/>
              <w:autoSpaceDN/>
              <w:bidi w:val="0"/>
              <w:spacing w:line="260" w:lineRule="exact"/>
              <w:ind w:left="0" w:leftChars="0" w:firstLine="0" w:firstLineChars="0"/>
              <w:jc w:val="center"/>
              <w:textAlignment w:val="auto"/>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t>《水泥工业大气污染物排放标准》（GB 4915-2013）表3无组织排放浓度限值</w:t>
            </w:r>
          </w:p>
        </w:tc>
      </w:tr>
      <w:tr w14:paraId="206D15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6" w:hRule="atLeast"/>
          <w:jc w:val="center"/>
        </w:trPr>
        <w:tc>
          <w:tcPr>
            <w:tcW w:w="860" w:type="dxa"/>
            <w:vMerge w:val="restart"/>
            <w:vAlign w:val="center"/>
          </w:tcPr>
          <w:p w14:paraId="564240A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cs="宋体"/>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地表水环境</w:t>
            </w:r>
          </w:p>
        </w:tc>
        <w:tc>
          <w:tcPr>
            <w:tcW w:w="1350" w:type="dxa"/>
            <w:vAlign w:val="center"/>
          </w:tcPr>
          <w:p w14:paraId="325322D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cs="宋体"/>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DW00</w:t>
            </w:r>
            <w:r>
              <w:rPr>
                <w:rFonts w:hint="eastAsia"/>
                <w:color w:val="000000" w:themeColor="text1"/>
                <w:szCs w:val="21"/>
                <w:highlight w:val="none"/>
                <w:lang w:val="en-US" w:eastAsia="zh-CN"/>
                <w14:textFill>
                  <w14:solidFill>
                    <w14:schemeClr w14:val="tx1"/>
                  </w14:solidFill>
                </w14:textFill>
              </w:rPr>
              <w:t>1</w:t>
            </w:r>
            <w:r>
              <w:rPr>
                <w:rFonts w:hint="eastAsia" w:ascii="Times New Roman" w:hAnsi="Times New Roman" w:cs="Times New Roman"/>
                <w:color w:val="000000" w:themeColor="text1"/>
                <w:sz w:val="21"/>
                <w:highlight w:val="none"/>
                <w:lang w:val="en-US" w:eastAsia="zh-CN"/>
                <w14:textFill>
                  <w14:solidFill>
                    <w14:schemeClr w14:val="tx1"/>
                  </w14:solidFill>
                </w14:textFill>
              </w:rPr>
              <w:t>生活污水排放口</w:t>
            </w:r>
          </w:p>
        </w:tc>
        <w:tc>
          <w:tcPr>
            <w:tcW w:w="1391" w:type="dxa"/>
            <w:vAlign w:val="center"/>
          </w:tcPr>
          <w:p w14:paraId="793F24B3">
            <w:pPr>
              <w:pStyle w:val="46"/>
              <w:keepNext w:val="0"/>
              <w:keepLines w:val="0"/>
              <w:pageBreakBefore w:val="0"/>
              <w:widowControl w:val="0"/>
              <w:tabs>
                <w:tab w:val="left" w:pos="0"/>
              </w:tabs>
              <w:kinsoku/>
              <w:wordWrap/>
              <w:overflowPunct/>
              <w:topLinePunct w:val="0"/>
              <w:autoSpaceDE/>
              <w:autoSpaceDN/>
              <w:bidi w:val="0"/>
              <w:spacing w:line="240" w:lineRule="auto"/>
              <w:ind w:left="0" w:firstLine="0" w:firstLineChars="0"/>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pH、COD、BOD</w:t>
            </w:r>
            <w:r>
              <w:rPr>
                <w:color w:val="000000" w:themeColor="text1"/>
                <w:szCs w:val="21"/>
                <w:highlight w:val="none"/>
                <w:vertAlign w:val="subscript"/>
                <w14:textFill>
                  <w14:solidFill>
                    <w14:schemeClr w14:val="tx1"/>
                  </w14:solidFill>
                </w14:textFill>
              </w:rPr>
              <w:t>5</w:t>
            </w:r>
            <w:r>
              <w:rPr>
                <w:color w:val="000000" w:themeColor="text1"/>
                <w:szCs w:val="21"/>
                <w:highlight w:val="none"/>
                <w14:textFill>
                  <w14:solidFill>
                    <w14:schemeClr w14:val="tx1"/>
                  </w14:solidFill>
                </w14:textFill>
              </w:rPr>
              <w:t>、SS、氨氮</w:t>
            </w:r>
          </w:p>
        </w:tc>
        <w:tc>
          <w:tcPr>
            <w:tcW w:w="2059" w:type="dxa"/>
            <w:vAlign w:val="center"/>
          </w:tcPr>
          <w:p w14:paraId="75C4AD9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生活污水经化粪池预处理后排入市政污水管网，送往</w:t>
            </w:r>
            <w:r>
              <w:rPr>
                <w:rFonts w:hint="eastAsia"/>
                <w:color w:val="000000" w:themeColor="text1"/>
                <w:szCs w:val="21"/>
                <w:highlight w:val="none"/>
                <w:lang w:eastAsia="zh-CN"/>
                <w14:textFill>
                  <w14:solidFill>
                    <w14:schemeClr w14:val="tx1"/>
                  </w14:solidFill>
                </w14:textFill>
              </w:rPr>
              <w:t>闽清县白金工业园区污水处理厂</w:t>
            </w:r>
            <w:r>
              <w:rPr>
                <w:color w:val="000000" w:themeColor="text1"/>
                <w:szCs w:val="21"/>
                <w:highlight w:val="none"/>
                <w14:textFill>
                  <w14:solidFill>
                    <w14:schemeClr w14:val="tx1"/>
                  </w14:solidFill>
                </w14:textFill>
              </w:rPr>
              <w:t>集中处理</w:t>
            </w:r>
          </w:p>
        </w:tc>
        <w:tc>
          <w:tcPr>
            <w:tcW w:w="3311" w:type="dxa"/>
            <w:vAlign w:val="center"/>
          </w:tcPr>
          <w:p w14:paraId="19F0C50F">
            <w:pPr>
              <w:pStyle w:val="46"/>
              <w:keepNext w:val="0"/>
              <w:keepLines w:val="0"/>
              <w:pageBreakBefore w:val="0"/>
              <w:widowControl w:val="0"/>
              <w:tabs>
                <w:tab w:val="left" w:pos="0"/>
              </w:tabs>
              <w:kinsoku/>
              <w:wordWrap/>
              <w:overflowPunct/>
              <w:topLinePunct w:val="0"/>
              <w:autoSpaceDE/>
              <w:autoSpaceDN/>
              <w:bidi w:val="0"/>
              <w:spacing w:line="240" w:lineRule="auto"/>
              <w:ind w:left="0" w:firstLine="0" w:firstLineChars="0"/>
              <w:textAlignment w:val="auto"/>
              <w:rPr>
                <w:color w:val="000000" w:themeColor="text1"/>
                <w:highlight w:val="none"/>
                <w14:textFill>
                  <w14:solidFill>
                    <w14:schemeClr w14:val="tx1"/>
                  </w14:solidFill>
                </w14:textFill>
              </w:rPr>
            </w:pPr>
            <w:r>
              <w:rPr>
                <w:color w:val="000000" w:themeColor="text1"/>
                <w:szCs w:val="21"/>
                <w:highlight w:val="none"/>
                <w14:textFill>
                  <w14:solidFill>
                    <w14:schemeClr w14:val="tx1"/>
                  </w14:solidFill>
                </w14:textFill>
              </w:rPr>
              <w:t>《污水综合排放标准》（GB8978-1996）表4中的三级标准（NH</w:t>
            </w:r>
            <w:r>
              <w:rPr>
                <w:color w:val="000000" w:themeColor="text1"/>
                <w:szCs w:val="21"/>
                <w:highlight w:val="none"/>
                <w:vertAlign w:val="subscript"/>
                <w14:textFill>
                  <w14:solidFill>
                    <w14:schemeClr w14:val="tx1"/>
                  </w14:solidFill>
                </w14:textFill>
              </w:rPr>
              <w:t>3</w:t>
            </w:r>
            <w:r>
              <w:rPr>
                <w:color w:val="000000" w:themeColor="text1"/>
                <w:szCs w:val="21"/>
                <w:highlight w:val="none"/>
                <w14:textFill>
                  <w14:solidFill>
                    <w14:schemeClr w14:val="tx1"/>
                  </w14:solidFill>
                </w14:textFill>
              </w:rPr>
              <w:t>-N</w:t>
            </w:r>
            <w:r>
              <w:rPr>
                <w:rFonts w:hint="eastAsia"/>
                <w:color w:val="000000" w:themeColor="text1"/>
                <w:szCs w:val="21"/>
                <w:highlight w:val="none"/>
                <w14:textFill>
                  <w14:solidFill>
                    <w14:schemeClr w14:val="tx1"/>
                  </w14:solidFill>
                </w14:textFill>
              </w:rPr>
              <w:t>、TP、TN</w:t>
            </w:r>
            <w:r>
              <w:rPr>
                <w:color w:val="000000" w:themeColor="text1"/>
                <w:szCs w:val="21"/>
                <w:highlight w:val="none"/>
                <w14:textFill>
                  <w14:solidFill>
                    <w14:schemeClr w14:val="tx1"/>
                  </w14:solidFill>
                </w14:textFill>
              </w:rPr>
              <w:t>参照《污水排入城镇下水道水质标准》（GB/T 31962-2015）表1中B等级标准）</w:t>
            </w:r>
          </w:p>
        </w:tc>
      </w:tr>
      <w:tr w14:paraId="5B8B8C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860" w:type="dxa"/>
            <w:vMerge w:val="continue"/>
            <w:vAlign w:val="center"/>
          </w:tcPr>
          <w:p w14:paraId="7F4A2E1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000000" w:themeColor="text1"/>
                <w:szCs w:val="21"/>
                <w:highlight w:val="none"/>
                <w14:textFill>
                  <w14:solidFill>
                    <w14:schemeClr w14:val="tx1"/>
                  </w14:solidFill>
                </w14:textFill>
              </w:rPr>
            </w:pPr>
          </w:p>
        </w:tc>
        <w:tc>
          <w:tcPr>
            <w:tcW w:w="1350" w:type="dxa"/>
            <w:vAlign w:val="center"/>
          </w:tcPr>
          <w:p w14:paraId="184B9C6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生产废水</w:t>
            </w:r>
          </w:p>
        </w:tc>
        <w:tc>
          <w:tcPr>
            <w:tcW w:w="1391" w:type="dxa"/>
            <w:vAlign w:val="center"/>
          </w:tcPr>
          <w:p w14:paraId="5046076E">
            <w:pPr>
              <w:pStyle w:val="46"/>
              <w:keepNext w:val="0"/>
              <w:keepLines w:val="0"/>
              <w:pageBreakBefore w:val="0"/>
              <w:widowControl w:val="0"/>
              <w:tabs>
                <w:tab w:val="left" w:pos="0"/>
              </w:tabs>
              <w:kinsoku/>
              <w:wordWrap/>
              <w:overflowPunct/>
              <w:topLinePunct w:val="0"/>
              <w:autoSpaceDE/>
              <w:autoSpaceDN/>
              <w:bidi w:val="0"/>
              <w:spacing w:line="240" w:lineRule="auto"/>
              <w:ind w:left="0" w:firstLine="0" w:firstLineChars="0"/>
              <w:textAlignment w:val="auto"/>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SS</w:t>
            </w:r>
          </w:p>
        </w:tc>
        <w:tc>
          <w:tcPr>
            <w:tcW w:w="2059" w:type="dxa"/>
            <w:shd w:val="clear" w:color="auto" w:fill="auto"/>
            <w:vAlign w:val="center"/>
          </w:tcPr>
          <w:p w14:paraId="06D73083">
            <w:pPr>
              <w:pStyle w:val="12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s="Times New Roman"/>
                <w:color w:val="000000"/>
                <w:kern w:val="2"/>
                <w:sz w:val="21"/>
                <w:szCs w:val="21"/>
                <w:u w:val="none" w:color="auto"/>
                <w:lang w:val="en-US" w:eastAsia="zh-CN" w:bidi="ar-SA"/>
              </w:rPr>
            </w:pPr>
            <w: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生产废水</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沉淀池处理后</w:t>
            </w:r>
            <w: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循环使用，不外排</w:t>
            </w:r>
          </w:p>
        </w:tc>
        <w:tc>
          <w:tcPr>
            <w:tcW w:w="3311" w:type="dxa"/>
            <w:vAlign w:val="center"/>
          </w:tcPr>
          <w:p w14:paraId="784616A1">
            <w:pPr>
              <w:pStyle w:val="46"/>
              <w:keepNext w:val="0"/>
              <w:keepLines w:val="0"/>
              <w:pageBreakBefore w:val="0"/>
              <w:widowControl w:val="0"/>
              <w:tabs>
                <w:tab w:val="left" w:pos="0"/>
              </w:tabs>
              <w:kinsoku/>
              <w:wordWrap/>
              <w:overflowPunct/>
              <w:topLinePunct w:val="0"/>
              <w:autoSpaceDE/>
              <w:autoSpaceDN/>
              <w:bidi w:val="0"/>
              <w:spacing w:line="240" w:lineRule="auto"/>
              <w:ind w:left="0" w:firstLine="0" w:firstLineChars="0"/>
              <w:textAlignment w:val="auto"/>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14:paraId="133B67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60" w:type="dxa"/>
            <w:vAlign w:val="center"/>
          </w:tcPr>
          <w:p w14:paraId="523EC4C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声环境</w:t>
            </w:r>
          </w:p>
        </w:tc>
        <w:tc>
          <w:tcPr>
            <w:tcW w:w="1350" w:type="dxa"/>
            <w:vAlign w:val="center"/>
          </w:tcPr>
          <w:p w14:paraId="21F50A24">
            <w:pPr>
              <w:pStyle w:val="46"/>
              <w:keepNext w:val="0"/>
              <w:keepLines w:val="0"/>
              <w:pageBreakBefore w:val="0"/>
              <w:widowControl w:val="0"/>
              <w:tabs>
                <w:tab w:val="left" w:pos="0"/>
              </w:tabs>
              <w:kinsoku/>
              <w:wordWrap/>
              <w:overflowPunct/>
              <w:topLinePunct w:val="0"/>
              <w:autoSpaceDE/>
              <w:autoSpaceDN/>
              <w:bidi w:val="0"/>
              <w:spacing w:line="240" w:lineRule="auto"/>
              <w:ind w:left="0" w:firstLine="0" w:firstLineChars="0"/>
              <w:textAlignment w:val="auto"/>
              <w:rPr>
                <w:rFonts w:ascii="宋体" w:hAnsi="宋体" w:cs="宋体"/>
                <w:color w:val="000000" w:themeColor="text1"/>
                <w:szCs w:val="21"/>
                <w:highlight w:val="none"/>
                <w14:textFill>
                  <w14:solidFill>
                    <w14:schemeClr w14:val="tx1"/>
                  </w14:solidFill>
                </w14:textFill>
              </w:rPr>
            </w:pPr>
            <w:r>
              <w:rPr>
                <w:color w:val="000000" w:themeColor="text1"/>
                <w:highlight w:val="none"/>
                <w14:textFill>
                  <w14:solidFill>
                    <w14:schemeClr w14:val="tx1"/>
                  </w14:solidFill>
                </w14:textFill>
              </w:rPr>
              <w:t>厂界噪声</w:t>
            </w:r>
          </w:p>
        </w:tc>
        <w:tc>
          <w:tcPr>
            <w:tcW w:w="1391" w:type="dxa"/>
            <w:vAlign w:val="center"/>
          </w:tcPr>
          <w:p w14:paraId="179281FB">
            <w:pPr>
              <w:pStyle w:val="46"/>
              <w:keepNext w:val="0"/>
              <w:keepLines w:val="0"/>
              <w:pageBreakBefore w:val="0"/>
              <w:widowControl w:val="0"/>
              <w:tabs>
                <w:tab w:val="left" w:pos="0"/>
              </w:tabs>
              <w:kinsoku/>
              <w:wordWrap/>
              <w:overflowPunct/>
              <w:topLinePunct w:val="0"/>
              <w:autoSpaceDE/>
              <w:autoSpaceDN/>
              <w:bidi w:val="0"/>
              <w:spacing w:line="240" w:lineRule="auto"/>
              <w:ind w:left="0" w:firstLine="0" w:firstLineChars="0"/>
              <w:textAlignment w:val="auto"/>
              <w:rPr>
                <w:rFonts w:ascii="宋体" w:hAnsi="宋体" w:cs="宋体"/>
                <w:color w:val="000000" w:themeColor="text1"/>
                <w:szCs w:val="21"/>
                <w:highlight w:val="none"/>
                <w14:textFill>
                  <w14:solidFill>
                    <w14:schemeClr w14:val="tx1"/>
                  </w14:solidFill>
                </w14:textFill>
              </w:rPr>
            </w:pPr>
            <w:r>
              <w:rPr>
                <w:color w:val="000000" w:themeColor="text1"/>
                <w:highlight w:val="none"/>
                <w14:textFill>
                  <w14:solidFill>
                    <w14:schemeClr w14:val="tx1"/>
                  </w14:solidFill>
                </w14:textFill>
              </w:rPr>
              <w:t>连续等效A声级</w:t>
            </w:r>
          </w:p>
        </w:tc>
        <w:tc>
          <w:tcPr>
            <w:tcW w:w="2059" w:type="dxa"/>
            <w:vAlign w:val="center"/>
          </w:tcPr>
          <w:p w14:paraId="284BC23D">
            <w:pPr>
              <w:pStyle w:val="46"/>
              <w:keepNext w:val="0"/>
              <w:keepLines w:val="0"/>
              <w:pageBreakBefore w:val="0"/>
              <w:widowControl w:val="0"/>
              <w:tabs>
                <w:tab w:val="left" w:pos="0"/>
              </w:tabs>
              <w:kinsoku/>
              <w:wordWrap/>
              <w:overflowPunct/>
              <w:topLinePunct w:val="0"/>
              <w:autoSpaceDE/>
              <w:autoSpaceDN/>
              <w:bidi w:val="0"/>
              <w:spacing w:line="240" w:lineRule="auto"/>
              <w:ind w:left="0" w:firstLine="0" w:firstLineChars="0"/>
              <w:textAlignment w:val="auto"/>
              <w:rPr>
                <w:rFonts w:ascii="宋体" w:hAnsi="宋体" w:cs="宋体"/>
                <w:color w:val="000000" w:themeColor="text1"/>
                <w:szCs w:val="21"/>
                <w:highlight w:val="none"/>
                <w14:textFill>
                  <w14:solidFill>
                    <w14:schemeClr w14:val="tx1"/>
                  </w14:solidFill>
                </w14:textFill>
              </w:rPr>
            </w:pPr>
            <w:r>
              <w:rPr>
                <w:color w:val="000000" w:themeColor="text1"/>
                <w:highlight w:val="none"/>
                <w14:textFill>
                  <w14:solidFill>
                    <w14:schemeClr w14:val="tx1"/>
                  </w14:solidFill>
                </w14:textFill>
              </w:rPr>
              <w:t>设备采取隔声降噪减振和消声等措施</w:t>
            </w:r>
          </w:p>
        </w:tc>
        <w:tc>
          <w:tcPr>
            <w:tcW w:w="3311" w:type="dxa"/>
            <w:vAlign w:val="center"/>
          </w:tcPr>
          <w:p w14:paraId="4E292D0B">
            <w:pPr>
              <w:pStyle w:val="46"/>
              <w:keepNext w:val="0"/>
              <w:keepLines w:val="0"/>
              <w:pageBreakBefore w:val="0"/>
              <w:widowControl w:val="0"/>
              <w:tabs>
                <w:tab w:val="left" w:pos="0"/>
              </w:tabs>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color w:val="auto"/>
                <w:highlight w:val="none"/>
                <w:lang w:val="en-US" w:eastAsia="zh-CN"/>
              </w:rPr>
              <w:t>厂界执行</w:t>
            </w:r>
            <w:r>
              <w:rPr>
                <w:color w:val="auto"/>
                <w:highlight w:val="none"/>
              </w:rPr>
              <w:t>《工业企业厂界环境噪声排放标准》(GB12348-2008)</w:t>
            </w:r>
            <w:r>
              <w:rPr>
                <w:rFonts w:hint="eastAsia"/>
                <w:color w:val="auto"/>
                <w:highlight w:val="none"/>
                <w:lang w:val="en-US" w:eastAsia="zh-CN"/>
              </w:rPr>
              <w:t>2</w:t>
            </w:r>
            <w:r>
              <w:rPr>
                <w:color w:val="auto"/>
                <w:highlight w:val="none"/>
              </w:rPr>
              <w:t>类标准</w:t>
            </w:r>
            <w:r>
              <w:rPr>
                <w:rFonts w:hint="eastAsia"/>
                <w:color w:val="auto"/>
                <w:sz w:val="21"/>
                <w:szCs w:val="21"/>
                <w:highlight w:val="none"/>
              </w:rPr>
              <w:t>限值</w:t>
            </w:r>
          </w:p>
        </w:tc>
      </w:tr>
      <w:tr w14:paraId="7DF0BC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vAlign w:val="center"/>
          </w:tcPr>
          <w:p w14:paraId="0B80C510">
            <w:pPr>
              <w:pageBreakBefore w:val="0"/>
              <w:kinsoku/>
              <w:overflowPunct/>
              <w:topLinePunct w:val="0"/>
              <w:bidi w:val="0"/>
              <w:adjustRightInd w:val="0"/>
              <w:snapToGrid w:val="0"/>
              <w:spacing w:line="240" w:lineRule="auto"/>
              <w:ind w:left="0" w:firstLine="0" w:firstLineChars="0"/>
              <w:jc w:val="center"/>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电磁</w:t>
            </w:r>
          </w:p>
          <w:p w14:paraId="678DBBF8">
            <w:pPr>
              <w:pageBreakBefore w:val="0"/>
              <w:kinsoku/>
              <w:overflowPunct/>
              <w:topLinePunct w:val="0"/>
              <w:bidi w:val="0"/>
              <w:adjustRightInd w:val="0"/>
              <w:snapToGrid w:val="0"/>
              <w:spacing w:line="240" w:lineRule="auto"/>
              <w:ind w:left="0" w:firstLine="0" w:firstLineChars="0"/>
              <w:jc w:val="center"/>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辐射</w:t>
            </w:r>
          </w:p>
        </w:tc>
        <w:tc>
          <w:tcPr>
            <w:tcW w:w="1350" w:type="dxa"/>
            <w:vAlign w:val="center"/>
          </w:tcPr>
          <w:p w14:paraId="41C17EA6">
            <w:pPr>
              <w:pageBreakBefore w:val="0"/>
              <w:kinsoku/>
              <w:overflowPunct/>
              <w:topLinePunct w:val="0"/>
              <w:bidi w:val="0"/>
              <w:adjustRightInd w:val="0"/>
              <w:snapToGrid w:val="0"/>
              <w:spacing w:line="240" w:lineRule="auto"/>
              <w:ind w:left="0" w:firstLine="0" w:firstLineChars="0"/>
              <w:jc w:val="center"/>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p>
        </w:tc>
        <w:tc>
          <w:tcPr>
            <w:tcW w:w="1391" w:type="dxa"/>
            <w:vAlign w:val="center"/>
          </w:tcPr>
          <w:p w14:paraId="4EE12921">
            <w:pPr>
              <w:pageBreakBefore w:val="0"/>
              <w:kinsoku/>
              <w:overflowPunct/>
              <w:topLinePunct w:val="0"/>
              <w:bidi w:val="0"/>
              <w:adjustRightInd w:val="0"/>
              <w:snapToGrid w:val="0"/>
              <w:spacing w:line="240" w:lineRule="auto"/>
              <w:ind w:left="0" w:firstLine="0" w:firstLineChars="0"/>
              <w:jc w:val="center"/>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p>
        </w:tc>
        <w:tc>
          <w:tcPr>
            <w:tcW w:w="2059" w:type="dxa"/>
            <w:vAlign w:val="center"/>
          </w:tcPr>
          <w:p w14:paraId="4C08E34A">
            <w:pPr>
              <w:pageBreakBefore w:val="0"/>
              <w:kinsoku/>
              <w:overflowPunct/>
              <w:topLinePunct w:val="0"/>
              <w:bidi w:val="0"/>
              <w:adjustRightInd w:val="0"/>
              <w:snapToGrid w:val="0"/>
              <w:spacing w:line="240" w:lineRule="auto"/>
              <w:ind w:left="0" w:firstLine="0" w:firstLineChars="0"/>
              <w:jc w:val="center"/>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p>
        </w:tc>
        <w:tc>
          <w:tcPr>
            <w:tcW w:w="3311" w:type="dxa"/>
            <w:vAlign w:val="center"/>
          </w:tcPr>
          <w:p w14:paraId="67E62D60">
            <w:pPr>
              <w:pageBreakBefore w:val="0"/>
              <w:kinsoku/>
              <w:overflowPunct/>
              <w:topLinePunct w:val="0"/>
              <w:bidi w:val="0"/>
              <w:adjustRightInd w:val="0"/>
              <w:snapToGrid w:val="0"/>
              <w:spacing w:line="240" w:lineRule="auto"/>
              <w:ind w:left="0" w:firstLine="0" w:firstLineChars="0"/>
              <w:jc w:val="center"/>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p>
        </w:tc>
      </w:tr>
      <w:tr w14:paraId="3E1266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79" w:hRule="atLeast"/>
          <w:jc w:val="center"/>
        </w:trPr>
        <w:tc>
          <w:tcPr>
            <w:tcW w:w="860" w:type="dxa"/>
            <w:vAlign w:val="center"/>
          </w:tcPr>
          <w:p w14:paraId="62EA6066">
            <w:pPr>
              <w:pageBreakBefore w:val="0"/>
              <w:kinsoku/>
              <w:overflowPunct/>
              <w:topLinePunct w:val="0"/>
              <w:bidi w:val="0"/>
              <w:adjustRightInd w:val="0"/>
              <w:snapToGrid w:val="0"/>
              <w:spacing w:line="240" w:lineRule="auto"/>
              <w:ind w:left="0" w:firstLine="0" w:firstLineChars="0"/>
              <w:jc w:val="center"/>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固体</w:t>
            </w:r>
          </w:p>
          <w:p w14:paraId="57C6AFF8">
            <w:pPr>
              <w:pageBreakBefore w:val="0"/>
              <w:kinsoku/>
              <w:overflowPunct/>
              <w:topLinePunct w:val="0"/>
              <w:bidi w:val="0"/>
              <w:adjustRightInd w:val="0"/>
              <w:snapToGrid w:val="0"/>
              <w:spacing w:line="240" w:lineRule="auto"/>
              <w:ind w:left="0" w:firstLine="0" w:firstLineChars="0"/>
              <w:jc w:val="center"/>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废物</w:t>
            </w:r>
          </w:p>
        </w:tc>
        <w:tc>
          <w:tcPr>
            <w:tcW w:w="8111" w:type="dxa"/>
            <w:gridSpan w:val="4"/>
            <w:vAlign w:val="center"/>
          </w:tcPr>
          <w:p w14:paraId="4BC40822">
            <w:pPr>
              <w:pageBreakBefore w:val="0"/>
              <w:kinsoku/>
              <w:overflowPunct/>
              <w:topLinePunct w:val="0"/>
              <w:bidi w:val="0"/>
              <w:adjustRightInd w:val="0"/>
              <w:snapToGrid w:val="0"/>
              <w:spacing w:line="240" w:lineRule="auto"/>
              <w:ind w:left="0" w:firstLine="0" w:firstLineChars="0"/>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cs="宋体"/>
                <w:color w:val="000000" w:themeColor="text1"/>
                <w:szCs w:val="21"/>
                <w:highlight w:val="none"/>
                <w:lang w:bidi="ar"/>
                <w14:textFill>
                  <w14:solidFill>
                    <w14:schemeClr w14:val="tx1"/>
                  </w14:solidFill>
                </w14:textFill>
              </w:rPr>
              <w:t>一般工业固废：设置一般工业固废暂存间，妥善分类收集后回用于生产或外售综合利用；满足</w:t>
            </w:r>
            <w:r>
              <w:rPr>
                <w:rFonts w:hint="eastAsia"/>
                <w:color w:val="000000" w:themeColor="text1"/>
                <w:highlight w:val="none"/>
                <w14:textFill>
                  <w14:solidFill>
                    <w14:schemeClr w14:val="tx1"/>
                  </w14:solidFill>
                </w14:textFill>
              </w:rPr>
              <w:t>《一般工业固体废物贮存和填埋污染控制标准》（GB18599-2020）</w:t>
            </w:r>
            <w:r>
              <w:rPr>
                <w:rFonts w:hint="eastAsia" w:cs="宋体"/>
                <w:color w:val="000000" w:themeColor="text1"/>
                <w:szCs w:val="21"/>
                <w:highlight w:val="none"/>
                <w:lang w:bidi="ar"/>
                <w14:textFill>
                  <w14:solidFill>
                    <w14:schemeClr w14:val="tx1"/>
                  </w14:solidFill>
                </w14:textFill>
              </w:rPr>
              <w:t>的相关要求</w:t>
            </w:r>
            <w:r>
              <w:rPr>
                <w:rFonts w:hint="eastAsia" w:cs="宋体"/>
                <w:color w:val="000000" w:themeColor="text1"/>
                <w:szCs w:val="21"/>
                <w:highlight w:val="none"/>
                <w:lang w:eastAsia="zh-CN" w:bidi="ar"/>
                <w14:textFill>
                  <w14:solidFill>
                    <w14:schemeClr w14:val="tx1"/>
                  </w14:solidFill>
                </w14:textFill>
              </w:rPr>
              <w:t>。</w:t>
            </w:r>
          </w:p>
        </w:tc>
      </w:tr>
      <w:tr w14:paraId="6E8765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860" w:type="dxa"/>
            <w:vAlign w:val="center"/>
          </w:tcPr>
          <w:p w14:paraId="59C0C4FE">
            <w:pPr>
              <w:pageBreakBefore w:val="0"/>
              <w:kinsoku/>
              <w:overflowPunct/>
              <w:topLinePunct w:val="0"/>
              <w:bidi w:val="0"/>
              <w:adjustRightInd w:val="0"/>
              <w:snapToGrid w:val="0"/>
              <w:spacing w:line="240" w:lineRule="auto"/>
              <w:ind w:left="0" w:firstLine="0" w:firstLineChars="0"/>
              <w:jc w:val="center"/>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土壤及地下水污染防治措施</w:t>
            </w:r>
          </w:p>
        </w:tc>
        <w:tc>
          <w:tcPr>
            <w:tcW w:w="8111" w:type="dxa"/>
            <w:gridSpan w:val="4"/>
            <w:vAlign w:val="center"/>
          </w:tcPr>
          <w:p w14:paraId="0EA343FB">
            <w:pPr>
              <w:pStyle w:val="44"/>
              <w:pageBreakBefore w:val="0"/>
              <w:kinsoku/>
              <w:overflowPunct/>
              <w:topLinePunct w:val="0"/>
              <w:bidi w:val="0"/>
              <w:spacing w:line="240" w:lineRule="auto"/>
              <w:ind w:left="0" w:leftChars="0" w:firstLine="0" w:firstLineChars="0"/>
              <w:textAlignment w:val="auto"/>
              <w:rPr>
                <w:rFonts w:ascii="宋体" w:hAnsi="宋体" w:cs="宋体"/>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按照</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源头控制、分区防治、污染监控、应急响应</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相结合的原则全阶段进行控制</w:t>
            </w:r>
            <w:r>
              <w:rPr>
                <w:rFonts w:hint="eastAsia"/>
                <w:color w:val="000000" w:themeColor="text1"/>
                <w:sz w:val="21"/>
                <w:szCs w:val="21"/>
                <w:highlight w:val="none"/>
                <w14:textFill>
                  <w14:solidFill>
                    <w14:schemeClr w14:val="tx1"/>
                  </w14:solidFill>
                </w14:textFill>
              </w:rPr>
              <w:t>。</w:t>
            </w:r>
          </w:p>
        </w:tc>
      </w:tr>
      <w:tr w14:paraId="53CE12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860" w:type="dxa"/>
            <w:vAlign w:val="center"/>
          </w:tcPr>
          <w:p w14:paraId="3551FFB8">
            <w:pPr>
              <w:pageBreakBefore w:val="0"/>
              <w:kinsoku/>
              <w:overflowPunct/>
              <w:topLinePunct w:val="0"/>
              <w:bidi w:val="0"/>
              <w:adjustRightInd w:val="0"/>
              <w:snapToGrid w:val="0"/>
              <w:spacing w:line="240" w:lineRule="auto"/>
              <w:ind w:left="0" w:firstLine="0" w:firstLineChars="0"/>
              <w:jc w:val="center"/>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生态保护措施</w:t>
            </w:r>
          </w:p>
        </w:tc>
        <w:tc>
          <w:tcPr>
            <w:tcW w:w="8111" w:type="dxa"/>
            <w:gridSpan w:val="4"/>
            <w:vAlign w:val="center"/>
          </w:tcPr>
          <w:p w14:paraId="413A9B69">
            <w:pPr>
              <w:pageBreakBefore w:val="0"/>
              <w:kinsoku/>
              <w:overflowPunct/>
              <w:topLinePunct w:val="0"/>
              <w:bidi w:val="0"/>
              <w:adjustRightInd w:val="0"/>
              <w:snapToGrid w:val="0"/>
              <w:spacing w:line="240" w:lineRule="auto"/>
              <w:ind w:left="0" w:firstLine="0" w:firstLineChars="0"/>
              <w:jc w:val="center"/>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p>
        </w:tc>
      </w:tr>
      <w:tr w14:paraId="2AED5C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vAlign w:val="center"/>
          </w:tcPr>
          <w:p w14:paraId="7810AFC1">
            <w:pPr>
              <w:pageBreakBefore w:val="0"/>
              <w:kinsoku/>
              <w:overflowPunct/>
              <w:topLinePunct w:val="0"/>
              <w:bidi w:val="0"/>
              <w:adjustRightInd w:val="0"/>
              <w:snapToGrid w:val="0"/>
              <w:spacing w:line="240" w:lineRule="auto"/>
              <w:ind w:left="0" w:firstLine="0" w:firstLineChars="0"/>
              <w:jc w:val="center"/>
              <w:textAlignment w:val="auto"/>
              <w:rPr>
                <w:rFonts w:ascii="宋体" w:hAnsi="宋体" w:cs="宋体"/>
                <w:color w:val="000000" w:themeColor="text1"/>
                <w:spacing w:val="-8"/>
                <w:szCs w:val="21"/>
                <w:highlight w:val="none"/>
                <w14:textFill>
                  <w14:solidFill>
                    <w14:schemeClr w14:val="tx1"/>
                  </w14:solidFill>
                </w14:textFill>
              </w:rPr>
            </w:pPr>
            <w:r>
              <w:rPr>
                <w:rFonts w:hint="eastAsia" w:ascii="宋体" w:hAnsi="宋体" w:cs="宋体"/>
                <w:color w:val="000000" w:themeColor="text1"/>
                <w:spacing w:val="-8"/>
                <w:szCs w:val="21"/>
                <w:highlight w:val="none"/>
                <w14:textFill>
                  <w14:solidFill>
                    <w14:schemeClr w14:val="tx1"/>
                  </w14:solidFill>
                </w14:textFill>
              </w:rPr>
              <w:t>环境风险防范措施</w:t>
            </w:r>
          </w:p>
        </w:tc>
        <w:tc>
          <w:tcPr>
            <w:tcW w:w="8111" w:type="dxa"/>
            <w:gridSpan w:val="4"/>
            <w:vAlign w:val="center"/>
          </w:tcPr>
          <w:p w14:paraId="1FF21731">
            <w:pPr>
              <w:pStyle w:val="44"/>
              <w:pageBreakBefore w:val="0"/>
              <w:kinsoku/>
              <w:overflowPunct/>
              <w:topLinePunct w:val="0"/>
              <w:bidi w:val="0"/>
              <w:spacing w:line="240" w:lineRule="auto"/>
              <w:ind w:left="0" w:firstLine="0" w:firstLineChars="0"/>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①</w:t>
            </w:r>
            <w:r>
              <w:rPr>
                <w:rFonts w:ascii="Times New Roman" w:hAnsi="Times New Roman" w:eastAsia="宋体" w:cs="Times New Roman"/>
                <w:color w:val="000000" w:themeColor="text1"/>
                <w:sz w:val="21"/>
                <w:szCs w:val="21"/>
                <w:highlight w:val="none"/>
                <w:lang w:val="en-US" w:eastAsia="zh-CN"/>
                <w14:textFill>
                  <w14:solidFill>
                    <w14:schemeClr w14:val="tx1"/>
                  </w14:solidFill>
                </w14:textFill>
              </w:rPr>
              <w:t>生产车间、仓库设置有消防设备</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p w14:paraId="022054A9">
            <w:pPr>
              <w:pStyle w:val="44"/>
              <w:pageBreakBefore w:val="0"/>
              <w:kinsoku/>
              <w:overflowPunct/>
              <w:topLinePunct w:val="0"/>
              <w:bidi w:val="0"/>
              <w:spacing w:line="240" w:lineRule="auto"/>
              <w:ind w:left="0" w:firstLine="0" w:firstLineChars="0"/>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②</w:t>
            </w:r>
            <w:r>
              <w:rPr>
                <w:color w:val="000000" w:themeColor="text1"/>
                <w:sz w:val="21"/>
                <w:szCs w:val="21"/>
                <w:highlight w:val="none"/>
                <w14:textFill>
                  <w14:solidFill>
                    <w14:schemeClr w14:val="tx1"/>
                  </w14:solidFill>
                </w14:textFill>
              </w:rPr>
              <w:t>加强职工管理，进行必要的安全消防教育，并做好个人防护。</w:t>
            </w:r>
          </w:p>
          <w:p w14:paraId="1A7EC05B">
            <w:pPr>
              <w:pStyle w:val="44"/>
              <w:pageBreakBefore w:val="0"/>
              <w:kinsoku/>
              <w:overflowPunct/>
              <w:topLinePunct w:val="0"/>
              <w:bidi w:val="0"/>
              <w:spacing w:line="240" w:lineRule="auto"/>
              <w:ind w:left="0" w:firstLine="0" w:firstLineChars="0"/>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③</w:t>
            </w:r>
            <w:r>
              <w:rPr>
                <w:color w:val="000000" w:themeColor="text1"/>
                <w:sz w:val="21"/>
                <w:szCs w:val="21"/>
                <w:highlight w:val="none"/>
                <w14:textFill>
                  <w14:solidFill>
                    <w14:schemeClr w14:val="tx1"/>
                  </w14:solidFill>
                </w14:textFill>
              </w:rPr>
              <w:t>企业应加强设备管理，确保设备完好，并制定严格的操作、管理制度，工作人员应培训上岗，定期对池体进行检查，杜绝“跑、冒、滴、漏”的发生。</w:t>
            </w:r>
          </w:p>
          <w:p w14:paraId="391EB2C8">
            <w:pPr>
              <w:pStyle w:val="44"/>
              <w:pageBreakBefore w:val="0"/>
              <w:kinsoku/>
              <w:overflowPunct/>
              <w:topLinePunct w:val="0"/>
              <w:bidi w:val="0"/>
              <w:spacing w:line="240" w:lineRule="auto"/>
              <w:ind w:left="0" w:firstLine="0" w:firstLineChars="0"/>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④</w:t>
            </w:r>
            <w:r>
              <w:rPr>
                <w:rFonts w:ascii="Times New Roman" w:hAnsi="Times New Roman" w:eastAsia="宋体" w:cs="Times New Roman"/>
                <w:color w:val="000000" w:themeColor="text1"/>
                <w:sz w:val="21"/>
                <w:szCs w:val="21"/>
                <w:highlight w:val="none"/>
                <w:lang w:val="en-US" w:eastAsia="zh-CN"/>
                <w14:textFill>
                  <w14:solidFill>
                    <w14:schemeClr w14:val="tx1"/>
                  </w14:solidFill>
                </w14:textFill>
              </w:rPr>
              <w:t>生产车间应进行地面硬化，确保项目</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原料</w:t>
            </w:r>
            <w:r>
              <w:rPr>
                <w:rFonts w:hint="eastAsia" w:cs="Times New Roman"/>
                <w:color w:val="000000" w:themeColor="text1"/>
                <w:sz w:val="21"/>
                <w:szCs w:val="21"/>
                <w:highlight w:val="none"/>
                <w:lang w:val="en-US" w:eastAsia="zh-CN"/>
                <w14:textFill>
                  <w14:solidFill>
                    <w14:schemeClr w14:val="tx1"/>
                  </w14:solidFill>
                </w14:textFill>
              </w:rPr>
              <w:t>贮存区</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ascii="Times New Roman" w:hAnsi="Times New Roman" w:eastAsia="宋体" w:cs="Times New Roman"/>
                <w:color w:val="000000" w:themeColor="text1"/>
                <w:sz w:val="21"/>
                <w:szCs w:val="21"/>
                <w:highlight w:val="none"/>
                <w:lang w:val="en-US" w:eastAsia="zh-CN"/>
                <w14:textFill>
                  <w14:solidFill>
                    <w14:schemeClr w14:val="tx1"/>
                  </w14:solidFill>
                </w14:textFill>
              </w:rPr>
              <w:t>生产设备等发生</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泄漏</w:t>
            </w:r>
            <w:r>
              <w:rPr>
                <w:rFonts w:ascii="Times New Roman" w:hAnsi="Times New Roman" w:eastAsia="宋体" w:cs="Times New Roman"/>
                <w:color w:val="000000" w:themeColor="text1"/>
                <w:sz w:val="21"/>
                <w:szCs w:val="21"/>
                <w:highlight w:val="none"/>
                <w:lang w:val="en-US" w:eastAsia="zh-CN"/>
                <w14:textFill>
                  <w14:solidFill>
                    <w14:schemeClr w14:val="tx1"/>
                  </w14:solidFill>
                </w14:textFill>
              </w:rPr>
              <w:t>，物料不会对土壤及地下水造成污染；</w:t>
            </w:r>
            <w:r>
              <w:rPr>
                <w:rFonts w:hint="eastAsia"/>
                <w:color w:val="000000" w:themeColor="text1"/>
                <w:sz w:val="21"/>
                <w:szCs w:val="21"/>
                <w:highlight w:val="none"/>
                <w:lang w:val="en-US" w:eastAsia="zh-CN"/>
                <w14:textFill>
                  <w14:solidFill>
                    <w14:schemeClr w14:val="tx1"/>
                  </w14:solidFill>
                </w14:textFill>
              </w:rPr>
              <w:t>危废</w:t>
            </w:r>
            <w:r>
              <w:rPr>
                <w:rFonts w:hint="eastAsia"/>
                <w:color w:val="000000" w:themeColor="text1"/>
                <w:sz w:val="21"/>
                <w:szCs w:val="21"/>
                <w:highlight w:val="none"/>
                <w14:textFill>
                  <w14:solidFill>
                    <w14:schemeClr w14:val="tx1"/>
                  </w14:solidFill>
                </w14:textFill>
              </w:rPr>
              <w:t>仓库</w:t>
            </w:r>
            <w:r>
              <w:rPr>
                <w:color w:val="000000" w:themeColor="text1"/>
                <w:sz w:val="21"/>
                <w:szCs w:val="21"/>
                <w:highlight w:val="none"/>
                <w14:textFill>
                  <w14:solidFill>
                    <w14:schemeClr w14:val="tx1"/>
                  </w14:solidFill>
                </w14:textFill>
              </w:rPr>
              <w:t>应涂上环氧树脂防渗材料。</w:t>
            </w:r>
          </w:p>
        </w:tc>
      </w:tr>
      <w:tr w14:paraId="2283D4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60" w:type="dxa"/>
            <w:vAlign w:val="center"/>
          </w:tcPr>
          <w:p w14:paraId="06EDC64D">
            <w:pPr>
              <w:pageBreakBefore w:val="0"/>
              <w:kinsoku/>
              <w:overflowPunct/>
              <w:topLinePunct w:val="0"/>
              <w:bidi w:val="0"/>
              <w:adjustRightInd w:val="0"/>
              <w:snapToGrid w:val="0"/>
              <w:spacing w:line="240" w:lineRule="auto"/>
              <w:ind w:left="0" w:firstLine="0" w:firstLineChars="0"/>
              <w:jc w:val="center"/>
              <w:textAlignment w:val="auto"/>
              <w:rPr>
                <w:rFonts w:ascii="宋体" w:hAnsi="宋体" w:cs="宋体"/>
                <w:color w:val="000000" w:themeColor="text1"/>
                <w:spacing w:val="-8"/>
                <w:szCs w:val="21"/>
                <w:highlight w:val="none"/>
                <w14:textFill>
                  <w14:solidFill>
                    <w14:schemeClr w14:val="tx1"/>
                  </w14:solidFill>
                </w14:textFill>
              </w:rPr>
            </w:pPr>
            <w:r>
              <w:rPr>
                <w:rFonts w:hint="eastAsia" w:ascii="宋体" w:hAnsi="宋体" w:cs="宋体"/>
                <w:color w:val="000000" w:themeColor="text1"/>
                <w:spacing w:val="-8"/>
                <w:szCs w:val="21"/>
                <w:highlight w:val="none"/>
                <w14:textFill>
                  <w14:solidFill>
                    <w14:schemeClr w14:val="tx1"/>
                  </w14:solidFill>
                </w14:textFill>
              </w:rPr>
              <w:t>其他环境管理要求</w:t>
            </w:r>
          </w:p>
        </w:tc>
        <w:tc>
          <w:tcPr>
            <w:tcW w:w="8111" w:type="dxa"/>
            <w:gridSpan w:val="4"/>
            <w:vAlign w:val="center"/>
          </w:tcPr>
          <w:p w14:paraId="05363340">
            <w:pPr>
              <w:pStyle w:val="30"/>
              <w:pageBreakBefore w:val="0"/>
              <w:widowControl w:val="0"/>
              <w:kinsoku/>
              <w:overflowPunct/>
              <w:topLinePunct w:val="0"/>
              <w:bidi w:val="0"/>
              <w:spacing w:before="0" w:beforeAutospacing="0" w:after="0" w:afterAutospacing="0" w:line="240" w:lineRule="auto"/>
              <w:ind w:left="0" w:firstLine="0" w:firstLineChars="0"/>
              <w:textAlignment w:val="auto"/>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①</w:t>
            </w:r>
            <w:r>
              <w:rPr>
                <w:rFonts w:ascii="Times New Roman" w:hAnsi="Times New Roman"/>
                <w:color w:val="000000" w:themeColor="text1"/>
                <w:sz w:val="21"/>
                <w:szCs w:val="21"/>
                <w:highlight w:val="none"/>
                <w14:textFill>
                  <w14:solidFill>
                    <w14:schemeClr w14:val="tx1"/>
                  </w14:solidFill>
                </w14:textFill>
              </w:rPr>
              <w:t>设立专门的环保机构，配备专职环保工作人员。</w:t>
            </w:r>
          </w:p>
          <w:p w14:paraId="6291CBF2">
            <w:pPr>
              <w:pStyle w:val="30"/>
              <w:pageBreakBefore w:val="0"/>
              <w:widowControl w:val="0"/>
              <w:kinsoku/>
              <w:overflowPunct/>
              <w:topLinePunct w:val="0"/>
              <w:bidi w:val="0"/>
              <w:spacing w:before="0" w:beforeAutospacing="0" w:after="0" w:afterAutospacing="0" w:line="240" w:lineRule="auto"/>
              <w:ind w:left="0" w:firstLine="0" w:firstLineChars="0"/>
              <w:textAlignment w:val="auto"/>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②建立日常环境管理制度和环境管理工作计划。</w:t>
            </w:r>
          </w:p>
          <w:p w14:paraId="6E20502A">
            <w:pPr>
              <w:pageBreakBefore w:val="0"/>
              <w:widowControl/>
              <w:kinsoku/>
              <w:overflowPunct/>
              <w:topLinePunct w:val="0"/>
              <w:bidi w:val="0"/>
              <w:spacing w:line="240" w:lineRule="auto"/>
              <w:ind w:left="0" w:firstLine="0" w:firstLineChars="0"/>
              <w:jc w:val="left"/>
              <w:textAlignment w:val="auto"/>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③加强环保设施运行管理维护，建立环保设施运行台账，确保环保设施正常运行及污染物稳定达标排放。</w:t>
            </w:r>
          </w:p>
          <w:p w14:paraId="53675F11">
            <w:pPr>
              <w:pStyle w:val="87"/>
              <w:pageBreakBefore w:val="0"/>
              <w:kinsoku/>
              <w:overflowPunct/>
              <w:topLinePunct w:val="0"/>
              <w:bidi w:val="0"/>
              <w:spacing w:line="240" w:lineRule="auto"/>
              <w:ind w:left="0" w:firstLine="0" w:firstLineChars="0"/>
              <w:textAlignment w:val="auto"/>
              <w:rPr>
                <w:color w:val="000000" w:themeColor="text1"/>
                <w:kern w:val="0"/>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④</w:t>
            </w:r>
            <w:r>
              <w:rPr>
                <w:color w:val="000000" w:themeColor="text1"/>
                <w:kern w:val="0"/>
                <w:szCs w:val="21"/>
                <w:highlight w:val="none"/>
                <w14:textFill>
                  <w14:solidFill>
                    <w14:schemeClr w14:val="tx1"/>
                  </w14:solidFill>
                </w14:textFill>
              </w:rPr>
              <w:t>企业投产前应按照《</w:t>
            </w:r>
            <w:r>
              <w:rPr>
                <w:rFonts w:hint="eastAsia"/>
                <w:color w:val="000000" w:themeColor="text1"/>
                <w:kern w:val="0"/>
                <w:szCs w:val="21"/>
                <w:highlight w:val="none"/>
                <w:lang w:eastAsia="zh-CN"/>
                <w14:textFill>
                  <w14:solidFill>
                    <w14:schemeClr w14:val="tx1"/>
                  </w14:solidFill>
                </w14:textFill>
              </w:rPr>
              <w:t>排污许可证申请与核发技术规范总则</w:t>
            </w:r>
            <w:r>
              <w:rPr>
                <w:color w:val="000000" w:themeColor="text1"/>
                <w:kern w:val="0"/>
                <w:szCs w:val="21"/>
                <w:highlight w:val="none"/>
                <w14:textFill>
                  <w14:solidFill>
                    <w14:schemeClr w14:val="tx1"/>
                  </w14:solidFill>
                </w14:textFill>
              </w:rPr>
              <w:t>》（HJ942-2018）等有关要求，在国家排污许可证管理信息平台上填报并提交排污许可证申请，同时向有核发权</w:t>
            </w:r>
            <w:r>
              <w:rPr>
                <w:rFonts w:hint="eastAsia"/>
                <w:color w:val="000000" w:themeColor="text1"/>
                <w:kern w:val="0"/>
                <w:szCs w:val="21"/>
                <w:highlight w:val="none"/>
                <w14:textFill>
                  <w14:solidFill>
                    <w14:schemeClr w14:val="tx1"/>
                  </w14:solidFill>
                </w14:textFill>
              </w:rPr>
              <w:t>限的环境保护主管部门提交通过平台印制的书面申请材料，及时申领排污许可证。</w:t>
            </w:r>
          </w:p>
          <w:p w14:paraId="40CA0B1D">
            <w:pPr>
              <w:pStyle w:val="44"/>
              <w:pageBreakBefore w:val="0"/>
              <w:kinsoku/>
              <w:overflowPunct/>
              <w:topLinePunct w:val="0"/>
              <w:bidi w:val="0"/>
              <w:spacing w:line="240" w:lineRule="auto"/>
              <w:ind w:left="0" w:firstLine="0" w:firstLineChars="0"/>
              <w:textAlignment w:val="auto"/>
              <w:rPr>
                <w:rFonts w:hint="eastAsia"/>
                <w:color w:val="000000" w:themeColor="text1"/>
                <w:kern w:val="0"/>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w:instrText>
            </w:r>
            <w:r>
              <w:rPr>
                <w:rFonts w:hint="eastAsia"/>
                <w:color w:val="000000" w:themeColor="text1"/>
                <w:sz w:val="21"/>
                <w:szCs w:val="21"/>
                <w:highlight w:val="none"/>
                <w14:textFill>
                  <w14:solidFill>
                    <w14:schemeClr w14:val="tx1"/>
                  </w14:solidFill>
                </w14:textFill>
              </w:rPr>
              <w:instrText xml:space="preserve">= 5 \* GB3</w:instrText>
            </w:r>
            <w:r>
              <w:rPr>
                <w:color w:val="000000" w:themeColor="text1"/>
                <w:sz w:val="21"/>
                <w:szCs w:val="21"/>
                <w:highlight w:val="none"/>
                <w14:textFill>
                  <w14:solidFill>
                    <w14:schemeClr w14:val="tx1"/>
                  </w14:solidFill>
                </w14:textFill>
              </w:rPr>
              <w:instrText xml:space="preserve"> </w:instrText>
            </w:r>
            <w:r>
              <w:rPr>
                <w:color w:val="000000" w:themeColor="text1"/>
                <w:sz w:val="21"/>
                <w:szCs w:val="21"/>
                <w:highlight w:val="none"/>
                <w14:textFill>
                  <w14:solidFill>
                    <w14:schemeClr w14:val="tx1"/>
                  </w14:solidFill>
                </w14:textFill>
              </w:rPr>
              <w:fldChar w:fldCharType="separate"/>
            </w:r>
            <w:r>
              <w:rPr>
                <w:rFonts w:hint="eastAsia"/>
                <w:color w:val="000000" w:themeColor="text1"/>
                <w:sz w:val="21"/>
                <w:szCs w:val="21"/>
                <w:highlight w:val="none"/>
                <w14:textFill>
                  <w14:solidFill>
                    <w14:schemeClr w14:val="tx1"/>
                  </w14:solidFill>
                </w14:textFill>
              </w:rPr>
              <w:t>⑤</w:t>
            </w:r>
            <w:r>
              <w:rPr>
                <w:color w:val="000000" w:themeColor="text1"/>
                <w:sz w:val="21"/>
                <w:szCs w:val="21"/>
                <w:highlight w:val="none"/>
                <w14:textFill>
                  <w14:solidFill>
                    <w14:schemeClr w14:val="tx1"/>
                  </w14:solidFill>
                </w14:textFill>
              </w:rPr>
              <w:fldChar w:fldCharType="end"/>
            </w:r>
            <w:r>
              <w:rPr>
                <w:rFonts w:hint="eastAsia"/>
                <w:color w:val="000000" w:themeColor="text1"/>
                <w:kern w:val="0"/>
                <w:sz w:val="21"/>
                <w:szCs w:val="21"/>
                <w:highlight w:val="none"/>
                <w14:textFill>
                  <w14:solidFill>
                    <w14:schemeClr w14:val="tx1"/>
                  </w14:solidFill>
                </w14:textFill>
              </w:rPr>
              <w:t>根据《建设项目竣工环境保护验收暂行办法》的规定，建设项目竣工后，建设单位应当如实查验、监测、记载建设项目环境保护设施的建设和调试情况，编制验收监测报告表。</w:t>
            </w:r>
          </w:p>
          <w:p w14:paraId="0B93BBC4">
            <w:pPr>
              <w:pStyle w:val="44"/>
              <w:pageBreakBefore w:val="0"/>
              <w:kinsoku/>
              <w:overflowPunct/>
              <w:topLinePunct w:val="0"/>
              <w:bidi w:val="0"/>
              <w:spacing w:line="240" w:lineRule="auto"/>
              <w:ind w:left="0" w:firstLine="0" w:firstLineChars="0"/>
              <w:textAlignment w:val="auto"/>
              <w:rPr>
                <w:rFonts w:hint="eastAsia"/>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⑥环保投资估算：</w:t>
            </w:r>
          </w:p>
          <w:p w14:paraId="33BEE586">
            <w:pPr>
              <w:pStyle w:val="6"/>
              <w:pageBreakBefore w:val="0"/>
              <w:numPr>
                <w:ilvl w:val="4"/>
                <w:numId w:val="0"/>
              </w:numPr>
              <w:kinsoku/>
              <w:overflowPunct/>
              <w:topLinePunct w:val="0"/>
              <w:bidi w:val="0"/>
              <w:spacing w:before="0" w:after="0" w:line="240" w:lineRule="auto"/>
              <w:ind w:left="0" w:firstLine="0" w:firstLineChars="0"/>
              <w:jc w:val="center"/>
              <w:textAlignment w:val="auto"/>
              <w:rPr>
                <w:rFonts w:hint="default" w:ascii="Times New Roman" w:hAnsi="Times New Roman" w:eastAsia="宋体" w:cs="Times New Roman"/>
                <w:b/>
                <w:bCs/>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 xml:space="preserve">表5.1-1 </w:t>
            </w: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 xml:space="preserve"> 项目环保投资估算表</w:t>
            </w:r>
          </w:p>
          <w:tbl>
            <w:tblPr>
              <w:tblStyle w:val="3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2"/>
              <w:gridCol w:w="2163"/>
              <w:gridCol w:w="2703"/>
              <w:gridCol w:w="1974"/>
            </w:tblGrid>
            <w:tr w14:paraId="467B1C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7" w:type="pct"/>
                  <w:tcBorders>
                    <w:tl2br w:val="nil"/>
                    <w:tr2bl w:val="nil"/>
                  </w:tcBorders>
                  <w:vAlign w:val="center"/>
                </w:tcPr>
                <w:p w14:paraId="12E8F5EA">
                  <w:pPr>
                    <w:pageBreakBefore w:val="0"/>
                    <w:kinsoku/>
                    <w:overflowPunct/>
                    <w:topLinePunct w:val="0"/>
                    <w:bidi w:val="0"/>
                    <w:spacing w:line="240" w:lineRule="auto"/>
                    <w:ind w:left="0" w:firstLine="0" w:firstLineChars="0"/>
                    <w:jc w:val="center"/>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类型</w:t>
                  </w:r>
                </w:p>
              </w:tc>
              <w:tc>
                <w:tcPr>
                  <w:tcW w:w="1370" w:type="pct"/>
                  <w:tcBorders>
                    <w:tl2br w:val="nil"/>
                    <w:tr2bl w:val="nil"/>
                  </w:tcBorders>
                  <w:vAlign w:val="center"/>
                </w:tcPr>
                <w:p w14:paraId="78181302">
                  <w:pPr>
                    <w:pageBreakBefore w:val="0"/>
                    <w:kinsoku/>
                    <w:overflowPunct/>
                    <w:topLinePunct w:val="0"/>
                    <w:bidi w:val="0"/>
                    <w:spacing w:line="240" w:lineRule="auto"/>
                    <w:ind w:left="0" w:firstLine="0" w:firstLineChars="0"/>
                    <w:jc w:val="center"/>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处理对象</w:t>
                  </w:r>
                </w:p>
              </w:tc>
              <w:tc>
                <w:tcPr>
                  <w:tcW w:w="1711" w:type="pct"/>
                  <w:tcBorders>
                    <w:tl2br w:val="nil"/>
                    <w:tr2bl w:val="nil"/>
                  </w:tcBorders>
                  <w:vAlign w:val="center"/>
                </w:tcPr>
                <w:p w14:paraId="45E83326">
                  <w:pPr>
                    <w:pageBreakBefore w:val="0"/>
                    <w:kinsoku/>
                    <w:overflowPunct/>
                    <w:topLinePunct w:val="0"/>
                    <w:bidi w:val="0"/>
                    <w:spacing w:line="240" w:lineRule="auto"/>
                    <w:ind w:left="0" w:firstLine="0" w:firstLineChars="0"/>
                    <w:jc w:val="center"/>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处理措施/设备</w:t>
                  </w:r>
                </w:p>
              </w:tc>
              <w:tc>
                <w:tcPr>
                  <w:tcW w:w="1250" w:type="pct"/>
                  <w:tcBorders>
                    <w:tl2br w:val="nil"/>
                    <w:tr2bl w:val="nil"/>
                  </w:tcBorders>
                  <w:vAlign w:val="center"/>
                </w:tcPr>
                <w:p w14:paraId="05AFBC5D">
                  <w:pPr>
                    <w:pageBreakBefore w:val="0"/>
                    <w:kinsoku/>
                    <w:overflowPunct/>
                    <w:topLinePunct w:val="0"/>
                    <w:bidi w:val="0"/>
                    <w:spacing w:line="240" w:lineRule="auto"/>
                    <w:ind w:left="0" w:firstLine="0" w:firstLineChars="0"/>
                    <w:jc w:val="center"/>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投资（万元）</w:t>
                  </w:r>
                </w:p>
              </w:tc>
            </w:tr>
            <w:tr w14:paraId="1D56E9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7" w:type="pct"/>
                  <w:tcBorders>
                    <w:tl2br w:val="nil"/>
                    <w:tr2bl w:val="nil"/>
                  </w:tcBorders>
                  <w:vAlign w:val="center"/>
                </w:tcPr>
                <w:p w14:paraId="7027078D">
                  <w:pPr>
                    <w:pageBreakBefore w:val="0"/>
                    <w:kinsoku/>
                    <w:overflowPunct/>
                    <w:topLinePunct w:val="0"/>
                    <w:bidi w:val="0"/>
                    <w:spacing w:line="240" w:lineRule="auto"/>
                    <w:ind w:left="0" w:firstLine="0" w:firstLineChars="0"/>
                    <w:jc w:val="center"/>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废气</w:t>
                  </w:r>
                </w:p>
              </w:tc>
              <w:tc>
                <w:tcPr>
                  <w:tcW w:w="1370" w:type="pct"/>
                  <w:tcBorders>
                    <w:tl2br w:val="nil"/>
                    <w:tr2bl w:val="nil"/>
                  </w:tcBorders>
                  <w:vAlign w:val="center"/>
                </w:tcPr>
                <w:p w14:paraId="6F14FB28">
                  <w:pPr>
                    <w:pageBreakBefore w:val="0"/>
                    <w:kinsoku/>
                    <w:overflowPunct/>
                    <w:topLinePunct w:val="0"/>
                    <w:bidi w:val="0"/>
                    <w:spacing w:line="240" w:lineRule="auto"/>
                    <w:ind w:left="0" w:firstLine="0" w:firstLineChars="0"/>
                    <w:jc w:val="center"/>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b w:val="0"/>
                      <w:bCs w:val="0"/>
                      <w:iCs/>
                      <w:color w:val="000000" w:themeColor="text1"/>
                      <w:sz w:val="21"/>
                      <w:szCs w:val="21"/>
                      <w:highlight w:val="none"/>
                      <w:lang w:val="en-US" w:eastAsia="zh-CN"/>
                      <w14:textFill>
                        <w14:solidFill>
                          <w14:schemeClr w14:val="tx1"/>
                        </w14:solidFill>
                      </w14:textFill>
                    </w:rPr>
                    <w:t>燃生物质锅炉</w:t>
                  </w: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废气</w:t>
                  </w:r>
                </w:p>
              </w:tc>
              <w:tc>
                <w:tcPr>
                  <w:tcW w:w="1711" w:type="pct"/>
                  <w:tcBorders>
                    <w:tl2br w:val="nil"/>
                    <w:tr2bl w:val="nil"/>
                  </w:tcBorders>
                  <w:vAlign w:val="center"/>
                </w:tcPr>
                <w:p w14:paraId="7ED040A0">
                  <w:pPr>
                    <w:pageBreakBefore w:val="0"/>
                    <w:kinsoku/>
                    <w:overflowPunct/>
                    <w:topLinePunct w:val="0"/>
                    <w:bidi w:val="0"/>
                    <w:spacing w:line="240" w:lineRule="auto"/>
                    <w:ind w:left="0" w:firstLine="0" w:firstLineChars="0"/>
                    <w:jc w:val="both"/>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t>低氮燃烧+多管除尘器+布袋除尘器+1根40m高排气筒</w:t>
                  </w:r>
                </w:p>
              </w:tc>
              <w:tc>
                <w:tcPr>
                  <w:tcW w:w="1250" w:type="pct"/>
                  <w:tcBorders>
                    <w:tl2br w:val="nil"/>
                    <w:tr2bl w:val="nil"/>
                  </w:tcBorders>
                  <w:vAlign w:val="center"/>
                </w:tcPr>
                <w:p w14:paraId="3D9DE18A">
                  <w:pPr>
                    <w:pageBreakBefore w:val="0"/>
                    <w:kinsoku/>
                    <w:overflowPunct/>
                    <w:topLinePunct w:val="0"/>
                    <w:bidi w:val="0"/>
                    <w:spacing w:line="240" w:lineRule="auto"/>
                    <w:ind w:left="0" w:firstLine="0" w:firstLineChars="0"/>
                    <w:jc w:val="center"/>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b w:val="0"/>
                      <w:bCs w:val="0"/>
                      <w:iCs/>
                      <w:color w:val="000000" w:themeColor="text1"/>
                      <w:sz w:val="21"/>
                      <w:szCs w:val="21"/>
                      <w:highlight w:val="none"/>
                      <w:lang w:val="en-US" w:eastAsia="zh-CN"/>
                      <w14:textFill>
                        <w14:solidFill>
                          <w14:schemeClr w14:val="tx1"/>
                        </w14:solidFill>
                      </w14:textFill>
                    </w:rPr>
                    <w:t>45</w:t>
                  </w:r>
                </w:p>
              </w:tc>
            </w:tr>
            <w:tr w14:paraId="448C3C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7" w:type="pct"/>
                  <w:tcBorders>
                    <w:tl2br w:val="nil"/>
                    <w:tr2bl w:val="nil"/>
                  </w:tcBorders>
                  <w:vAlign w:val="center"/>
                </w:tcPr>
                <w:p w14:paraId="584F2292">
                  <w:pPr>
                    <w:pageBreakBefore w:val="0"/>
                    <w:kinsoku/>
                    <w:overflowPunct/>
                    <w:topLinePunct w:val="0"/>
                    <w:bidi w:val="0"/>
                    <w:spacing w:line="240" w:lineRule="auto"/>
                    <w:ind w:left="0" w:firstLine="0" w:firstLineChars="0"/>
                    <w:jc w:val="center"/>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废水</w:t>
                  </w:r>
                </w:p>
              </w:tc>
              <w:tc>
                <w:tcPr>
                  <w:tcW w:w="1370" w:type="pct"/>
                  <w:tcBorders>
                    <w:tl2br w:val="nil"/>
                    <w:tr2bl w:val="nil"/>
                  </w:tcBorders>
                  <w:shd w:val="clear" w:color="auto" w:fill="auto"/>
                  <w:vAlign w:val="center"/>
                </w:tcPr>
                <w:p w14:paraId="3D0AC0E7">
                  <w:pPr>
                    <w:pageBreakBefore w:val="0"/>
                    <w:kinsoku/>
                    <w:overflowPunct/>
                    <w:topLinePunct w:val="0"/>
                    <w:bidi w:val="0"/>
                    <w:spacing w:line="240" w:lineRule="auto"/>
                    <w:ind w:left="0" w:firstLine="0" w:firstLineChars="0"/>
                    <w:jc w:val="center"/>
                    <w:textAlignment w:val="auto"/>
                    <w:rPr>
                      <w:rFonts w:hint="default" w:ascii="Times New Roman" w:hAnsi="Times New Roman" w:eastAsia="宋体" w:cs="Times New Roman"/>
                      <w:b w:val="0"/>
                      <w:bCs w:val="0"/>
                      <w:iCs/>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iCs/>
                      <w:color w:val="000000" w:themeColor="text1"/>
                      <w:kern w:val="2"/>
                      <w:sz w:val="21"/>
                      <w:szCs w:val="21"/>
                      <w:highlight w:val="none"/>
                      <w:lang w:val="en-US" w:eastAsia="zh-CN" w:bidi="ar-SA"/>
                      <w14:textFill>
                        <w14:solidFill>
                          <w14:schemeClr w14:val="tx1"/>
                        </w14:solidFill>
                      </w14:textFill>
                    </w:rPr>
                    <w:t>生产污水、生活污水</w:t>
                  </w:r>
                </w:p>
              </w:tc>
              <w:tc>
                <w:tcPr>
                  <w:tcW w:w="1711" w:type="pct"/>
                  <w:tcBorders>
                    <w:tl2br w:val="nil"/>
                    <w:tr2bl w:val="nil"/>
                  </w:tcBorders>
                  <w:shd w:val="clear" w:color="auto" w:fill="auto"/>
                  <w:vAlign w:val="center"/>
                </w:tcPr>
                <w:p w14:paraId="1D583488">
                  <w:pPr>
                    <w:pageBreakBefore w:val="0"/>
                    <w:kinsoku/>
                    <w:overflowPunct/>
                    <w:topLinePunct w:val="0"/>
                    <w:bidi w:val="0"/>
                    <w:spacing w:line="240" w:lineRule="auto"/>
                    <w:ind w:left="0" w:firstLine="0" w:firstLineChars="0"/>
                    <w:jc w:val="center"/>
                    <w:textAlignment w:val="auto"/>
                    <w:rPr>
                      <w:rFonts w:hint="default" w:ascii="Times New Roman" w:hAnsi="Times New Roman" w:eastAsia="宋体" w:cs="Times New Roman"/>
                      <w:b w:val="0"/>
                      <w:bCs w:val="0"/>
                      <w:iCs/>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iCs/>
                      <w:color w:val="000000" w:themeColor="text1"/>
                      <w:kern w:val="2"/>
                      <w:sz w:val="21"/>
                      <w:szCs w:val="21"/>
                      <w:highlight w:val="none"/>
                      <w:lang w:val="en-US" w:eastAsia="zh-CN" w:bidi="ar-SA"/>
                      <w14:textFill>
                        <w14:solidFill>
                          <w14:schemeClr w14:val="tx1"/>
                        </w14:solidFill>
                      </w14:textFill>
                    </w:rPr>
                    <w:t>依托现有工程</w:t>
                  </w:r>
                </w:p>
              </w:tc>
              <w:tc>
                <w:tcPr>
                  <w:tcW w:w="1250" w:type="pct"/>
                  <w:tcBorders>
                    <w:tl2br w:val="nil"/>
                    <w:tr2bl w:val="nil"/>
                  </w:tcBorders>
                  <w:shd w:val="clear" w:color="auto" w:fill="auto"/>
                  <w:vAlign w:val="center"/>
                </w:tcPr>
                <w:p w14:paraId="0916B672">
                  <w:pPr>
                    <w:pageBreakBefore w:val="0"/>
                    <w:kinsoku/>
                    <w:overflowPunct/>
                    <w:topLinePunct w:val="0"/>
                    <w:bidi w:val="0"/>
                    <w:spacing w:line="240" w:lineRule="auto"/>
                    <w:ind w:left="0" w:firstLine="0" w:firstLineChars="0"/>
                    <w:jc w:val="center"/>
                    <w:textAlignment w:val="auto"/>
                    <w:rPr>
                      <w:rFonts w:hint="default" w:ascii="Times New Roman" w:hAnsi="Times New Roman" w:eastAsia="宋体" w:cs="Times New Roman"/>
                      <w:b w:val="0"/>
                      <w:bCs w:val="0"/>
                      <w:iCs/>
                      <w:color w:val="000000" w:themeColor="text1"/>
                      <w:kern w:val="2"/>
                      <w:sz w:val="21"/>
                      <w:szCs w:val="21"/>
                      <w:highlight w:val="none"/>
                      <w:lang w:val="en-US" w:eastAsia="zh-CN" w:bidi="ar-SA"/>
                      <w14:textFill>
                        <w14:solidFill>
                          <w14:schemeClr w14:val="tx1"/>
                        </w14:solidFill>
                      </w14:textFill>
                    </w:rPr>
                  </w:pPr>
                  <w:r>
                    <w:rPr>
                      <w:rFonts w:hint="eastAsia"/>
                      <w:b w:val="0"/>
                      <w:bCs w:val="0"/>
                      <w:iCs/>
                      <w:color w:val="000000" w:themeColor="text1"/>
                      <w:sz w:val="21"/>
                      <w:szCs w:val="21"/>
                      <w:highlight w:val="none"/>
                      <w:lang w:val="en-US" w:eastAsia="zh-CN"/>
                      <w14:textFill>
                        <w14:solidFill>
                          <w14:schemeClr w14:val="tx1"/>
                        </w14:solidFill>
                      </w14:textFill>
                    </w:rPr>
                    <w:t>0</w:t>
                  </w:r>
                </w:p>
              </w:tc>
            </w:tr>
            <w:tr w14:paraId="7DFC4D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7" w:type="pct"/>
                  <w:tcBorders>
                    <w:tl2br w:val="nil"/>
                    <w:tr2bl w:val="nil"/>
                  </w:tcBorders>
                  <w:vAlign w:val="center"/>
                </w:tcPr>
                <w:p w14:paraId="701D65CE">
                  <w:pPr>
                    <w:pageBreakBefore w:val="0"/>
                    <w:kinsoku/>
                    <w:overflowPunct/>
                    <w:topLinePunct w:val="0"/>
                    <w:bidi w:val="0"/>
                    <w:spacing w:line="240" w:lineRule="auto"/>
                    <w:ind w:left="0" w:firstLine="0" w:firstLineChars="0"/>
                    <w:jc w:val="center"/>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噪声</w:t>
                  </w:r>
                </w:p>
              </w:tc>
              <w:tc>
                <w:tcPr>
                  <w:tcW w:w="1370" w:type="pct"/>
                  <w:tcBorders>
                    <w:tl2br w:val="nil"/>
                    <w:tr2bl w:val="nil"/>
                  </w:tcBorders>
                  <w:vAlign w:val="center"/>
                </w:tcPr>
                <w:p w14:paraId="3CCC01BB">
                  <w:pPr>
                    <w:pageBreakBefore w:val="0"/>
                    <w:kinsoku/>
                    <w:overflowPunct/>
                    <w:topLinePunct w:val="0"/>
                    <w:bidi w:val="0"/>
                    <w:spacing w:line="240" w:lineRule="auto"/>
                    <w:ind w:left="0" w:firstLine="0" w:firstLineChars="0"/>
                    <w:jc w:val="center"/>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设备</w:t>
                  </w:r>
                </w:p>
              </w:tc>
              <w:tc>
                <w:tcPr>
                  <w:tcW w:w="1711" w:type="pct"/>
                  <w:tcBorders>
                    <w:tl2br w:val="nil"/>
                    <w:tr2bl w:val="nil"/>
                  </w:tcBorders>
                  <w:vAlign w:val="center"/>
                </w:tcPr>
                <w:p w14:paraId="63C984F4">
                  <w:pPr>
                    <w:pageBreakBefore w:val="0"/>
                    <w:kinsoku/>
                    <w:overflowPunct/>
                    <w:topLinePunct w:val="0"/>
                    <w:bidi w:val="0"/>
                    <w:spacing w:line="240" w:lineRule="auto"/>
                    <w:ind w:left="0" w:firstLine="0" w:firstLineChars="0"/>
                    <w:jc w:val="center"/>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降噪减震</w:t>
                  </w:r>
                </w:p>
              </w:tc>
              <w:tc>
                <w:tcPr>
                  <w:tcW w:w="1250" w:type="pct"/>
                  <w:tcBorders>
                    <w:tl2br w:val="nil"/>
                    <w:tr2bl w:val="nil"/>
                  </w:tcBorders>
                  <w:vAlign w:val="center"/>
                </w:tcPr>
                <w:p w14:paraId="583EFA12">
                  <w:pPr>
                    <w:pageBreakBefore w:val="0"/>
                    <w:kinsoku/>
                    <w:overflowPunct/>
                    <w:topLinePunct w:val="0"/>
                    <w:bidi w:val="0"/>
                    <w:spacing w:line="240" w:lineRule="auto"/>
                    <w:ind w:left="0" w:firstLine="0" w:firstLineChars="0"/>
                    <w:jc w:val="center"/>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b w:val="0"/>
                      <w:bCs w:val="0"/>
                      <w:iCs/>
                      <w:color w:val="000000" w:themeColor="text1"/>
                      <w:sz w:val="21"/>
                      <w:szCs w:val="21"/>
                      <w:highlight w:val="none"/>
                      <w:lang w:val="en-US" w:eastAsia="zh-CN"/>
                      <w14:textFill>
                        <w14:solidFill>
                          <w14:schemeClr w14:val="tx1"/>
                        </w14:solidFill>
                      </w14:textFill>
                    </w:rPr>
                    <w:t>1</w:t>
                  </w:r>
                </w:p>
              </w:tc>
            </w:tr>
            <w:tr w14:paraId="694DB0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7" w:type="pct"/>
                  <w:tcBorders>
                    <w:tl2br w:val="nil"/>
                    <w:tr2bl w:val="nil"/>
                  </w:tcBorders>
                  <w:vAlign w:val="center"/>
                </w:tcPr>
                <w:p w14:paraId="22271CCE">
                  <w:pPr>
                    <w:pageBreakBefore w:val="0"/>
                    <w:kinsoku/>
                    <w:overflowPunct/>
                    <w:topLinePunct w:val="0"/>
                    <w:bidi w:val="0"/>
                    <w:spacing w:line="240" w:lineRule="auto"/>
                    <w:ind w:left="0" w:firstLine="0" w:firstLineChars="0"/>
                    <w:jc w:val="center"/>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固废</w:t>
                  </w:r>
                </w:p>
              </w:tc>
              <w:tc>
                <w:tcPr>
                  <w:tcW w:w="1370" w:type="pct"/>
                  <w:tcBorders>
                    <w:tl2br w:val="nil"/>
                    <w:tr2bl w:val="nil"/>
                  </w:tcBorders>
                  <w:vAlign w:val="center"/>
                </w:tcPr>
                <w:p w14:paraId="7F2E084B">
                  <w:pPr>
                    <w:pageBreakBefore w:val="0"/>
                    <w:kinsoku/>
                    <w:overflowPunct/>
                    <w:topLinePunct w:val="0"/>
                    <w:bidi w:val="0"/>
                    <w:spacing w:line="240" w:lineRule="auto"/>
                    <w:ind w:left="0" w:firstLine="0" w:firstLineChars="0"/>
                    <w:jc w:val="center"/>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一般固废</w:t>
                  </w:r>
                </w:p>
              </w:tc>
              <w:tc>
                <w:tcPr>
                  <w:tcW w:w="1711" w:type="pct"/>
                  <w:tcBorders>
                    <w:tl2br w:val="nil"/>
                    <w:tr2bl w:val="nil"/>
                  </w:tcBorders>
                  <w:vAlign w:val="center"/>
                </w:tcPr>
                <w:p w14:paraId="5FAE6940">
                  <w:pPr>
                    <w:pageBreakBefore w:val="0"/>
                    <w:kinsoku/>
                    <w:overflowPunct/>
                    <w:topLinePunct w:val="0"/>
                    <w:bidi w:val="0"/>
                    <w:spacing w:line="240" w:lineRule="auto"/>
                    <w:ind w:left="0" w:firstLine="0" w:firstLineChars="0"/>
                    <w:jc w:val="center"/>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一般固废间</w:t>
                  </w:r>
                </w:p>
              </w:tc>
              <w:tc>
                <w:tcPr>
                  <w:tcW w:w="1250" w:type="pct"/>
                  <w:tcBorders>
                    <w:tl2br w:val="nil"/>
                    <w:tr2bl w:val="nil"/>
                  </w:tcBorders>
                  <w:vAlign w:val="center"/>
                </w:tcPr>
                <w:p w14:paraId="553D7D52">
                  <w:pPr>
                    <w:pageBreakBefore w:val="0"/>
                    <w:kinsoku/>
                    <w:overflowPunct/>
                    <w:topLinePunct w:val="0"/>
                    <w:bidi w:val="0"/>
                    <w:spacing w:line="240" w:lineRule="auto"/>
                    <w:ind w:left="0" w:firstLine="0" w:firstLineChars="0"/>
                    <w:jc w:val="center"/>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b w:val="0"/>
                      <w:bCs w:val="0"/>
                      <w:iCs/>
                      <w:color w:val="000000" w:themeColor="text1"/>
                      <w:sz w:val="21"/>
                      <w:szCs w:val="21"/>
                      <w:highlight w:val="none"/>
                      <w:lang w:val="en-US" w:eastAsia="zh-CN"/>
                      <w14:textFill>
                        <w14:solidFill>
                          <w14:schemeClr w14:val="tx1"/>
                        </w14:solidFill>
                      </w14:textFill>
                    </w:rPr>
                    <w:t>1</w:t>
                  </w:r>
                </w:p>
              </w:tc>
            </w:tr>
            <w:tr w14:paraId="2DC9F7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7" w:type="pct"/>
                  <w:tcBorders>
                    <w:tl2br w:val="nil"/>
                    <w:tr2bl w:val="nil"/>
                  </w:tcBorders>
                  <w:vAlign w:val="center"/>
                </w:tcPr>
                <w:p w14:paraId="36F57212">
                  <w:pPr>
                    <w:pageBreakBefore w:val="0"/>
                    <w:kinsoku/>
                    <w:overflowPunct/>
                    <w:topLinePunct w:val="0"/>
                    <w:bidi w:val="0"/>
                    <w:spacing w:line="240" w:lineRule="auto"/>
                    <w:ind w:left="0" w:firstLine="0" w:firstLineChars="0"/>
                    <w:jc w:val="center"/>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自行监测</w:t>
                  </w:r>
                </w:p>
              </w:tc>
              <w:tc>
                <w:tcPr>
                  <w:tcW w:w="1370" w:type="pct"/>
                  <w:tcBorders>
                    <w:tl2br w:val="nil"/>
                    <w:tr2bl w:val="nil"/>
                  </w:tcBorders>
                  <w:vAlign w:val="center"/>
                </w:tcPr>
                <w:p w14:paraId="45B66F47">
                  <w:pPr>
                    <w:pageBreakBefore w:val="0"/>
                    <w:kinsoku/>
                    <w:overflowPunct/>
                    <w:topLinePunct w:val="0"/>
                    <w:bidi w:val="0"/>
                    <w:spacing w:line="240" w:lineRule="auto"/>
                    <w:ind w:left="0" w:firstLine="0" w:firstLineChars="0"/>
                    <w:jc w:val="center"/>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废气、废水、噪声</w:t>
                  </w:r>
                </w:p>
              </w:tc>
              <w:tc>
                <w:tcPr>
                  <w:tcW w:w="1711" w:type="pct"/>
                  <w:tcBorders>
                    <w:tl2br w:val="nil"/>
                    <w:tr2bl w:val="nil"/>
                  </w:tcBorders>
                  <w:vAlign w:val="center"/>
                </w:tcPr>
                <w:p w14:paraId="1D216788">
                  <w:pPr>
                    <w:pageBreakBefore w:val="0"/>
                    <w:kinsoku/>
                    <w:overflowPunct/>
                    <w:topLinePunct w:val="0"/>
                    <w:bidi w:val="0"/>
                    <w:spacing w:line="240" w:lineRule="auto"/>
                    <w:ind w:left="0" w:firstLine="0" w:firstLineChars="0"/>
                    <w:jc w:val="center"/>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自行监测</w:t>
                  </w:r>
                </w:p>
              </w:tc>
              <w:tc>
                <w:tcPr>
                  <w:tcW w:w="1250" w:type="pct"/>
                  <w:tcBorders>
                    <w:tl2br w:val="nil"/>
                    <w:tr2bl w:val="nil"/>
                  </w:tcBorders>
                  <w:vAlign w:val="center"/>
                </w:tcPr>
                <w:p w14:paraId="0F8A8DB4">
                  <w:pPr>
                    <w:pageBreakBefore w:val="0"/>
                    <w:kinsoku/>
                    <w:overflowPunct/>
                    <w:topLinePunct w:val="0"/>
                    <w:bidi w:val="0"/>
                    <w:spacing w:line="240" w:lineRule="auto"/>
                    <w:ind w:left="0" w:firstLine="0" w:firstLineChars="0"/>
                    <w:jc w:val="center"/>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b w:val="0"/>
                      <w:bCs w:val="0"/>
                      <w:iCs/>
                      <w:color w:val="000000" w:themeColor="text1"/>
                      <w:sz w:val="21"/>
                      <w:szCs w:val="21"/>
                      <w:highlight w:val="none"/>
                      <w:lang w:val="en-US" w:eastAsia="zh-CN"/>
                      <w14:textFill>
                        <w14:solidFill>
                          <w14:schemeClr w14:val="tx1"/>
                        </w14:solidFill>
                      </w14:textFill>
                    </w:rPr>
                    <w:t>3</w:t>
                  </w:r>
                </w:p>
              </w:tc>
            </w:tr>
            <w:tr w14:paraId="2FF976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49" w:type="pct"/>
                  <w:gridSpan w:val="3"/>
                  <w:tcBorders>
                    <w:tl2br w:val="nil"/>
                    <w:tr2bl w:val="nil"/>
                  </w:tcBorders>
                  <w:vAlign w:val="center"/>
                </w:tcPr>
                <w:p w14:paraId="270A65E8">
                  <w:pPr>
                    <w:pageBreakBefore w:val="0"/>
                    <w:kinsoku/>
                    <w:overflowPunct/>
                    <w:topLinePunct w:val="0"/>
                    <w:bidi w:val="0"/>
                    <w:spacing w:line="240" w:lineRule="auto"/>
                    <w:ind w:left="0" w:firstLine="0" w:firstLineChars="0"/>
                    <w:jc w:val="center"/>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合计</w:t>
                  </w:r>
                </w:p>
              </w:tc>
              <w:tc>
                <w:tcPr>
                  <w:tcW w:w="1250" w:type="pct"/>
                  <w:tcBorders>
                    <w:tl2br w:val="nil"/>
                    <w:tr2bl w:val="nil"/>
                  </w:tcBorders>
                  <w:vAlign w:val="center"/>
                </w:tcPr>
                <w:p w14:paraId="19D4D1DE">
                  <w:pPr>
                    <w:pageBreakBefore w:val="0"/>
                    <w:kinsoku/>
                    <w:overflowPunct/>
                    <w:topLinePunct w:val="0"/>
                    <w:bidi w:val="0"/>
                    <w:spacing w:line="240" w:lineRule="auto"/>
                    <w:ind w:left="0" w:firstLine="0" w:firstLineChars="0"/>
                    <w:jc w:val="center"/>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b w:val="0"/>
                      <w:bCs w:val="0"/>
                      <w:iCs/>
                      <w:color w:val="000000" w:themeColor="text1"/>
                      <w:sz w:val="21"/>
                      <w:szCs w:val="21"/>
                      <w:highlight w:val="none"/>
                      <w:lang w:val="en-US" w:eastAsia="zh-CN"/>
                      <w14:textFill>
                        <w14:solidFill>
                          <w14:schemeClr w14:val="tx1"/>
                        </w14:solidFill>
                      </w14:textFill>
                    </w:rPr>
                    <w:t>50</w:t>
                  </w:r>
                </w:p>
              </w:tc>
            </w:tr>
          </w:tbl>
          <w:p w14:paraId="15765C7E">
            <w:pPr>
              <w:pStyle w:val="44"/>
              <w:pageBreakBefore w:val="0"/>
              <w:kinsoku/>
              <w:overflowPunct/>
              <w:topLinePunct w:val="0"/>
              <w:bidi w:val="0"/>
              <w:spacing w:line="240" w:lineRule="auto"/>
              <w:ind w:left="0" w:firstLine="0" w:firstLineChars="0"/>
              <w:textAlignment w:val="auto"/>
              <w:rPr>
                <w:rFonts w:hint="default"/>
                <w:color w:val="000000" w:themeColor="text1"/>
                <w:kern w:val="0"/>
                <w:sz w:val="21"/>
                <w:szCs w:val="21"/>
                <w:highlight w:val="none"/>
                <w:lang w:val="en-US" w:eastAsia="zh-CN"/>
                <w14:textFill>
                  <w14:solidFill>
                    <w14:schemeClr w14:val="tx1"/>
                  </w14:solidFill>
                </w14:textFill>
              </w:rPr>
            </w:pPr>
          </w:p>
        </w:tc>
      </w:tr>
    </w:tbl>
    <w:p w14:paraId="0A2DF0CE">
      <w:pPr>
        <w:pStyle w:val="2"/>
        <w:numPr>
          <w:ilvl w:val="0"/>
          <w:numId w:val="0"/>
        </w:numPr>
        <w:tabs>
          <w:tab w:val="left" w:pos="0"/>
        </w:tabs>
        <w:ind w:left="432" w:leftChars="0" w:hanging="432" w:firstLineChars="0"/>
        <w:outlineLvl w:val="9"/>
        <w:rPr>
          <w:snapToGrid w:val="0"/>
          <w:color w:val="000000" w:themeColor="text1"/>
          <w:highlight w:val="none"/>
          <w14:textFill>
            <w14:solidFill>
              <w14:schemeClr w14:val="tx1"/>
            </w14:solidFill>
          </w14:textFill>
        </w:rPr>
        <w:sectPr>
          <w:pgSz w:w="11905" w:h="16838"/>
          <w:pgMar w:top="1417" w:right="1417" w:bottom="1417" w:left="1417" w:header="851" w:footer="1077" w:gutter="0"/>
          <w:pgBorders>
            <w:top w:val="none" w:sz="0" w:space="0"/>
            <w:left w:val="none" w:sz="0" w:space="0"/>
            <w:bottom w:val="none" w:sz="0" w:space="0"/>
            <w:right w:val="none" w:sz="0" w:space="0"/>
          </w:pgBorders>
          <w:pgNumType w:fmt="decimal"/>
          <w:cols w:space="0" w:num="1"/>
          <w:docGrid w:linePitch="312" w:charSpace="0"/>
        </w:sectPr>
      </w:pPr>
    </w:p>
    <w:p w14:paraId="06AC8BD0">
      <w:pPr>
        <w:pStyle w:val="2"/>
        <w:numPr>
          <w:ilvl w:val="0"/>
          <w:numId w:val="1"/>
        </w:numPr>
        <w:bidi w:val="0"/>
        <w:ind w:left="432" w:leftChars="0" w:hanging="432" w:firstLineChars="0"/>
        <w:rPr>
          <w:rFonts w:hint="eastAsia" w:ascii="Times New Roman" w:hAnsi="Times New Roman" w:eastAsia="宋体"/>
          <w:color w:val="000000" w:themeColor="text1"/>
          <w:highlight w:val="none"/>
          <w14:textFill>
            <w14:solidFill>
              <w14:schemeClr w14:val="tx1"/>
            </w14:solidFill>
          </w14:textFill>
        </w:rPr>
      </w:pPr>
      <w:bookmarkStart w:id="69" w:name="_Toc21764"/>
      <w:bookmarkStart w:id="70" w:name="_Toc288"/>
      <w:bookmarkStart w:id="71" w:name="_Toc4502"/>
      <w:bookmarkStart w:id="72" w:name="_Toc14873"/>
      <w:bookmarkStart w:id="73" w:name="_Toc17753"/>
      <w:r>
        <w:rPr>
          <w:rFonts w:hint="eastAsia" w:ascii="Times New Roman" w:hAnsi="Times New Roman" w:eastAsia="宋体"/>
          <w:color w:val="000000" w:themeColor="text1"/>
          <w:highlight w:val="none"/>
          <w14:textFill>
            <w14:solidFill>
              <w14:schemeClr w14:val="tx1"/>
            </w14:solidFill>
          </w14:textFill>
        </w:rPr>
        <w:t>结论</w:t>
      </w:r>
      <w:bookmarkEnd w:id="69"/>
      <w:bookmarkEnd w:id="70"/>
      <w:bookmarkEnd w:id="71"/>
      <w:bookmarkEnd w:id="72"/>
      <w:bookmarkEnd w:id="73"/>
    </w:p>
    <w:tbl>
      <w:tblPr>
        <w:tblStyle w:val="32"/>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4329E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12FCBB37">
            <w:pPr>
              <w:pStyle w:val="3"/>
              <w:numPr>
                <w:ilvl w:val="1"/>
                <w:numId w:val="1"/>
              </w:numPr>
              <w:bidi w:val="0"/>
              <w:ind w:left="0" w:leftChars="0" w:firstLine="0" w:firstLineChars="0"/>
              <w:rPr>
                <w:rFonts w:hint="eastAsia" w:ascii="Times New Roman" w:hAnsi="Times New Roman" w:eastAsia="宋体" w:cs="Times New Roman"/>
                <w:color w:val="000000" w:themeColor="text1"/>
                <w:highlight w:val="none"/>
                <w:lang w:val="en-US" w:eastAsia="zh-CN"/>
                <w14:textFill>
                  <w14:solidFill>
                    <w14:schemeClr w14:val="tx1"/>
                  </w14:solidFill>
                </w14:textFill>
              </w:rPr>
            </w:pPr>
            <w:bookmarkStart w:id="74" w:name="_Toc4427"/>
            <w:bookmarkStart w:id="75" w:name="_Toc8175"/>
            <w:bookmarkStart w:id="76" w:name="_Toc22364"/>
            <w:bookmarkStart w:id="77" w:name="_Toc18917"/>
            <w:r>
              <w:rPr>
                <w:rFonts w:hint="default" w:ascii="Times New Roman" w:hAnsi="Times New Roman" w:eastAsia="宋体" w:cs="Times New Roman"/>
                <w:color w:val="000000" w:themeColor="text1"/>
                <w:highlight w:val="none"/>
                <w:lang w:val="en-US" w:eastAsia="zh-CN"/>
                <w14:textFill>
                  <w14:solidFill>
                    <w14:schemeClr w14:val="tx1"/>
                  </w14:solidFill>
                </w14:textFill>
              </w:rPr>
              <w:t>总结论</w:t>
            </w:r>
            <w:bookmarkEnd w:id="74"/>
            <w:bookmarkEnd w:id="75"/>
            <w:bookmarkEnd w:id="76"/>
            <w:bookmarkEnd w:id="77"/>
          </w:p>
          <w:p w14:paraId="6EAB444B">
            <w:pPr>
              <w:pStyle w:val="44"/>
              <w:keepNext w:val="0"/>
              <w:keepLines w:val="0"/>
              <w:pageBreakBefore w:val="0"/>
              <w:widowControl w:val="0"/>
              <w:kinsoku/>
              <w:wordWrap/>
              <w:overflowPunct/>
              <w:topLinePunct w:val="0"/>
              <w:autoSpaceDE w:val="0"/>
              <w:autoSpaceDN w:val="0"/>
              <w:bidi w:val="0"/>
              <w:adjustRightInd/>
              <w:snapToGrid/>
              <w:ind w:firstLine="480"/>
              <w:textAlignment w:val="auto"/>
              <w:rPr>
                <w:rFonts w:ascii="Times New Roman" w:hAnsi="Times New Roman" w:eastAsia="宋体"/>
                <w:color w:val="000000" w:themeColor="text1"/>
                <w:highlight w:val="none"/>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瑞恒建材年产新型建筑材料35万立方米项目</w:t>
            </w:r>
            <w:r>
              <w:rPr>
                <w:rFonts w:ascii="Times New Roman" w:hAnsi="Times New Roman" w:eastAsia="宋体"/>
                <w:color w:val="000000" w:themeColor="text1"/>
                <w:highlight w:val="none"/>
                <w14:textFill>
                  <w14:solidFill>
                    <w14:schemeClr w14:val="tx1"/>
                  </w14:solidFill>
                </w14:textFill>
              </w:rPr>
              <w:t>的建设符合国家有关产业政策，项目选址合理</w:t>
            </w:r>
            <w:r>
              <w:rPr>
                <w:rFonts w:ascii="Times New Roman" w:hAnsi="Times New Roman" w:eastAsia="宋体"/>
                <w:color w:val="000000" w:themeColor="text1"/>
                <w:highlight w:val="none"/>
                <w:lang w:val="zh-CN"/>
                <w14:textFill>
                  <w14:solidFill>
                    <w14:schemeClr w14:val="tx1"/>
                  </w14:solidFill>
                </w14:textFill>
              </w:rPr>
              <w:t>，</w:t>
            </w:r>
            <w:r>
              <w:rPr>
                <w:rFonts w:hint="eastAsia" w:ascii="Times New Roman" w:hAnsi="Times New Roman" w:eastAsia="宋体"/>
                <w:color w:val="000000" w:themeColor="text1"/>
                <w:highlight w:val="none"/>
                <w14:textFill>
                  <w14:solidFill>
                    <w14:schemeClr w14:val="tx1"/>
                  </w14:solidFill>
                </w14:textFill>
              </w:rPr>
              <w:t>平面布局可行。</w:t>
            </w:r>
            <w:r>
              <w:rPr>
                <w:rFonts w:ascii="Times New Roman" w:hAnsi="Times New Roman" w:eastAsia="宋体"/>
                <w:color w:val="000000" w:themeColor="text1"/>
                <w:highlight w:val="none"/>
                <w14:textFill>
                  <w14:solidFill>
                    <w14:schemeClr w14:val="tx1"/>
                  </w14:solidFill>
                </w14:textFill>
              </w:rPr>
              <w:t>项目运营后产生的污水、废气、噪声、固废通过采取相应的措施治理，能够实现污染物的达标排放。在工程建设中，严格执行“三同时”制度，项目投产后，严格</w:t>
            </w:r>
            <w:r>
              <w:rPr>
                <w:rFonts w:hint="eastAsia" w:ascii="Times New Roman" w:hAnsi="Times New Roman" w:eastAsia="宋体"/>
                <w:color w:val="000000" w:themeColor="text1"/>
                <w:highlight w:val="none"/>
                <w14:textFill>
                  <w14:solidFill>
                    <w14:schemeClr w14:val="tx1"/>
                  </w14:solidFill>
                </w14:textFill>
              </w:rPr>
              <w:t>遵守</w:t>
            </w:r>
            <w:r>
              <w:rPr>
                <w:rFonts w:ascii="Times New Roman" w:hAnsi="Times New Roman" w:eastAsia="宋体"/>
                <w:color w:val="000000" w:themeColor="text1"/>
                <w:highlight w:val="none"/>
                <w14:textFill>
                  <w14:solidFill>
                    <w14:schemeClr w14:val="tx1"/>
                  </w14:solidFill>
                </w14:textFill>
              </w:rPr>
              <w:t>国家有关法律法规</w:t>
            </w:r>
            <w:r>
              <w:rPr>
                <w:rFonts w:hint="eastAsia" w:ascii="Times New Roman" w:hAnsi="Times New Roman" w:eastAsia="宋体"/>
                <w:color w:val="000000" w:themeColor="text1"/>
                <w:highlight w:val="none"/>
                <w14:textFill>
                  <w14:solidFill>
                    <w14:schemeClr w14:val="tx1"/>
                  </w14:solidFill>
                </w14:textFill>
              </w:rPr>
              <w:t>，严格执行相关标准和</w:t>
            </w:r>
            <w:r>
              <w:rPr>
                <w:rFonts w:ascii="Times New Roman" w:hAnsi="Times New Roman" w:eastAsia="宋体"/>
                <w:color w:val="000000" w:themeColor="text1"/>
                <w:highlight w:val="none"/>
                <w14:textFill>
                  <w14:solidFill>
                    <w14:schemeClr w14:val="tx1"/>
                  </w14:solidFill>
                </w14:textFill>
              </w:rPr>
              <w:t>技术规范，</w:t>
            </w:r>
            <w:r>
              <w:rPr>
                <w:rFonts w:hint="eastAsia" w:ascii="Times New Roman" w:hAnsi="Times New Roman" w:eastAsia="宋体"/>
                <w:color w:val="000000" w:themeColor="text1"/>
                <w:highlight w:val="none"/>
                <w14:textFill>
                  <w14:solidFill>
                    <w14:schemeClr w14:val="tx1"/>
                  </w14:solidFill>
                </w14:textFill>
              </w:rPr>
              <w:t>严格</w:t>
            </w:r>
            <w:r>
              <w:rPr>
                <w:rFonts w:ascii="Times New Roman" w:hAnsi="Times New Roman" w:eastAsia="宋体"/>
                <w:color w:val="000000" w:themeColor="text1"/>
                <w:highlight w:val="none"/>
                <w14:textFill>
                  <w14:solidFill>
                    <w14:schemeClr w14:val="tx1"/>
                  </w14:solidFill>
                </w14:textFill>
              </w:rPr>
              <w:t>落实各项环境风险防范措施，确保污染物排放总量控制在经</w:t>
            </w:r>
            <w:r>
              <w:rPr>
                <w:rFonts w:hint="eastAsia" w:ascii="Times New Roman" w:hAnsi="Times New Roman" w:eastAsia="宋体"/>
                <w:color w:val="000000" w:themeColor="text1"/>
                <w:highlight w:val="none"/>
                <w:lang w:val="en-US" w:eastAsia="zh-CN"/>
                <w14:textFill>
                  <w14:solidFill>
                    <w14:schemeClr w14:val="tx1"/>
                  </w14:solidFill>
                </w14:textFill>
              </w:rPr>
              <w:t>生态环境</w:t>
            </w:r>
            <w:r>
              <w:rPr>
                <w:rFonts w:ascii="Times New Roman" w:hAnsi="Times New Roman" w:eastAsia="宋体"/>
                <w:color w:val="000000" w:themeColor="text1"/>
                <w:highlight w:val="none"/>
                <w14:textFill>
                  <w14:solidFill>
                    <w14:schemeClr w14:val="tx1"/>
                  </w14:solidFill>
                </w14:textFill>
              </w:rPr>
              <w:t>主管部门核定的范围内，污染物达标排放的前提下，对周边环境影响较小，</w:t>
            </w:r>
            <w:r>
              <w:rPr>
                <w:rFonts w:hint="eastAsia" w:ascii="Times New Roman" w:hAnsi="Times New Roman" w:eastAsia="宋体"/>
                <w:color w:val="000000" w:themeColor="text1"/>
                <w:highlight w:val="none"/>
                <w14:textFill>
                  <w14:solidFill>
                    <w14:schemeClr w14:val="tx1"/>
                  </w14:solidFill>
                </w14:textFill>
              </w:rPr>
              <w:t>该项目可实现经济效益、环境效益的协调性发展。</w:t>
            </w:r>
            <w:r>
              <w:rPr>
                <w:rFonts w:ascii="Times New Roman" w:hAnsi="Times New Roman" w:eastAsia="宋体"/>
                <w:color w:val="000000" w:themeColor="text1"/>
                <w:highlight w:val="none"/>
                <w14:textFill>
                  <w14:solidFill>
                    <w14:schemeClr w14:val="tx1"/>
                  </w14:solidFill>
                </w14:textFill>
              </w:rPr>
              <w:t>从环境保护的角度分析，该项目的建设是可行的。</w:t>
            </w:r>
          </w:p>
          <w:p w14:paraId="61455653">
            <w:pPr>
              <w:pStyle w:val="3"/>
              <w:numPr>
                <w:ilvl w:val="1"/>
                <w:numId w:val="1"/>
              </w:numPr>
              <w:bidi w:val="0"/>
              <w:ind w:left="0" w:leftChars="0" w:firstLine="0" w:firstLineChars="0"/>
              <w:rPr>
                <w:rFonts w:hint="default" w:ascii="Times New Roman" w:hAnsi="Times New Roman" w:eastAsia="宋体" w:cs="Times New Roman"/>
                <w:color w:val="000000" w:themeColor="text1"/>
                <w:highlight w:val="none"/>
                <w:lang w:val="en-US" w:eastAsia="zh-CN"/>
                <w14:textFill>
                  <w14:solidFill>
                    <w14:schemeClr w14:val="tx1"/>
                  </w14:solidFill>
                </w14:textFill>
              </w:rPr>
            </w:pPr>
            <w:bookmarkStart w:id="78" w:name="_Toc29899"/>
            <w:bookmarkStart w:id="79" w:name="_Toc29401"/>
            <w:bookmarkStart w:id="80" w:name="_Toc11017"/>
            <w:bookmarkStart w:id="81" w:name="_Toc29585"/>
            <w:r>
              <w:rPr>
                <w:rFonts w:hint="default" w:ascii="Times New Roman" w:hAnsi="Times New Roman" w:eastAsia="宋体" w:cs="Times New Roman"/>
                <w:color w:val="000000" w:themeColor="text1"/>
                <w:highlight w:val="none"/>
                <w:lang w:val="en-US" w:eastAsia="zh-CN"/>
                <w14:textFill>
                  <w14:solidFill>
                    <w14:schemeClr w14:val="tx1"/>
                  </w14:solidFill>
                </w14:textFill>
              </w:rPr>
              <w:t>建议</w:t>
            </w:r>
            <w:bookmarkEnd w:id="78"/>
            <w:bookmarkEnd w:id="79"/>
            <w:bookmarkEnd w:id="80"/>
            <w:bookmarkEnd w:id="81"/>
          </w:p>
          <w:p w14:paraId="1B153F6F">
            <w:pPr>
              <w:pStyle w:val="13"/>
              <w:keepNext w:val="0"/>
              <w:keepLines w:val="0"/>
              <w:pageBreakBefore w:val="0"/>
              <w:widowControl w:val="0"/>
              <w:kinsoku/>
              <w:wordWrap/>
              <w:overflowPunct/>
              <w:topLinePunct w:val="0"/>
              <w:autoSpaceDE w:val="0"/>
              <w:autoSpaceDN w:val="0"/>
              <w:bidi w:val="0"/>
              <w:adjustRightInd w:val="0"/>
              <w:snapToGrid w:val="0"/>
              <w:spacing w:line="360" w:lineRule="auto"/>
              <w:ind w:firstLine="480"/>
              <w:jc w:val="left"/>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加强管理，保证生产设备正常运行，防止设备带故障使用，防止异常噪声的产生。</w:t>
            </w:r>
          </w:p>
          <w:p w14:paraId="71BE1CF7">
            <w:pPr>
              <w:pStyle w:val="13"/>
              <w:keepNext w:val="0"/>
              <w:keepLines w:val="0"/>
              <w:pageBreakBefore w:val="0"/>
              <w:widowControl w:val="0"/>
              <w:kinsoku/>
              <w:wordWrap/>
              <w:overflowPunct/>
              <w:topLinePunct w:val="0"/>
              <w:autoSpaceDE w:val="0"/>
              <w:autoSpaceDN w:val="0"/>
              <w:bidi w:val="0"/>
              <w:adjustRightInd w:val="0"/>
              <w:snapToGrid w:val="0"/>
              <w:spacing w:line="360" w:lineRule="auto"/>
              <w:ind w:firstLine="480"/>
              <w:jc w:val="left"/>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由厂内技术管理人员兼职环保工作负责环保设</w:t>
            </w:r>
            <w:bookmarkStart w:id="92" w:name="_GoBack"/>
            <w:bookmarkEnd w:id="92"/>
            <w:r>
              <w:rPr>
                <w:rFonts w:hint="default" w:ascii="Times New Roman" w:hAnsi="Times New Roman" w:eastAsia="宋体" w:cs="Times New Roman"/>
                <w:color w:val="auto"/>
                <w:sz w:val="24"/>
                <w:szCs w:val="24"/>
                <w:highlight w:val="none"/>
                <w:lang w:eastAsia="zh-CN"/>
              </w:rPr>
              <w:t>施的运行、检查、维护等工作。</w:t>
            </w:r>
          </w:p>
          <w:p w14:paraId="7A382C9A">
            <w:pPr>
              <w:pStyle w:val="13"/>
              <w:keepNext w:val="0"/>
              <w:keepLines w:val="0"/>
              <w:pageBreakBefore w:val="0"/>
              <w:widowControl w:val="0"/>
              <w:kinsoku/>
              <w:wordWrap/>
              <w:overflowPunct/>
              <w:topLinePunct w:val="0"/>
              <w:autoSpaceDE w:val="0"/>
              <w:autoSpaceDN w:val="0"/>
              <w:bidi w:val="0"/>
              <w:adjustRightInd w:val="0"/>
              <w:snapToGrid w:val="0"/>
              <w:spacing w:line="360" w:lineRule="auto"/>
              <w:ind w:firstLine="480"/>
              <w:jc w:val="left"/>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加强职工的环保、安全教育，提高环保意识和安全生产意识。</w:t>
            </w:r>
          </w:p>
          <w:p w14:paraId="1C92EA89">
            <w:pPr>
              <w:pStyle w:val="13"/>
              <w:keepNext w:val="0"/>
              <w:keepLines w:val="0"/>
              <w:pageBreakBefore w:val="0"/>
              <w:widowControl w:val="0"/>
              <w:kinsoku/>
              <w:wordWrap/>
              <w:overflowPunct/>
              <w:topLinePunct w:val="0"/>
              <w:autoSpaceDE w:val="0"/>
              <w:autoSpaceDN w:val="0"/>
              <w:bidi w:val="0"/>
              <w:adjustRightInd w:val="0"/>
              <w:snapToGrid w:val="0"/>
              <w:spacing w:line="360" w:lineRule="auto"/>
              <w:ind w:firstLine="480"/>
              <w:jc w:val="left"/>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遵守国家关于环保治理措施管理的规定，定期提交设施运行及监测报告，接受环保管理部门的监督。</w:t>
            </w:r>
          </w:p>
          <w:p w14:paraId="1451EA50">
            <w:pPr>
              <w:pStyle w:val="23"/>
              <w:ind w:firstLine="480" w:firstLineChars="200"/>
              <w:rPr>
                <w:rFonts w:ascii="Times New Roman" w:hAnsi="Times New Roman" w:eastAsia="宋体"/>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加强环保工作的管理，要认真落实环保“三同时”制度。</w:t>
            </w:r>
          </w:p>
          <w:p w14:paraId="5F3BF084">
            <w:pPr>
              <w:pStyle w:val="23"/>
              <w:rPr>
                <w:rFonts w:ascii="Times New Roman" w:hAnsi="Times New Roman" w:eastAsia="宋体"/>
                <w:color w:val="000000" w:themeColor="text1"/>
                <w:sz w:val="24"/>
                <w:szCs w:val="24"/>
                <w:highlight w:val="none"/>
                <w14:textFill>
                  <w14:solidFill>
                    <w14:schemeClr w14:val="tx1"/>
                  </w14:solidFill>
                </w14:textFill>
              </w:rPr>
            </w:pPr>
          </w:p>
          <w:p w14:paraId="7016F556">
            <w:pPr>
              <w:pStyle w:val="23"/>
              <w:rPr>
                <w:rFonts w:ascii="Times New Roman" w:hAnsi="Times New Roman" w:eastAsia="宋体"/>
                <w:color w:val="000000" w:themeColor="text1"/>
                <w:sz w:val="24"/>
                <w:szCs w:val="24"/>
                <w:highlight w:val="none"/>
                <w14:textFill>
                  <w14:solidFill>
                    <w14:schemeClr w14:val="tx1"/>
                  </w14:solidFill>
                </w14:textFill>
              </w:rPr>
            </w:pPr>
          </w:p>
          <w:p w14:paraId="5989FEA1">
            <w:pPr>
              <w:pStyle w:val="23"/>
              <w:rPr>
                <w:rFonts w:ascii="Times New Roman" w:hAnsi="Times New Roman" w:eastAsia="宋体"/>
                <w:color w:val="000000" w:themeColor="text1"/>
                <w:sz w:val="24"/>
                <w:szCs w:val="24"/>
                <w:highlight w:val="none"/>
                <w14:textFill>
                  <w14:solidFill>
                    <w14:schemeClr w14:val="tx1"/>
                  </w14:solidFill>
                </w14:textFill>
              </w:rPr>
            </w:pPr>
          </w:p>
          <w:p w14:paraId="46C0A5F7">
            <w:pPr>
              <w:pStyle w:val="23"/>
              <w:rPr>
                <w:rFonts w:ascii="Times New Roman" w:hAnsi="Times New Roman" w:eastAsia="宋体"/>
                <w:color w:val="000000" w:themeColor="text1"/>
                <w:sz w:val="24"/>
                <w:szCs w:val="24"/>
                <w:highlight w:val="none"/>
                <w14:textFill>
                  <w14:solidFill>
                    <w14:schemeClr w14:val="tx1"/>
                  </w14:solidFill>
                </w14:textFill>
              </w:rPr>
            </w:pPr>
          </w:p>
          <w:p w14:paraId="11592764">
            <w:pPr>
              <w:jc w:val="right"/>
              <w:rPr>
                <w:rFonts w:hint="default" w:ascii="Times New Roman" w:hAnsi="Times New Roman" w:eastAsia="宋体"/>
                <w:b/>
                <w:bCs/>
                <w:color w:val="000000" w:themeColor="text1"/>
                <w:sz w:val="24"/>
                <w:highlight w:val="none"/>
                <w:lang w:val="en-US" w:eastAsia="zh-CN"/>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福州</w:t>
            </w:r>
            <w:r>
              <w:rPr>
                <w:rFonts w:hint="eastAsia"/>
                <w:b/>
                <w:bCs/>
                <w:color w:val="000000" w:themeColor="text1"/>
                <w:sz w:val="24"/>
                <w:highlight w:val="none"/>
                <w:lang w:val="en-US" w:eastAsia="zh-CN"/>
                <w14:textFill>
                  <w14:solidFill>
                    <w14:schemeClr w14:val="tx1"/>
                  </w14:solidFill>
                </w14:textFill>
              </w:rPr>
              <w:t>***************</w:t>
            </w:r>
          </w:p>
          <w:p w14:paraId="4E061F3D">
            <w:pPr>
              <w:wordWrap w:val="0"/>
              <w:jc w:val="right"/>
              <w:rPr>
                <w:rFonts w:hint="default" w:ascii="Times New Roman" w:hAnsi="Times New Roman" w:eastAsia="宋体"/>
                <w:b/>
                <w:bCs/>
                <w:color w:val="000000" w:themeColor="text1"/>
                <w:sz w:val="24"/>
                <w:highlight w:val="none"/>
                <w:lang w:val="en-US" w:eastAsia="zh-CN"/>
                <w14:textFill>
                  <w14:solidFill>
                    <w14:schemeClr w14:val="tx1"/>
                  </w14:solidFill>
                </w14:textFill>
              </w:rPr>
            </w:pPr>
            <w:r>
              <w:rPr>
                <w:rFonts w:ascii="Times New Roman" w:hAnsi="Times New Roman" w:eastAsia="宋体"/>
                <w:b/>
                <w:bCs/>
                <w:color w:val="000000" w:themeColor="text1"/>
                <w:sz w:val="24"/>
                <w:highlight w:val="none"/>
                <w:lang w:val="zh-CN"/>
                <w14:textFill>
                  <w14:solidFill>
                    <w14:schemeClr w14:val="tx1"/>
                  </w14:solidFill>
                </w14:textFill>
              </w:rPr>
              <w:t>202</w:t>
            </w:r>
            <w:r>
              <w:rPr>
                <w:rFonts w:hint="eastAsia"/>
                <w:b/>
                <w:bCs/>
                <w:color w:val="000000" w:themeColor="text1"/>
                <w:sz w:val="24"/>
                <w:highlight w:val="none"/>
                <w:lang w:val="en-US" w:eastAsia="zh-CN"/>
                <w14:textFill>
                  <w14:solidFill>
                    <w14:schemeClr w14:val="tx1"/>
                  </w14:solidFill>
                </w14:textFill>
              </w:rPr>
              <w:t>5</w:t>
            </w:r>
            <w:r>
              <w:rPr>
                <w:rFonts w:ascii="Times New Roman" w:hAnsi="Times New Roman" w:eastAsia="宋体"/>
                <w:b/>
                <w:bCs/>
                <w:color w:val="000000" w:themeColor="text1"/>
                <w:sz w:val="24"/>
                <w:highlight w:val="none"/>
                <w:lang w:val="zh-CN"/>
                <w14:textFill>
                  <w14:solidFill>
                    <w14:schemeClr w14:val="tx1"/>
                  </w14:solidFill>
                </w14:textFill>
              </w:rPr>
              <w:t>年</w:t>
            </w:r>
            <w:r>
              <w:rPr>
                <w:rFonts w:hint="eastAsia"/>
                <w:b/>
                <w:bCs/>
                <w:color w:val="000000" w:themeColor="text1"/>
                <w:sz w:val="24"/>
                <w:highlight w:val="none"/>
                <w:lang w:val="en-US" w:eastAsia="zh-CN"/>
                <w14:textFill>
                  <w14:solidFill>
                    <w14:schemeClr w14:val="tx1"/>
                  </w14:solidFill>
                </w14:textFill>
              </w:rPr>
              <w:t>9</w:t>
            </w:r>
            <w:r>
              <w:rPr>
                <w:rFonts w:ascii="Times New Roman" w:hAnsi="Times New Roman" w:eastAsia="宋体"/>
                <w:b/>
                <w:bCs/>
                <w:color w:val="000000" w:themeColor="text1"/>
                <w:sz w:val="24"/>
                <w:highlight w:val="none"/>
                <w:lang w:val="zh-CN"/>
                <w14:textFill>
                  <w14:solidFill>
                    <w14:schemeClr w14:val="tx1"/>
                  </w14:solidFill>
                </w14:textFill>
              </w:rPr>
              <w:t>月</w:t>
            </w:r>
            <w:r>
              <w:rPr>
                <w:rFonts w:hint="eastAsia" w:ascii="Times New Roman" w:hAnsi="Times New Roman" w:eastAsia="宋体"/>
                <w:b/>
                <w:bCs/>
                <w:color w:val="000000" w:themeColor="text1"/>
                <w:sz w:val="24"/>
                <w:highlight w:val="none"/>
                <w:lang w:val="en-US" w:eastAsia="zh-CN"/>
                <w14:textFill>
                  <w14:solidFill>
                    <w14:schemeClr w14:val="tx1"/>
                  </w14:solidFill>
                </w14:textFill>
              </w:rPr>
              <w:t xml:space="preserve">       </w:t>
            </w:r>
          </w:p>
          <w:p w14:paraId="0E671601">
            <w:pPr>
              <w:spacing w:line="360" w:lineRule="auto"/>
              <w:rPr>
                <w:rFonts w:ascii="Times New Roman" w:hAnsi="Times New Roman" w:eastAsia="宋体" w:cs="宋体"/>
                <w:color w:val="000000" w:themeColor="text1"/>
                <w:sz w:val="24"/>
                <w:highlight w:val="none"/>
                <w14:textFill>
                  <w14:solidFill>
                    <w14:schemeClr w14:val="tx1"/>
                  </w14:solidFill>
                </w14:textFill>
              </w:rPr>
            </w:pPr>
          </w:p>
        </w:tc>
      </w:tr>
    </w:tbl>
    <w:p w14:paraId="43C62994">
      <w:pPr>
        <w:rPr>
          <w:rFonts w:hint="eastAsia" w:ascii="宋体" w:eastAsia="宋体"/>
          <w:color w:val="000000" w:themeColor="text1"/>
          <w:highlight w:val="none"/>
          <w:lang w:eastAsia="zh-CN"/>
          <w14:textFill>
            <w14:solidFill>
              <w14:schemeClr w14:val="tx1"/>
            </w14:solidFill>
          </w14:textFill>
        </w:rPr>
        <w:sectPr>
          <w:pgSz w:w="11905" w:h="16838"/>
          <w:pgMar w:top="1417" w:right="1417" w:bottom="1417" w:left="1417" w:header="851" w:footer="1077" w:gutter="0"/>
          <w:pgBorders>
            <w:top w:val="none" w:sz="0" w:space="0"/>
            <w:left w:val="none" w:sz="0" w:space="0"/>
            <w:bottom w:val="none" w:sz="0" w:space="0"/>
            <w:right w:val="none" w:sz="0" w:space="0"/>
          </w:pgBorders>
          <w:pgNumType w:fmt="decimal"/>
          <w:cols w:space="0" w:num="1"/>
          <w:docGrid w:linePitch="312" w:charSpace="0"/>
        </w:sectPr>
      </w:pPr>
    </w:p>
    <w:p w14:paraId="4AD9C7DE">
      <w:pPr>
        <w:pStyle w:val="30"/>
        <w:adjustRightInd w:val="0"/>
        <w:snapToGrid w:val="0"/>
        <w:spacing w:before="0" w:beforeAutospacing="0" w:after="0" w:afterAutospacing="0"/>
        <w:outlineLvl w:val="0"/>
        <w:rPr>
          <w:rFonts w:ascii="黑体" w:hAnsi="黑体" w:eastAsia="黑体"/>
          <w:snapToGrid w:val="0"/>
          <w:color w:val="000000" w:themeColor="text1"/>
          <w:sz w:val="32"/>
          <w:szCs w:val="32"/>
          <w:highlight w:val="none"/>
          <w14:textFill>
            <w14:solidFill>
              <w14:schemeClr w14:val="tx1"/>
            </w14:solidFill>
          </w14:textFill>
        </w:rPr>
      </w:pPr>
      <w:bookmarkStart w:id="82" w:name="_Toc846"/>
      <w:bookmarkStart w:id="83" w:name="_Toc22600"/>
      <w:bookmarkStart w:id="84" w:name="_Toc3022"/>
      <w:bookmarkStart w:id="85" w:name="_Toc20579"/>
      <w:bookmarkStart w:id="86" w:name="_Toc8552"/>
      <w:bookmarkStart w:id="87" w:name="_Toc29555"/>
      <w:bookmarkStart w:id="88" w:name="_Toc3813"/>
      <w:bookmarkStart w:id="89" w:name="_Toc24487"/>
      <w:bookmarkStart w:id="90" w:name="_Toc27685"/>
      <w:bookmarkStart w:id="91" w:name="_Toc2648"/>
      <w:r>
        <w:rPr>
          <w:rFonts w:hint="eastAsia" w:ascii="黑体" w:hAnsi="黑体" w:eastAsia="黑体"/>
          <w:snapToGrid w:val="0"/>
          <w:color w:val="000000" w:themeColor="text1"/>
          <w:sz w:val="32"/>
          <w:szCs w:val="32"/>
          <w:highlight w:val="none"/>
          <w14:textFill>
            <w14:solidFill>
              <w14:schemeClr w14:val="tx1"/>
            </w14:solidFill>
          </w14:textFill>
        </w:rPr>
        <w:t>附表</w:t>
      </w:r>
      <w:bookmarkEnd w:id="82"/>
      <w:bookmarkEnd w:id="83"/>
      <w:bookmarkEnd w:id="84"/>
      <w:bookmarkEnd w:id="85"/>
      <w:bookmarkEnd w:id="86"/>
    </w:p>
    <w:p w14:paraId="7800CB12">
      <w:pPr>
        <w:pStyle w:val="30"/>
        <w:adjustRightInd w:val="0"/>
        <w:snapToGrid w:val="0"/>
        <w:spacing w:before="0" w:beforeAutospacing="0" w:after="0" w:afterAutospacing="0"/>
        <w:jc w:val="center"/>
        <w:outlineLvl w:val="0"/>
        <w:rPr>
          <w:rFonts w:ascii="方正小标宋_GBK" w:hAnsi="黑体" w:eastAsia="方正小标宋_GBK"/>
          <w:snapToGrid w:val="0"/>
          <w:color w:val="000000" w:themeColor="text1"/>
          <w:sz w:val="32"/>
          <w:szCs w:val="32"/>
          <w:highlight w:val="none"/>
          <w14:textFill>
            <w14:solidFill>
              <w14:schemeClr w14:val="tx1"/>
            </w14:solidFill>
          </w14:textFill>
        </w:rPr>
      </w:pPr>
      <w:r>
        <w:rPr>
          <w:rFonts w:hint="eastAsia" w:ascii="方正小标宋_GBK" w:hAnsi="黑体" w:eastAsia="方正小标宋_GBK"/>
          <w:b/>
          <w:bCs/>
          <w:snapToGrid w:val="0"/>
          <w:color w:val="000000" w:themeColor="text1"/>
          <w:sz w:val="32"/>
          <w:szCs w:val="32"/>
          <w:highlight w:val="none"/>
          <w14:textFill>
            <w14:solidFill>
              <w14:schemeClr w14:val="tx1"/>
            </w14:solidFill>
          </w14:textFill>
        </w:rPr>
        <w:t>建设项目污染物排放量汇总表</w:t>
      </w:r>
      <w:bookmarkEnd w:id="87"/>
      <w:bookmarkEnd w:id="88"/>
      <w:bookmarkEnd w:id="89"/>
      <w:bookmarkEnd w:id="90"/>
      <w:bookmarkEnd w:id="91"/>
    </w:p>
    <w:tbl>
      <w:tblPr>
        <w:tblStyle w:val="32"/>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2"/>
        <w:gridCol w:w="2850"/>
        <w:gridCol w:w="1554"/>
        <w:gridCol w:w="1255"/>
        <w:gridCol w:w="1486"/>
        <w:gridCol w:w="1514"/>
        <w:gridCol w:w="1418"/>
        <w:gridCol w:w="1562"/>
        <w:gridCol w:w="1337"/>
      </w:tblGrid>
      <w:tr w14:paraId="190DEC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2" w:type="dxa"/>
            <w:tcBorders>
              <w:tl2br w:val="single" w:color="auto" w:sz="4" w:space="0"/>
            </w:tcBorders>
            <w:tcMar>
              <w:left w:w="28" w:type="dxa"/>
              <w:right w:w="28" w:type="dxa"/>
            </w:tcMar>
            <w:vAlign w:val="center"/>
          </w:tcPr>
          <w:p w14:paraId="44E2047A">
            <w:pPr>
              <w:pStyle w:val="49"/>
              <w:spacing w:beforeLines="0" w:afterLines="0" w:line="240" w:lineRule="auto"/>
              <w:rPr>
                <w:rFonts w:ascii="Times New Roman" w:hAnsi="Times New Roman" w:eastAsia="宋体"/>
                <w:snapToGrid w:val="0"/>
                <w:color w:val="000000" w:themeColor="text1"/>
                <w:spacing w:val="-6"/>
                <w:kern w:val="21"/>
                <w:szCs w:val="21"/>
                <w:highlight w:val="none"/>
                <w14:textFill>
                  <w14:solidFill>
                    <w14:schemeClr w14:val="tx1"/>
                  </w14:solidFill>
                </w14:textFill>
              </w:rPr>
            </w:pPr>
            <w:r>
              <w:rPr>
                <w:rFonts w:ascii="Times New Roman" w:hAnsi="Times New Roman" w:eastAsia="宋体"/>
                <w:snapToGrid w:val="0"/>
                <w:color w:val="000000" w:themeColor="text1"/>
                <w:spacing w:val="-6"/>
                <w:kern w:val="21"/>
                <w:szCs w:val="21"/>
                <w:highlight w:val="none"/>
                <w14:textFill>
                  <w14:solidFill>
                    <w14:schemeClr w14:val="tx1"/>
                  </w14:solidFill>
                </w14:textFill>
              </w:rPr>
              <w:t xml:space="preserve">   项目</w:t>
            </w:r>
          </w:p>
          <w:p w14:paraId="239172E1">
            <w:pPr>
              <w:pStyle w:val="49"/>
              <w:spacing w:beforeLines="0" w:afterLines="0" w:line="240" w:lineRule="auto"/>
              <w:jc w:val="both"/>
              <w:rPr>
                <w:rFonts w:ascii="Times New Roman" w:hAnsi="Times New Roman" w:eastAsia="宋体"/>
                <w:snapToGrid w:val="0"/>
                <w:color w:val="000000" w:themeColor="text1"/>
                <w:spacing w:val="-6"/>
                <w:kern w:val="21"/>
                <w:szCs w:val="21"/>
                <w:highlight w:val="none"/>
                <w14:textFill>
                  <w14:solidFill>
                    <w14:schemeClr w14:val="tx1"/>
                  </w14:solidFill>
                </w14:textFill>
              </w:rPr>
            </w:pPr>
            <w:r>
              <w:rPr>
                <w:rFonts w:ascii="Times New Roman" w:hAnsi="Times New Roman" w:eastAsia="宋体"/>
                <w:snapToGrid w:val="0"/>
                <w:color w:val="000000" w:themeColor="text1"/>
                <w:spacing w:val="-6"/>
                <w:kern w:val="21"/>
                <w:szCs w:val="21"/>
                <w:highlight w:val="none"/>
                <w14:textFill>
                  <w14:solidFill>
                    <w14:schemeClr w14:val="tx1"/>
                  </w14:solidFill>
                </w14:textFill>
              </w:rPr>
              <w:t>分类</w:t>
            </w:r>
          </w:p>
        </w:tc>
        <w:tc>
          <w:tcPr>
            <w:tcW w:w="2850" w:type="dxa"/>
            <w:tcMar>
              <w:left w:w="28" w:type="dxa"/>
              <w:right w:w="28" w:type="dxa"/>
            </w:tcMar>
            <w:vAlign w:val="center"/>
          </w:tcPr>
          <w:p w14:paraId="2377E934">
            <w:pPr>
              <w:pStyle w:val="49"/>
              <w:spacing w:beforeLines="0" w:afterLines="0" w:line="240" w:lineRule="auto"/>
              <w:rPr>
                <w:rFonts w:ascii="Times New Roman" w:hAnsi="Times New Roman" w:eastAsia="宋体"/>
                <w:snapToGrid w:val="0"/>
                <w:color w:val="000000" w:themeColor="text1"/>
                <w:spacing w:val="-6"/>
                <w:kern w:val="21"/>
                <w:szCs w:val="21"/>
                <w:highlight w:val="none"/>
                <w14:textFill>
                  <w14:solidFill>
                    <w14:schemeClr w14:val="tx1"/>
                  </w14:solidFill>
                </w14:textFill>
              </w:rPr>
            </w:pPr>
            <w:r>
              <w:rPr>
                <w:rFonts w:ascii="Times New Roman" w:hAnsi="Times New Roman" w:eastAsia="宋体"/>
                <w:snapToGrid w:val="0"/>
                <w:color w:val="000000" w:themeColor="text1"/>
                <w:spacing w:val="-6"/>
                <w:kern w:val="21"/>
                <w:szCs w:val="21"/>
                <w:highlight w:val="none"/>
                <w14:textFill>
                  <w14:solidFill>
                    <w14:schemeClr w14:val="tx1"/>
                  </w14:solidFill>
                </w14:textFill>
              </w:rPr>
              <w:t>污染物名称</w:t>
            </w:r>
          </w:p>
        </w:tc>
        <w:tc>
          <w:tcPr>
            <w:tcW w:w="1554" w:type="dxa"/>
            <w:tcMar>
              <w:left w:w="28" w:type="dxa"/>
              <w:right w:w="28" w:type="dxa"/>
            </w:tcMar>
            <w:vAlign w:val="center"/>
          </w:tcPr>
          <w:p w14:paraId="431203FA">
            <w:pPr>
              <w:pStyle w:val="49"/>
              <w:spacing w:beforeLines="0" w:afterLines="0" w:line="240" w:lineRule="auto"/>
              <w:rPr>
                <w:rFonts w:ascii="Times New Roman" w:hAnsi="Times New Roman" w:eastAsia="宋体"/>
                <w:snapToGrid w:val="0"/>
                <w:color w:val="000000" w:themeColor="text1"/>
                <w:spacing w:val="-6"/>
                <w:kern w:val="21"/>
                <w:szCs w:val="21"/>
                <w:highlight w:val="none"/>
                <w14:textFill>
                  <w14:solidFill>
                    <w14:schemeClr w14:val="tx1"/>
                  </w14:solidFill>
                </w14:textFill>
              </w:rPr>
            </w:pPr>
            <w:r>
              <w:rPr>
                <w:rFonts w:ascii="Times New Roman" w:hAnsi="Times New Roman" w:eastAsia="宋体"/>
                <w:snapToGrid w:val="0"/>
                <w:color w:val="000000" w:themeColor="text1"/>
                <w:spacing w:val="-6"/>
                <w:kern w:val="21"/>
                <w:szCs w:val="21"/>
                <w:highlight w:val="none"/>
                <w14:textFill>
                  <w14:solidFill>
                    <w14:schemeClr w14:val="tx1"/>
                  </w14:solidFill>
                </w14:textFill>
              </w:rPr>
              <w:t>现有工程</w:t>
            </w:r>
          </w:p>
          <w:p w14:paraId="476AC260">
            <w:pPr>
              <w:pStyle w:val="49"/>
              <w:spacing w:beforeLines="0" w:afterLines="0" w:line="240" w:lineRule="auto"/>
              <w:rPr>
                <w:rFonts w:ascii="Times New Roman" w:hAnsi="Times New Roman" w:eastAsia="宋体"/>
                <w:snapToGrid w:val="0"/>
                <w:color w:val="000000" w:themeColor="text1"/>
                <w:spacing w:val="-6"/>
                <w:kern w:val="21"/>
                <w:szCs w:val="21"/>
                <w:highlight w:val="none"/>
                <w14:textFill>
                  <w14:solidFill>
                    <w14:schemeClr w14:val="tx1"/>
                  </w14:solidFill>
                </w14:textFill>
              </w:rPr>
            </w:pPr>
            <w:r>
              <w:rPr>
                <w:rFonts w:ascii="Times New Roman" w:hAnsi="Times New Roman" w:eastAsia="宋体"/>
                <w:snapToGrid w:val="0"/>
                <w:color w:val="000000" w:themeColor="text1"/>
                <w:spacing w:val="-6"/>
                <w:kern w:val="21"/>
                <w:szCs w:val="21"/>
                <w:highlight w:val="none"/>
                <w14:textFill>
                  <w14:solidFill>
                    <w14:schemeClr w14:val="tx1"/>
                  </w14:solidFill>
                </w14:textFill>
              </w:rPr>
              <w:t>排放量（固体废物产生量）</w: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begin"/>
            </w:r>
            <w:r>
              <w:rPr>
                <w:rFonts w:ascii="Times New Roman" w:hAnsi="Times New Roman" w:eastAsia="宋体"/>
                <w:snapToGrid w:val="0"/>
                <w:color w:val="000000" w:themeColor="text1"/>
                <w:spacing w:val="-6"/>
                <w:kern w:val="21"/>
                <w:szCs w:val="21"/>
                <w:highlight w:val="none"/>
                <w14:textFill>
                  <w14:solidFill>
                    <w14:schemeClr w14:val="tx1"/>
                  </w14:solidFill>
                </w14:textFill>
              </w:rPr>
              <w:instrText xml:space="preserve"> = 1 \* GB3 \* MERGEFORMAT </w:instrTex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separate"/>
            </w:r>
            <w:r>
              <w:rPr>
                <w:rFonts w:ascii="Times New Roman" w:hAnsi="Times New Roman" w:eastAsia="宋体"/>
                <w:color w:val="000000" w:themeColor="text1"/>
                <w:kern w:val="2"/>
                <w:szCs w:val="21"/>
                <w:highlight w:val="none"/>
                <w14:textFill>
                  <w14:solidFill>
                    <w14:schemeClr w14:val="tx1"/>
                  </w14:solidFill>
                </w14:textFill>
              </w:rPr>
              <w:t>①</w: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end"/>
            </w:r>
          </w:p>
        </w:tc>
        <w:tc>
          <w:tcPr>
            <w:tcW w:w="1255" w:type="dxa"/>
            <w:tcMar>
              <w:left w:w="28" w:type="dxa"/>
              <w:right w:w="28" w:type="dxa"/>
            </w:tcMar>
            <w:vAlign w:val="center"/>
          </w:tcPr>
          <w:p w14:paraId="2E15EDED">
            <w:pPr>
              <w:pStyle w:val="49"/>
              <w:spacing w:beforeLines="0" w:afterLines="0" w:line="240" w:lineRule="auto"/>
              <w:rPr>
                <w:rFonts w:ascii="Times New Roman" w:hAnsi="Times New Roman" w:eastAsia="宋体"/>
                <w:snapToGrid w:val="0"/>
                <w:color w:val="000000" w:themeColor="text1"/>
                <w:spacing w:val="-6"/>
                <w:kern w:val="21"/>
                <w:szCs w:val="21"/>
                <w:highlight w:val="none"/>
                <w14:textFill>
                  <w14:solidFill>
                    <w14:schemeClr w14:val="tx1"/>
                  </w14:solidFill>
                </w14:textFill>
              </w:rPr>
            </w:pPr>
            <w:r>
              <w:rPr>
                <w:rFonts w:ascii="Times New Roman" w:hAnsi="Times New Roman" w:eastAsia="宋体"/>
                <w:snapToGrid w:val="0"/>
                <w:color w:val="000000" w:themeColor="text1"/>
                <w:spacing w:val="-6"/>
                <w:kern w:val="21"/>
                <w:szCs w:val="21"/>
                <w:highlight w:val="none"/>
                <w14:textFill>
                  <w14:solidFill>
                    <w14:schemeClr w14:val="tx1"/>
                  </w14:solidFill>
                </w14:textFill>
              </w:rPr>
              <w:t>现有工程</w:t>
            </w:r>
          </w:p>
          <w:p w14:paraId="3977DA5A">
            <w:pPr>
              <w:pStyle w:val="49"/>
              <w:spacing w:beforeLines="0" w:afterLines="0" w:line="240" w:lineRule="auto"/>
              <w:rPr>
                <w:rFonts w:ascii="Times New Roman" w:hAnsi="Times New Roman" w:eastAsia="宋体"/>
                <w:snapToGrid w:val="0"/>
                <w:color w:val="000000" w:themeColor="text1"/>
                <w:spacing w:val="-6"/>
                <w:kern w:val="21"/>
                <w:szCs w:val="21"/>
                <w:highlight w:val="none"/>
                <w14:textFill>
                  <w14:solidFill>
                    <w14:schemeClr w14:val="tx1"/>
                  </w14:solidFill>
                </w14:textFill>
              </w:rPr>
            </w:pPr>
            <w:r>
              <w:rPr>
                <w:rFonts w:ascii="Times New Roman" w:hAnsi="Times New Roman" w:eastAsia="宋体"/>
                <w:snapToGrid w:val="0"/>
                <w:color w:val="000000" w:themeColor="text1"/>
                <w:spacing w:val="-6"/>
                <w:kern w:val="21"/>
                <w:szCs w:val="21"/>
                <w:highlight w:val="none"/>
                <w14:textFill>
                  <w14:solidFill>
                    <w14:schemeClr w14:val="tx1"/>
                  </w14:solidFill>
                </w14:textFill>
              </w:rPr>
              <w:t>许可排放量</w:t>
            </w:r>
          </w:p>
          <w:p w14:paraId="5BF9077A">
            <w:pPr>
              <w:pStyle w:val="49"/>
              <w:spacing w:beforeLines="0" w:afterLines="0" w:line="240" w:lineRule="auto"/>
              <w:rPr>
                <w:rFonts w:ascii="Times New Roman" w:hAnsi="Times New Roman" w:eastAsia="宋体"/>
                <w:snapToGrid w:val="0"/>
                <w:color w:val="000000" w:themeColor="text1"/>
                <w:spacing w:val="-6"/>
                <w:kern w:val="21"/>
                <w:szCs w:val="21"/>
                <w:highlight w:val="none"/>
                <w14:textFill>
                  <w14:solidFill>
                    <w14:schemeClr w14:val="tx1"/>
                  </w14:solidFill>
                </w14:textFill>
              </w:rPr>
            </w:pP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begin"/>
            </w:r>
            <w:r>
              <w:rPr>
                <w:rFonts w:ascii="Times New Roman" w:hAnsi="Times New Roman" w:eastAsia="宋体"/>
                <w:snapToGrid w:val="0"/>
                <w:color w:val="000000" w:themeColor="text1"/>
                <w:spacing w:val="-6"/>
                <w:kern w:val="21"/>
                <w:szCs w:val="21"/>
                <w:highlight w:val="none"/>
                <w14:textFill>
                  <w14:solidFill>
                    <w14:schemeClr w14:val="tx1"/>
                  </w14:solidFill>
                </w14:textFill>
              </w:rPr>
              <w:instrText xml:space="preserve"> = 2 \* GB3 \* MERGEFORMAT </w:instrTex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separate"/>
            </w:r>
            <w:r>
              <w:rPr>
                <w:rFonts w:ascii="Times New Roman" w:hAnsi="Times New Roman" w:eastAsia="宋体"/>
                <w:snapToGrid w:val="0"/>
                <w:color w:val="000000" w:themeColor="text1"/>
                <w:spacing w:val="-6"/>
                <w:kern w:val="21"/>
                <w:szCs w:val="21"/>
                <w:highlight w:val="none"/>
                <w14:textFill>
                  <w14:solidFill>
                    <w14:schemeClr w14:val="tx1"/>
                  </w14:solidFill>
                </w14:textFill>
              </w:rPr>
              <w:t>②</w: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end"/>
            </w:r>
          </w:p>
        </w:tc>
        <w:tc>
          <w:tcPr>
            <w:tcW w:w="1486" w:type="dxa"/>
            <w:tcMar>
              <w:left w:w="28" w:type="dxa"/>
              <w:right w:w="28" w:type="dxa"/>
            </w:tcMar>
            <w:vAlign w:val="center"/>
          </w:tcPr>
          <w:p w14:paraId="41FDD007">
            <w:pPr>
              <w:pStyle w:val="49"/>
              <w:spacing w:beforeLines="0" w:afterLines="0" w:line="240" w:lineRule="auto"/>
              <w:rPr>
                <w:rFonts w:ascii="Times New Roman" w:hAnsi="Times New Roman" w:eastAsia="宋体"/>
                <w:snapToGrid w:val="0"/>
                <w:color w:val="000000" w:themeColor="text1"/>
                <w:spacing w:val="-6"/>
                <w:kern w:val="21"/>
                <w:szCs w:val="21"/>
                <w:highlight w:val="none"/>
                <w14:textFill>
                  <w14:solidFill>
                    <w14:schemeClr w14:val="tx1"/>
                  </w14:solidFill>
                </w14:textFill>
              </w:rPr>
            </w:pPr>
            <w:r>
              <w:rPr>
                <w:rFonts w:ascii="Times New Roman" w:hAnsi="Times New Roman" w:eastAsia="宋体"/>
                <w:snapToGrid w:val="0"/>
                <w:color w:val="000000" w:themeColor="text1"/>
                <w:spacing w:val="-6"/>
                <w:kern w:val="21"/>
                <w:szCs w:val="21"/>
                <w:highlight w:val="none"/>
                <w14:textFill>
                  <w14:solidFill>
                    <w14:schemeClr w14:val="tx1"/>
                  </w14:solidFill>
                </w14:textFill>
              </w:rPr>
              <w:t>在建工程</w:t>
            </w:r>
          </w:p>
          <w:p w14:paraId="26B3DAF8">
            <w:pPr>
              <w:pStyle w:val="49"/>
              <w:spacing w:beforeLines="0" w:afterLines="0" w:line="240" w:lineRule="auto"/>
              <w:rPr>
                <w:rFonts w:ascii="Times New Roman" w:hAnsi="Times New Roman" w:eastAsia="宋体"/>
                <w:snapToGrid w:val="0"/>
                <w:color w:val="000000" w:themeColor="text1"/>
                <w:spacing w:val="-6"/>
                <w:kern w:val="21"/>
                <w:szCs w:val="21"/>
                <w:highlight w:val="none"/>
                <w14:textFill>
                  <w14:solidFill>
                    <w14:schemeClr w14:val="tx1"/>
                  </w14:solidFill>
                </w14:textFill>
              </w:rPr>
            </w:pPr>
            <w:r>
              <w:rPr>
                <w:rFonts w:ascii="Times New Roman" w:hAnsi="Times New Roman" w:eastAsia="宋体"/>
                <w:snapToGrid w:val="0"/>
                <w:color w:val="000000" w:themeColor="text1"/>
                <w:spacing w:val="-6"/>
                <w:kern w:val="21"/>
                <w:szCs w:val="21"/>
                <w:highlight w:val="none"/>
                <w14:textFill>
                  <w14:solidFill>
                    <w14:schemeClr w14:val="tx1"/>
                  </w14:solidFill>
                </w14:textFill>
              </w:rPr>
              <w:t>排放量（固体废物产生量）</w: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begin"/>
            </w:r>
            <w:r>
              <w:rPr>
                <w:rFonts w:ascii="Times New Roman" w:hAnsi="Times New Roman" w:eastAsia="宋体"/>
                <w:snapToGrid w:val="0"/>
                <w:color w:val="000000" w:themeColor="text1"/>
                <w:spacing w:val="-6"/>
                <w:kern w:val="21"/>
                <w:szCs w:val="21"/>
                <w:highlight w:val="none"/>
                <w14:textFill>
                  <w14:solidFill>
                    <w14:schemeClr w14:val="tx1"/>
                  </w14:solidFill>
                </w14:textFill>
              </w:rPr>
              <w:instrText xml:space="preserve"> = 3 \* GB3 \* MERGEFORMAT </w:instrTex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separate"/>
            </w:r>
            <w:r>
              <w:rPr>
                <w:rFonts w:ascii="Times New Roman" w:hAnsi="Times New Roman" w:eastAsia="宋体"/>
                <w:color w:val="000000" w:themeColor="text1"/>
                <w:kern w:val="2"/>
                <w:szCs w:val="21"/>
                <w:highlight w:val="none"/>
                <w14:textFill>
                  <w14:solidFill>
                    <w14:schemeClr w14:val="tx1"/>
                  </w14:solidFill>
                </w14:textFill>
              </w:rPr>
              <w:t>③</w: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end"/>
            </w:r>
          </w:p>
        </w:tc>
        <w:tc>
          <w:tcPr>
            <w:tcW w:w="1514" w:type="dxa"/>
            <w:tcMar>
              <w:left w:w="28" w:type="dxa"/>
              <w:right w:w="28" w:type="dxa"/>
            </w:tcMar>
            <w:vAlign w:val="center"/>
          </w:tcPr>
          <w:p w14:paraId="374A0508">
            <w:pPr>
              <w:pStyle w:val="49"/>
              <w:spacing w:beforeLines="0" w:afterLines="0" w:line="240" w:lineRule="auto"/>
              <w:rPr>
                <w:rFonts w:ascii="Times New Roman" w:hAnsi="Times New Roman" w:eastAsia="宋体"/>
                <w:snapToGrid w:val="0"/>
                <w:color w:val="000000" w:themeColor="text1"/>
                <w:spacing w:val="-6"/>
                <w:kern w:val="21"/>
                <w:szCs w:val="21"/>
                <w:highlight w:val="none"/>
                <w14:textFill>
                  <w14:solidFill>
                    <w14:schemeClr w14:val="tx1"/>
                  </w14:solidFill>
                </w14:textFill>
              </w:rPr>
            </w:pPr>
            <w:r>
              <w:rPr>
                <w:rFonts w:ascii="Times New Roman" w:hAnsi="Times New Roman" w:eastAsia="宋体"/>
                <w:snapToGrid w:val="0"/>
                <w:color w:val="000000" w:themeColor="text1"/>
                <w:spacing w:val="-6"/>
                <w:kern w:val="21"/>
                <w:szCs w:val="21"/>
                <w:highlight w:val="none"/>
                <w14:textFill>
                  <w14:solidFill>
                    <w14:schemeClr w14:val="tx1"/>
                  </w14:solidFill>
                </w14:textFill>
              </w:rPr>
              <w:t>本项目</w:t>
            </w:r>
          </w:p>
          <w:p w14:paraId="6E161512">
            <w:pPr>
              <w:pStyle w:val="49"/>
              <w:spacing w:beforeLines="0" w:afterLines="0" w:line="240" w:lineRule="auto"/>
              <w:rPr>
                <w:rFonts w:ascii="Times New Roman" w:hAnsi="Times New Roman" w:eastAsia="宋体"/>
                <w:snapToGrid w:val="0"/>
                <w:color w:val="000000" w:themeColor="text1"/>
                <w:spacing w:val="-6"/>
                <w:kern w:val="21"/>
                <w:szCs w:val="21"/>
                <w:highlight w:val="none"/>
                <w14:textFill>
                  <w14:solidFill>
                    <w14:schemeClr w14:val="tx1"/>
                  </w14:solidFill>
                </w14:textFill>
              </w:rPr>
            </w:pPr>
            <w:r>
              <w:rPr>
                <w:rFonts w:ascii="Times New Roman" w:hAnsi="Times New Roman" w:eastAsia="宋体"/>
                <w:snapToGrid w:val="0"/>
                <w:color w:val="000000" w:themeColor="text1"/>
                <w:spacing w:val="-6"/>
                <w:kern w:val="21"/>
                <w:szCs w:val="21"/>
                <w:highlight w:val="none"/>
                <w14:textFill>
                  <w14:solidFill>
                    <w14:schemeClr w14:val="tx1"/>
                  </w14:solidFill>
                </w14:textFill>
              </w:rPr>
              <w:t>排放量（固体废物产生量）</w: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begin"/>
            </w:r>
            <w:r>
              <w:rPr>
                <w:rFonts w:ascii="Times New Roman" w:hAnsi="Times New Roman" w:eastAsia="宋体"/>
                <w:snapToGrid w:val="0"/>
                <w:color w:val="000000" w:themeColor="text1"/>
                <w:spacing w:val="-6"/>
                <w:kern w:val="21"/>
                <w:szCs w:val="21"/>
                <w:highlight w:val="none"/>
                <w14:textFill>
                  <w14:solidFill>
                    <w14:schemeClr w14:val="tx1"/>
                  </w14:solidFill>
                </w14:textFill>
              </w:rPr>
              <w:instrText xml:space="preserve"> = 4 \* GB3 \* MERGEFORMAT </w:instrTex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separate"/>
            </w:r>
            <w:r>
              <w:rPr>
                <w:rFonts w:ascii="Times New Roman" w:hAnsi="Times New Roman" w:eastAsia="宋体"/>
                <w:color w:val="000000" w:themeColor="text1"/>
                <w:kern w:val="2"/>
                <w:szCs w:val="21"/>
                <w:highlight w:val="none"/>
                <w14:textFill>
                  <w14:solidFill>
                    <w14:schemeClr w14:val="tx1"/>
                  </w14:solidFill>
                </w14:textFill>
              </w:rPr>
              <w:t>④</w: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end"/>
            </w:r>
          </w:p>
        </w:tc>
        <w:tc>
          <w:tcPr>
            <w:tcW w:w="1418" w:type="dxa"/>
            <w:tcMar>
              <w:left w:w="28" w:type="dxa"/>
              <w:right w:w="28" w:type="dxa"/>
            </w:tcMar>
            <w:vAlign w:val="center"/>
          </w:tcPr>
          <w:p w14:paraId="0C7B78DA">
            <w:pPr>
              <w:pStyle w:val="49"/>
              <w:spacing w:beforeLines="0" w:afterLines="0" w:line="240" w:lineRule="auto"/>
              <w:rPr>
                <w:rFonts w:ascii="Times New Roman" w:hAnsi="Times New Roman" w:eastAsia="宋体"/>
                <w:snapToGrid w:val="0"/>
                <w:color w:val="000000" w:themeColor="text1"/>
                <w:spacing w:val="-16"/>
                <w:kern w:val="21"/>
                <w:szCs w:val="21"/>
                <w:highlight w:val="none"/>
                <w14:textFill>
                  <w14:solidFill>
                    <w14:schemeClr w14:val="tx1"/>
                  </w14:solidFill>
                </w14:textFill>
              </w:rPr>
            </w:pPr>
            <w:r>
              <w:rPr>
                <w:rFonts w:ascii="Times New Roman" w:hAnsi="Times New Roman" w:eastAsia="宋体"/>
                <w:snapToGrid w:val="0"/>
                <w:color w:val="000000" w:themeColor="text1"/>
                <w:spacing w:val="-16"/>
                <w:kern w:val="21"/>
                <w:szCs w:val="21"/>
                <w:highlight w:val="none"/>
                <w14:textFill>
                  <w14:solidFill>
                    <w14:schemeClr w14:val="tx1"/>
                  </w14:solidFill>
                </w14:textFill>
              </w:rPr>
              <w:t>以新带老削减量</w:t>
            </w:r>
          </w:p>
          <w:p w14:paraId="7EA67DEB">
            <w:pPr>
              <w:pStyle w:val="49"/>
              <w:spacing w:beforeLines="0" w:afterLines="0" w:line="240" w:lineRule="auto"/>
              <w:rPr>
                <w:rFonts w:ascii="Times New Roman" w:hAnsi="Times New Roman" w:eastAsia="宋体"/>
                <w:snapToGrid w:val="0"/>
                <w:color w:val="000000" w:themeColor="text1"/>
                <w:spacing w:val="-16"/>
                <w:kern w:val="21"/>
                <w:szCs w:val="21"/>
                <w:highlight w:val="none"/>
                <w14:textFill>
                  <w14:solidFill>
                    <w14:schemeClr w14:val="tx1"/>
                  </w14:solidFill>
                </w14:textFill>
              </w:rPr>
            </w:pPr>
            <w:r>
              <w:rPr>
                <w:rFonts w:ascii="Times New Roman" w:hAnsi="Times New Roman" w:eastAsia="宋体"/>
                <w:snapToGrid w:val="0"/>
                <w:color w:val="000000" w:themeColor="text1"/>
                <w:spacing w:val="-16"/>
                <w:kern w:val="21"/>
                <w:szCs w:val="21"/>
                <w:highlight w:val="none"/>
                <w14:textFill>
                  <w14:solidFill>
                    <w14:schemeClr w14:val="tx1"/>
                  </w14:solidFill>
                </w14:textFill>
              </w:rPr>
              <w:t>（新建项目不填）</w:t>
            </w:r>
            <w:r>
              <w:rPr>
                <w:rFonts w:ascii="Times New Roman" w:hAnsi="Times New Roman" w:eastAsia="宋体"/>
                <w:snapToGrid w:val="0"/>
                <w:color w:val="000000" w:themeColor="text1"/>
                <w:spacing w:val="-16"/>
                <w:kern w:val="21"/>
                <w:szCs w:val="21"/>
                <w:highlight w:val="none"/>
                <w14:textFill>
                  <w14:solidFill>
                    <w14:schemeClr w14:val="tx1"/>
                  </w14:solidFill>
                </w14:textFill>
              </w:rPr>
              <w:fldChar w:fldCharType="begin"/>
            </w:r>
            <w:r>
              <w:rPr>
                <w:rFonts w:ascii="Times New Roman" w:hAnsi="Times New Roman" w:eastAsia="宋体"/>
                <w:snapToGrid w:val="0"/>
                <w:color w:val="000000" w:themeColor="text1"/>
                <w:spacing w:val="-16"/>
                <w:kern w:val="21"/>
                <w:szCs w:val="21"/>
                <w:highlight w:val="none"/>
                <w14:textFill>
                  <w14:solidFill>
                    <w14:schemeClr w14:val="tx1"/>
                  </w14:solidFill>
                </w14:textFill>
              </w:rPr>
              <w:instrText xml:space="preserve"> = 5 \* GB3 \* MERGEFORMAT </w:instrText>
            </w:r>
            <w:r>
              <w:rPr>
                <w:rFonts w:ascii="Times New Roman" w:hAnsi="Times New Roman" w:eastAsia="宋体"/>
                <w:snapToGrid w:val="0"/>
                <w:color w:val="000000" w:themeColor="text1"/>
                <w:spacing w:val="-16"/>
                <w:kern w:val="21"/>
                <w:szCs w:val="21"/>
                <w:highlight w:val="none"/>
                <w14:textFill>
                  <w14:solidFill>
                    <w14:schemeClr w14:val="tx1"/>
                  </w14:solidFill>
                </w14:textFill>
              </w:rPr>
              <w:fldChar w:fldCharType="separate"/>
            </w:r>
            <w:r>
              <w:rPr>
                <w:rFonts w:ascii="Times New Roman" w:hAnsi="Times New Roman" w:eastAsia="宋体"/>
                <w:color w:val="000000" w:themeColor="text1"/>
                <w:kern w:val="2"/>
                <w:szCs w:val="21"/>
                <w:highlight w:val="none"/>
                <w14:textFill>
                  <w14:solidFill>
                    <w14:schemeClr w14:val="tx1"/>
                  </w14:solidFill>
                </w14:textFill>
              </w:rPr>
              <w:t>⑤</w:t>
            </w:r>
            <w:r>
              <w:rPr>
                <w:rFonts w:ascii="Times New Roman" w:hAnsi="Times New Roman" w:eastAsia="宋体"/>
                <w:snapToGrid w:val="0"/>
                <w:color w:val="000000" w:themeColor="text1"/>
                <w:spacing w:val="-16"/>
                <w:kern w:val="21"/>
                <w:szCs w:val="21"/>
                <w:highlight w:val="none"/>
                <w14:textFill>
                  <w14:solidFill>
                    <w14:schemeClr w14:val="tx1"/>
                  </w14:solidFill>
                </w14:textFill>
              </w:rPr>
              <w:fldChar w:fldCharType="end"/>
            </w:r>
          </w:p>
        </w:tc>
        <w:tc>
          <w:tcPr>
            <w:tcW w:w="1562" w:type="dxa"/>
            <w:tcMar>
              <w:left w:w="28" w:type="dxa"/>
              <w:right w:w="28" w:type="dxa"/>
            </w:tcMar>
            <w:vAlign w:val="center"/>
          </w:tcPr>
          <w:p w14:paraId="2E3C04DD">
            <w:pPr>
              <w:pStyle w:val="49"/>
              <w:spacing w:beforeLines="0" w:afterLines="0" w:line="240" w:lineRule="auto"/>
              <w:rPr>
                <w:rFonts w:ascii="Times New Roman" w:hAnsi="Times New Roman" w:eastAsia="宋体"/>
                <w:snapToGrid w:val="0"/>
                <w:color w:val="000000" w:themeColor="text1"/>
                <w:spacing w:val="-16"/>
                <w:kern w:val="21"/>
                <w:szCs w:val="21"/>
                <w:highlight w:val="none"/>
                <w14:textFill>
                  <w14:solidFill>
                    <w14:schemeClr w14:val="tx1"/>
                  </w14:solidFill>
                </w14:textFill>
              </w:rPr>
            </w:pPr>
            <w:r>
              <w:rPr>
                <w:rFonts w:ascii="Times New Roman" w:hAnsi="Times New Roman" w:eastAsia="宋体"/>
                <w:snapToGrid w:val="0"/>
                <w:color w:val="000000" w:themeColor="text1"/>
                <w:spacing w:val="-16"/>
                <w:kern w:val="21"/>
                <w:szCs w:val="21"/>
                <w:highlight w:val="none"/>
                <w14:textFill>
                  <w14:solidFill>
                    <w14:schemeClr w14:val="tx1"/>
                  </w14:solidFill>
                </w14:textFill>
              </w:rPr>
              <w:t>本项目建成后</w:t>
            </w:r>
          </w:p>
          <w:p w14:paraId="216CA51A">
            <w:pPr>
              <w:pStyle w:val="49"/>
              <w:spacing w:beforeLines="0" w:afterLines="0" w:line="240" w:lineRule="auto"/>
              <w:rPr>
                <w:rFonts w:ascii="Times New Roman" w:hAnsi="Times New Roman" w:eastAsia="宋体"/>
                <w:snapToGrid w:val="0"/>
                <w:color w:val="000000" w:themeColor="text1"/>
                <w:spacing w:val="-16"/>
                <w:kern w:val="21"/>
                <w:szCs w:val="21"/>
                <w:highlight w:val="none"/>
                <w14:textFill>
                  <w14:solidFill>
                    <w14:schemeClr w14:val="tx1"/>
                  </w14:solidFill>
                </w14:textFill>
              </w:rPr>
            </w:pPr>
            <w:r>
              <w:rPr>
                <w:rFonts w:ascii="Times New Roman" w:hAnsi="Times New Roman" w:eastAsia="宋体"/>
                <w:snapToGrid w:val="0"/>
                <w:color w:val="000000" w:themeColor="text1"/>
                <w:spacing w:val="-16"/>
                <w:kern w:val="21"/>
                <w:szCs w:val="21"/>
                <w:highlight w:val="none"/>
                <w14:textFill>
                  <w14:solidFill>
                    <w14:schemeClr w14:val="tx1"/>
                  </w14:solidFill>
                </w14:textFill>
              </w:rPr>
              <w:t>全厂排放量（固体废物产生量）</w:t>
            </w:r>
            <w:r>
              <w:rPr>
                <w:rFonts w:ascii="Times New Roman" w:hAnsi="Times New Roman" w:eastAsia="宋体"/>
                <w:snapToGrid w:val="0"/>
                <w:color w:val="000000" w:themeColor="text1"/>
                <w:spacing w:val="-16"/>
                <w:kern w:val="21"/>
                <w:szCs w:val="21"/>
                <w:highlight w:val="none"/>
                <w14:textFill>
                  <w14:solidFill>
                    <w14:schemeClr w14:val="tx1"/>
                  </w14:solidFill>
                </w14:textFill>
              </w:rPr>
              <w:fldChar w:fldCharType="begin"/>
            </w:r>
            <w:r>
              <w:rPr>
                <w:rFonts w:ascii="Times New Roman" w:hAnsi="Times New Roman" w:eastAsia="宋体"/>
                <w:snapToGrid w:val="0"/>
                <w:color w:val="000000" w:themeColor="text1"/>
                <w:spacing w:val="-16"/>
                <w:kern w:val="21"/>
                <w:szCs w:val="21"/>
                <w:highlight w:val="none"/>
                <w14:textFill>
                  <w14:solidFill>
                    <w14:schemeClr w14:val="tx1"/>
                  </w14:solidFill>
                </w14:textFill>
              </w:rPr>
              <w:instrText xml:space="preserve"> = 6 \* GB3 \* MERGEFORMAT </w:instrText>
            </w:r>
            <w:r>
              <w:rPr>
                <w:rFonts w:ascii="Times New Roman" w:hAnsi="Times New Roman" w:eastAsia="宋体"/>
                <w:snapToGrid w:val="0"/>
                <w:color w:val="000000" w:themeColor="text1"/>
                <w:spacing w:val="-16"/>
                <w:kern w:val="21"/>
                <w:szCs w:val="21"/>
                <w:highlight w:val="none"/>
                <w14:textFill>
                  <w14:solidFill>
                    <w14:schemeClr w14:val="tx1"/>
                  </w14:solidFill>
                </w14:textFill>
              </w:rPr>
              <w:fldChar w:fldCharType="separate"/>
            </w:r>
            <w:r>
              <w:rPr>
                <w:rFonts w:ascii="Times New Roman" w:hAnsi="Times New Roman" w:eastAsia="宋体"/>
                <w:color w:val="000000" w:themeColor="text1"/>
                <w:kern w:val="2"/>
                <w:szCs w:val="21"/>
                <w:highlight w:val="none"/>
                <w14:textFill>
                  <w14:solidFill>
                    <w14:schemeClr w14:val="tx1"/>
                  </w14:solidFill>
                </w14:textFill>
              </w:rPr>
              <w:t>⑥</w:t>
            </w:r>
            <w:r>
              <w:rPr>
                <w:rFonts w:ascii="Times New Roman" w:hAnsi="Times New Roman" w:eastAsia="宋体"/>
                <w:snapToGrid w:val="0"/>
                <w:color w:val="000000" w:themeColor="text1"/>
                <w:spacing w:val="-16"/>
                <w:kern w:val="21"/>
                <w:szCs w:val="21"/>
                <w:highlight w:val="none"/>
                <w14:textFill>
                  <w14:solidFill>
                    <w14:schemeClr w14:val="tx1"/>
                  </w14:solidFill>
                </w14:textFill>
              </w:rPr>
              <w:fldChar w:fldCharType="end"/>
            </w:r>
          </w:p>
        </w:tc>
        <w:tc>
          <w:tcPr>
            <w:tcW w:w="1337" w:type="dxa"/>
            <w:tcMar>
              <w:left w:w="28" w:type="dxa"/>
              <w:right w:w="28" w:type="dxa"/>
            </w:tcMar>
            <w:vAlign w:val="center"/>
          </w:tcPr>
          <w:p w14:paraId="62988713">
            <w:pPr>
              <w:pStyle w:val="49"/>
              <w:spacing w:beforeLines="0" w:afterLines="0" w:line="240" w:lineRule="auto"/>
              <w:rPr>
                <w:rFonts w:ascii="Times New Roman" w:hAnsi="Times New Roman" w:eastAsia="宋体"/>
                <w:snapToGrid w:val="0"/>
                <w:color w:val="000000" w:themeColor="text1"/>
                <w:spacing w:val="-6"/>
                <w:kern w:val="21"/>
                <w:szCs w:val="21"/>
                <w:highlight w:val="none"/>
                <w14:textFill>
                  <w14:solidFill>
                    <w14:schemeClr w14:val="tx1"/>
                  </w14:solidFill>
                </w14:textFill>
              </w:rPr>
            </w:pPr>
            <w:r>
              <w:rPr>
                <w:rFonts w:ascii="Times New Roman" w:hAnsi="Times New Roman" w:eastAsia="宋体"/>
                <w:snapToGrid w:val="0"/>
                <w:color w:val="000000" w:themeColor="text1"/>
                <w:spacing w:val="-6"/>
                <w:kern w:val="21"/>
                <w:szCs w:val="21"/>
                <w:highlight w:val="none"/>
                <w14:textFill>
                  <w14:solidFill>
                    <w14:schemeClr w14:val="tx1"/>
                  </w14:solidFill>
                </w14:textFill>
              </w:rPr>
              <w:t>变化量</w:t>
            </w:r>
          </w:p>
          <w:p w14:paraId="055BA241">
            <w:pPr>
              <w:pStyle w:val="49"/>
              <w:spacing w:beforeLines="0" w:afterLines="0" w:line="240" w:lineRule="auto"/>
              <w:rPr>
                <w:rFonts w:ascii="Times New Roman" w:hAnsi="Times New Roman" w:eastAsia="宋体"/>
                <w:snapToGrid w:val="0"/>
                <w:color w:val="000000" w:themeColor="text1"/>
                <w:spacing w:val="-6"/>
                <w:kern w:val="21"/>
                <w:szCs w:val="21"/>
                <w:highlight w:val="none"/>
                <w14:textFill>
                  <w14:solidFill>
                    <w14:schemeClr w14:val="tx1"/>
                  </w14:solidFill>
                </w14:textFill>
              </w:rPr>
            </w:pP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begin"/>
            </w:r>
            <w:r>
              <w:rPr>
                <w:rFonts w:ascii="Times New Roman" w:hAnsi="Times New Roman" w:eastAsia="宋体"/>
                <w:snapToGrid w:val="0"/>
                <w:color w:val="000000" w:themeColor="text1"/>
                <w:spacing w:val="-6"/>
                <w:kern w:val="21"/>
                <w:szCs w:val="21"/>
                <w:highlight w:val="none"/>
                <w14:textFill>
                  <w14:solidFill>
                    <w14:schemeClr w14:val="tx1"/>
                  </w14:solidFill>
                </w14:textFill>
              </w:rPr>
              <w:instrText xml:space="preserve"> = 7 \* GB3 \* MERGEFORMAT </w:instrTex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separate"/>
            </w:r>
            <w:r>
              <w:rPr>
                <w:rFonts w:ascii="Times New Roman" w:hAnsi="Times New Roman" w:eastAsia="宋体"/>
                <w:color w:val="000000" w:themeColor="text1"/>
                <w:kern w:val="2"/>
                <w:szCs w:val="21"/>
                <w:highlight w:val="none"/>
                <w14:textFill>
                  <w14:solidFill>
                    <w14:schemeClr w14:val="tx1"/>
                  </w14:solidFill>
                </w14:textFill>
              </w:rPr>
              <w:t>⑦</w: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end"/>
            </w:r>
          </w:p>
        </w:tc>
      </w:tr>
      <w:tr w14:paraId="6DCE5F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exact"/>
        </w:trPr>
        <w:tc>
          <w:tcPr>
            <w:tcW w:w="812" w:type="dxa"/>
            <w:vMerge w:val="restart"/>
            <w:vAlign w:val="center"/>
          </w:tcPr>
          <w:p w14:paraId="607A7C89">
            <w:pPr>
              <w:pStyle w:val="49"/>
              <w:spacing w:beforeLines="0" w:afterLines="0" w:line="240" w:lineRule="auto"/>
              <w:rPr>
                <w:rFonts w:ascii="Times New Roman" w:hAnsi="Times New Roman" w:eastAsia="宋体"/>
                <w:snapToGrid w:val="0"/>
                <w:color w:val="000000" w:themeColor="text1"/>
                <w:kern w:val="21"/>
                <w:szCs w:val="21"/>
                <w:highlight w:val="none"/>
                <w14:textFill>
                  <w14:solidFill>
                    <w14:schemeClr w14:val="tx1"/>
                  </w14:solidFill>
                </w14:textFill>
              </w:rPr>
            </w:pPr>
            <w:r>
              <w:rPr>
                <w:rFonts w:ascii="Times New Roman" w:hAnsi="Times New Roman" w:eastAsia="宋体"/>
                <w:snapToGrid w:val="0"/>
                <w:color w:val="000000" w:themeColor="text1"/>
                <w:kern w:val="21"/>
                <w:szCs w:val="21"/>
                <w:highlight w:val="none"/>
                <w14:textFill>
                  <w14:solidFill>
                    <w14:schemeClr w14:val="tx1"/>
                  </w14:solidFill>
                </w14:textFill>
              </w:rPr>
              <w:t>废气</w:t>
            </w:r>
          </w:p>
        </w:tc>
        <w:tc>
          <w:tcPr>
            <w:tcW w:w="2850" w:type="dxa"/>
            <w:shd w:val="clear" w:color="auto" w:fill="auto"/>
            <w:vAlign w:val="center"/>
          </w:tcPr>
          <w:p w14:paraId="14F102F2">
            <w:pPr>
              <w:pStyle w:val="96"/>
              <w:spacing w:line="240" w:lineRule="auto"/>
              <w:jc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SO</w:t>
            </w:r>
            <w:r>
              <w:rPr>
                <w:rFonts w:hint="eastAsia"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2</w:t>
            </w:r>
          </w:p>
        </w:tc>
        <w:tc>
          <w:tcPr>
            <w:tcW w:w="1554" w:type="dxa"/>
            <w:vAlign w:val="center"/>
          </w:tcPr>
          <w:p w14:paraId="2E7D6E91">
            <w:pPr>
              <w:widowControl/>
              <w:jc w:val="center"/>
              <w:textAlignment w:val="bottom"/>
              <w:rPr>
                <w:rFonts w:hint="default" w:ascii="Times New Roman" w:hAnsi="Times New Roman" w:eastAsia="宋体"/>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eastAsia="宋体"/>
                <w:snapToGrid w:val="0"/>
                <w:color w:val="000000" w:themeColor="text1"/>
                <w:kern w:val="21"/>
                <w:szCs w:val="21"/>
                <w:highlight w:val="none"/>
                <w:lang w:val="en-US" w:eastAsia="zh-CN"/>
                <w14:textFill>
                  <w14:solidFill>
                    <w14:schemeClr w14:val="tx1"/>
                  </w14:solidFill>
                </w14:textFill>
              </w:rPr>
              <w:t>0.30</w:t>
            </w:r>
          </w:p>
        </w:tc>
        <w:tc>
          <w:tcPr>
            <w:tcW w:w="1255" w:type="dxa"/>
            <w:vAlign w:val="center"/>
          </w:tcPr>
          <w:p w14:paraId="4F958EB0">
            <w:pPr>
              <w:widowControl/>
              <w:jc w:val="center"/>
              <w:textAlignment w:val="bottom"/>
              <w:rPr>
                <w:rFonts w:hint="default" w:ascii="Times New Roman" w:hAnsi="Times New Roman" w:eastAsia="宋体"/>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eastAsia="宋体"/>
                <w:snapToGrid w:val="0"/>
                <w:color w:val="000000" w:themeColor="text1"/>
                <w:kern w:val="21"/>
                <w:szCs w:val="21"/>
                <w:highlight w:val="none"/>
                <w:lang w:val="en-US" w:eastAsia="zh-CN"/>
                <w14:textFill>
                  <w14:solidFill>
                    <w14:schemeClr w14:val="tx1"/>
                  </w14:solidFill>
                </w14:textFill>
              </w:rPr>
              <w:t>0.30</w:t>
            </w:r>
          </w:p>
        </w:tc>
        <w:tc>
          <w:tcPr>
            <w:tcW w:w="1486" w:type="dxa"/>
            <w:vAlign w:val="center"/>
          </w:tcPr>
          <w:p w14:paraId="67B58B6D">
            <w:pPr>
              <w:widowControl/>
              <w:jc w:val="center"/>
              <w:textAlignment w:val="bottom"/>
              <w:rPr>
                <w:rFonts w:hint="eastAsia" w:ascii="Times New Roman" w:hAnsi="Times New Roman" w:eastAsia="宋体"/>
                <w:snapToGrid w:val="0"/>
                <w:color w:val="000000" w:themeColor="text1"/>
                <w:kern w:val="21"/>
                <w:szCs w:val="21"/>
                <w:highlight w:val="none"/>
                <w:lang w:eastAsia="zh-CN"/>
                <w14:textFill>
                  <w14:solidFill>
                    <w14:schemeClr w14:val="tx1"/>
                  </w14:solidFill>
                </w14:textFill>
              </w:rPr>
            </w:pPr>
            <w:r>
              <w:rPr>
                <w:rFonts w:ascii="Times New Roman" w:hAnsi="Times New Roman" w:eastAsia="宋体"/>
                <w:color w:val="000000" w:themeColor="text1"/>
                <w:kern w:val="0"/>
                <w:szCs w:val="21"/>
                <w:highlight w:val="none"/>
                <w:lang w:bidi="ar"/>
                <w14:textFill>
                  <w14:solidFill>
                    <w14:schemeClr w14:val="tx1"/>
                  </w14:solidFill>
                </w14:textFill>
              </w:rPr>
              <w:t>/</w:t>
            </w:r>
          </w:p>
        </w:tc>
        <w:tc>
          <w:tcPr>
            <w:tcW w:w="1514" w:type="dxa"/>
            <w:vAlign w:val="center"/>
          </w:tcPr>
          <w:p w14:paraId="2AD351FA">
            <w:pPr>
              <w:keepNext w:val="0"/>
              <w:keepLines w:val="0"/>
              <w:widowControl/>
              <w:suppressLineNumbers w:val="0"/>
              <w:jc w:val="center"/>
              <w:textAlignment w:val="center"/>
              <w:rPr>
                <w:rFonts w:hint="default" w:ascii="Times New Roman" w:hAnsi="Times New Roman" w:eastAsia="宋体"/>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eastAsia="宋体"/>
                <w:snapToGrid w:val="0"/>
                <w:color w:val="000000" w:themeColor="text1"/>
                <w:kern w:val="21"/>
                <w:szCs w:val="21"/>
                <w:highlight w:val="none"/>
                <w:lang w:val="en-US" w:eastAsia="zh-CN"/>
                <w14:textFill>
                  <w14:solidFill>
                    <w14:schemeClr w14:val="tx1"/>
                  </w14:solidFill>
                </w14:textFill>
              </w:rPr>
              <w:t>0.47</w:t>
            </w:r>
          </w:p>
        </w:tc>
        <w:tc>
          <w:tcPr>
            <w:tcW w:w="1418" w:type="dxa"/>
            <w:vAlign w:val="center"/>
          </w:tcPr>
          <w:p w14:paraId="11B75E3B">
            <w:pPr>
              <w:widowControl/>
              <w:jc w:val="center"/>
              <w:textAlignment w:val="bottom"/>
              <w:rPr>
                <w:rFonts w:ascii="Times New Roman" w:hAnsi="Times New Roman" w:eastAsia="宋体"/>
                <w:snapToGrid w:val="0"/>
                <w:color w:val="000000" w:themeColor="text1"/>
                <w:kern w:val="21"/>
                <w:szCs w:val="21"/>
                <w:highlight w:val="none"/>
                <w14:textFill>
                  <w14:solidFill>
                    <w14:schemeClr w14:val="tx1"/>
                  </w14:solidFill>
                </w14:textFill>
              </w:rPr>
            </w:pPr>
            <w:r>
              <w:rPr>
                <w:rFonts w:hint="eastAsia" w:ascii="Times New Roman" w:hAnsi="Times New Roman" w:eastAsia="宋体"/>
                <w:color w:val="000000" w:themeColor="text1"/>
                <w:kern w:val="0"/>
                <w:szCs w:val="21"/>
                <w:highlight w:val="none"/>
                <w:lang w:val="en-US" w:eastAsia="zh-CN" w:bidi="ar"/>
                <w14:textFill>
                  <w14:solidFill>
                    <w14:schemeClr w14:val="tx1"/>
                  </w14:solidFill>
                </w14:textFill>
              </w:rPr>
              <w:t>/</w:t>
            </w:r>
          </w:p>
        </w:tc>
        <w:tc>
          <w:tcPr>
            <w:tcW w:w="1562" w:type="dxa"/>
            <w:shd w:val="clear" w:color="auto" w:fill="auto"/>
            <w:vAlign w:val="center"/>
          </w:tcPr>
          <w:p w14:paraId="799E8F35">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t>0.77</w:t>
            </w:r>
          </w:p>
        </w:tc>
        <w:tc>
          <w:tcPr>
            <w:tcW w:w="1337" w:type="dxa"/>
            <w:shd w:val="clear" w:color="auto" w:fill="auto"/>
            <w:vAlign w:val="center"/>
          </w:tcPr>
          <w:p w14:paraId="222F0C3F">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hAnsi="Times New Roman" w:eastAsia="宋体"/>
                <w:snapToGrid w:val="0"/>
                <w:color w:val="000000" w:themeColor="text1"/>
                <w:kern w:val="21"/>
                <w:szCs w:val="21"/>
                <w:highlight w:val="none"/>
                <w:lang w:val="en-US" w:eastAsia="zh-CN"/>
                <w14:textFill>
                  <w14:solidFill>
                    <w14:schemeClr w14:val="tx1"/>
                  </w14:solidFill>
                </w14:textFill>
              </w:rPr>
              <w:t>+0.47</w:t>
            </w:r>
          </w:p>
        </w:tc>
      </w:tr>
      <w:tr w14:paraId="4B777B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3" w:hRule="exact"/>
        </w:trPr>
        <w:tc>
          <w:tcPr>
            <w:tcW w:w="812" w:type="dxa"/>
            <w:vMerge w:val="continue"/>
            <w:vAlign w:val="center"/>
          </w:tcPr>
          <w:p w14:paraId="7C1358A5">
            <w:pPr>
              <w:pStyle w:val="49"/>
              <w:spacing w:beforeLines="0" w:afterLines="0" w:line="240" w:lineRule="auto"/>
              <w:rPr>
                <w:rFonts w:ascii="Times New Roman" w:hAnsi="Times New Roman" w:eastAsia="宋体"/>
                <w:snapToGrid w:val="0"/>
                <w:color w:val="000000" w:themeColor="text1"/>
                <w:kern w:val="21"/>
                <w:szCs w:val="21"/>
                <w:highlight w:val="none"/>
                <w14:textFill>
                  <w14:solidFill>
                    <w14:schemeClr w14:val="tx1"/>
                  </w14:solidFill>
                </w14:textFill>
              </w:rPr>
            </w:pPr>
          </w:p>
        </w:tc>
        <w:tc>
          <w:tcPr>
            <w:tcW w:w="2850" w:type="dxa"/>
            <w:shd w:val="clear" w:color="auto" w:fill="auto"/>
            <w:vAlign w:val="center"/>
          </w:tcPr>
          <w:p w14:paraId="1E0A2961">
            <w:pPr>
              <w:pStyle w:val="96"/>
              <w:spacing w:line="240" w:lineRule="auto"/>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NOx</w:t>
            </w:r>
          </w:p>
        </w:tc>
        <w:tc>
          <w:tcPr>
            <w:tcW w:w="1554" w:type="dxa"/>
            <w:vAlign w:val="center"/>
          </w:tcPr>
          <w:p w14:paraId="2A95EF1C">
            <w:pPr>
              <w:widowControl/>
              <w:jc w:val="center"/>
              <w:textAlignment w:val="bottom"/>
              <w:rPr>
                <w:rFonts w:ascii="Times New Roman" w:hAnsi="Times New Roman" w:eastAsia="宋体"/>
                <w:snapToGrid w:val="0"/>
                <w:color w:val="000000" w:themeColor="text1"/>
                <w:kern w:val="21"/>
                <w:szCs w:val="21"/>
                <w:highlight w:val="none"/>
                <w14:textFill>
                  <w14:solidFill>
                    <w14:schemeClr w14:val="tx1"/>
                  </w14:solidFill>
                </w14:textFill>
              </w:rPr>
            </w:pPr>
            <w:r>
              <w:rPr>
                <w:rFonts w:hint="default" w:ascii="Times New Roman" w:hAnsi="Times New Roman" w:eastAsia="宋体" w:cs="Times New Roman"/>
                <w:color w:val="000000"/>
                <w:kern w:val="2"/>
                <w:sz w:val="21"/>
                <w:szCs w:val="21"/>
                <w:lang w:val="en-US" w:eastAsia="zh-CN" w:bidi="ar-SA"/>
              </w:rPr>
              <w:t>2.80</w:t>
            </w:r>
            <w:r>
              <w:rPr>
                <w:rFonts w:hint="eastAsia" w:ascii="Times New Roman" w:hAnsi="Times New Roman" w:eastAsia="宋体" w:cs="Times New Roman"/>
                <w:color w:val="000000"/>
                <w:kern w:val="2"/>
                <w:sz w:val="21"/>
                <w:szCs w:val="21"/>
                <w:lang w:val="en-US" w:eastAsia="zh-CN" w:bidi="ar-SA"/>
              </w:rPr>
              <w:t>7</w:t>
            </w:r>
          </w:p>
        </w:tc>
        <w:tc>
          <w:tcPr>
            <w:tcW w:w="1255" w:type="dxa"/>
            <w:vAlign w:val="center"/>
          </w:tcPr>
          <w:p w14:paraId="40997066">
            <w:pPr>
              <w:widowControl/>
              <w:jc w:val="center"/>
              <w:textAlignment w:val="bottom"/>
              <w:rPr>
                <w:rFonts w:ascii="Times New Roman" w:hAnsi="Times New Roman" w:eastAsia="宋体"/>
                <w:snapToGrid w:val="0"/>
                <w:color w:val="000000" w:themeColor="text1"/>
                <w:kern w:val="21"/>
                <w:szCs w:val="21"/>
                <w:highlight w:val="none"/>
                <w14:textFill>
                  <w14:solidFill>
                    <w14:schemeClr w14:val="tx1"/>
                  </w14:solidFill>
                </w14:textFill>
              </w:rPr>
            </w:pPr>
            <w:r>
              <w:rPr>
                <w:rFonts w:hint="default" w:ascii="Times New Roman" w:hAnsi="Times New Roman" w:eastAsia="宋体" w:cs="Times New Roman"/>
                <w:color w:val="000000"/>
                <w:kern w:val="2"/>
                <w:sz w:val="21"/>
                <w:szCs w:val="21"/>
                <w:lang w:val="en-US" w:eastAsia="zh-CN" w:bidi="ar-SA"/>
              </w:rPr>
              <w:t>2.80</w:t>
            </w:r>
            <w:r>
              <w:rPr>
                <w:rFonts w:hint="eastAsia" w:ascii="Times New Roman" w:hAnsi="Times New Roman" w:eastAsia="宋体" w:cs="Times New Roman"/>
                <w:color w:val="000000"/>
                <w:kern w:val="2"/>
                <w:sz w:val="21"/>
                <w:szCs w:val="21"/>
                <w:lang w:val="en-US" w:eastAsia="zh-CN" w:bidi="ar-SA"/>
              </w:rPr>
              <w:t>7</w:t>
            </w:r>
          </w:p>
        </w:tc>
        <w:tc>
          <w:tcPr>
            <w:tcW w:w="1486" w:type="dxa"/>
            <w:vAlign w:val="center"/>
          </w:tcPr>
          <w:p w14:paraId="22DD3A24">
            <w:pPr>
              <w:widowControl/>
              <w:jc w:val="center"/>
              <w:textAlignment w:val="bottom"/>
              <w:rPr>
                <w:rFonts w:hint="eastAsia" w:ascii="Times New Roman" w:hAnsi="Times New Roman" w:eastAsia="宋体"/>
                <w:snapToGrid w:val="0"/>
                <w:color w:val="000000" w:themeColor="text1"/>
                <w:kern w:val="21"/>
                <w:szCs w:val="21"/>
                <w:highlight w:val="none"/>
                <w:lang w:eastAsia="zh-CN"/>
                <w14:textFill>
                  <w14:solidFill>
                    <w14:schemeClr w14:val="tx1"/>
                  </w14:solidFill>
                </w14:textFill>
              </w:rPr>
            </w:pPr>
            <w:r>
              <w:rPr>
                <w:rFonts w:ascii="Times New Roman" w:hAnsi="Times New Roman" w:eastAsia="宋体"/>
                <w:color w:val="000000" w:themeColor="text1"/>
                <w:kern w:val="0"/>
                <w:szCs w:val="21"/>
                <w:highlight w:val="none"/>
                <w:lang w:bidi="ar"/>
                <w14:textFill>
                  <w14:solidFill>
                    <w14:schemeClr w14:val="tx1"/>
                  </w14:solidFill>
                </w14:textFill>
              </w:rPr>
              <w:t>/</w:t>
            </w:r>
          </w:p>
        </w:tc>
        <w:tc>
          <w:tcPr>
            <w:tcW w:w="1514" w:type="dxa"/>
            <w:vAlign w:val="center"/>
          </w:tcPr>
          <w:p w14:paraId="13AD1D25">
            <w:pPr>
              <w:keepNext w:val="0"/>
              <w:keepLines w:val="0"/>
              <w:widowControl/>
              <w:suppressLineNumbers w:val="0"/>
              <w:jc w:val="center"/>
              <w:textAlignment w:val="center"/>
              <w:rPr>
                <w:rFonts w:hint="default" w:ascii="Times New Roman" w:hAnsi="Times New Roman" w:eastAsia="宋体"/>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eastAsia="宋体"/>
                <w:snapToGrid w:val="0"/>
                <w:color w:val="000000" w:themeColor="text1"/>
                <w:kern w:val="21"/>
                <w:szCs w:val="21"/>
                <w:highlight w:val="none"/>
                <w:lang w:val="en-US" w:eastAsia="zh-CN"/>
                <w14:textFill>
                  <w14:solidFill>
                    <w14:schemeClr w14:val="tx1"/>
                  </w14:solidFill>
                </w14:textFill>
              </w:rPr>
              <w:t>0.658</w:t>
            </w:r>
          </w:p>
        </w:tc>
        <w:tc>
          <w:tcPr>
            <w:tcW w:w="1418" w:type="dxa"/>
            <w:vAlign w:val="center"/>
          </w:tcPr>
          <w:p w14:paraId="2C5A9D1A">
            <w:pPr>
              <w:widowControl/>
              <w:jc w:val="center"/>
              <w:textAlignment w:val="bottom"/>
              <w:rPr>
                <w:rFonts w:ascii="Times New Roman" w:hAnsi="Times New Roman" w:eastAsia="宋体"/>
                <w:snapToGrid w:val="0"/>
                <w:color w:val="000000" w:themeColor="text1"/>
                <w:kern w:val="21"/>
                <w:szCs w:val="21"/>
                <w:highlight w:val="none"/>
                <w14:textFill>
                  <w14:solidFill>
                    <w14:schemeClr w14:val="tx1"/>
                  </w14:solidFill>
                </w14:textFill>
              </w:rPr>
            </w:pPr>
            <w:r>
              <w:rPr>
                <w:rFonts w:ascii="Times New Roman" w:hAnsi="Times New Roman" w:eastAsia="宋体"/>
                <w:color w:val="000000" w:themeColor="text1"/>
                <w:kern w:val="0"/>
                <w:szCs w:val="21"/>
                <w:highlight w:val="none"/>
                <w:lang w:bidi="ar"/>
                <w14:textFill>
                  <w14:solidFill>
                    <w14:schemeClr w14:val="tx1"/>
                  </w14:solidFill>
                </w14:textFill>
              </w:rPr>
              <w:t>/</w:t>
            </w:r>
          </w:p>
        </w:tc>
        <w:tc>
          <w:tcPr>
            <w:tcW w:w="1562" w:type="dxa"/>
            <w:shd w:val="clear" w:color="auto" w:fill="auto"/>
            <w:vAlign w:val="center"/>
          </w:tcPr>
          <w:p w14:paraId="0A4384B8">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t>3.465</w:t>
            </w:r>
          </w:p>
        </w:tc>
        <w:tc>
          <w:tcPr>
            <w:tcW w:w="1337" w:type="dxa"/>
            <w:shd w:val="clear" w:color="auto" w:fill="auto"/>
            <w:vAlign w:val="center"/>
          </w:tcPr>
          <w:p w14:paraId="4138F7F7">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hAnsi="Times New Roman" w:eastAsia="宋体"/>
                <w:snapToGrid w:val="0"/>
                <w:color w:val="000000" w:themeColor="text1"/>
                <w:kern w:val="21"/>
                <w:szCs w:val="21"/>
                <w:highlight w:val="none"/>
                <w:lang w:val="en-US" w:eastAsia="zh-CN"/>
                <w14:textFill>
                  <w14:solidFill>
                    <w14:schemeClr w14:val="tx1"/>
                  </w14:solidFill>
                </w14:textFill>
              </w:rPr>
              <w:t>+0.658</w:t>
            </w:r>
          </w:p>
        </w:tc>
      </w:tr>
      <w:tr w14:paraId="3D64C8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3" w:hRule="exact"/>
        </w:trPr>
        <w:tc>
          <w:tcPr>
            <w:tcW w:w="812" w:type="dxa"/>
            <w:vMerge w:val="continue"/>
            <w:vAlign w:val="center"/>
          </w:tcPr>
          <w:p w14:paraId="4F7BB84A">
            <w:pPr>
              <w:pStyle w:val="49"/>
              <w:spacing w:beforeLines="0" w:afterLines="0" w:line="240" w:lineRule="auto"/>
              <w:rPr>
                <w:rFonts w:ascii="Times New Roman" w:hAnsi="Times New Roman" w:eastAsia="宋体"/>
                <w:snapToGrid w:val="0"/>
                <w:color w:val="000000" w:themeColor="text1"/>
                <w:kern w:val="21"/>
                <w:szCs w:val="21"/>
                <w:highlight w:val="none"/>
                <w14:textFill>
                  <w14:solidFill>
                    <w14:schemeClr w14:val="tx1"/>
                  </w14:solidFill>
                </w14:textFill>
              </w:rPr>
            </w:pPr>
          </w:p>
        </w:tc>
        <w:tc>
          <w:tcPr>
            <w:tcW w:w="2850" w:type="dxa"/>
            <w:vAlign w:val="center"/>
          </w:tcPr>
          <w:p w14:paraId="6B75D2D6">
            <w:pPr>
              <w:widowControl/>
              <w:jc w:val="center"/>
              <w:textAlignment w:val="center"/>
              <w:rPr>
                <w:rFonts w:hint="eastAsia" w:ascii="Times New Roman" w:hAnsi="Times New Roman" w:eastAsia="宋体" w:cs="宋体"/>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宋体"/>
                <w:color w:val="000000" w:themeColor="text1"/>
                <w:kern w:val="0"/>
                <w:szCs w:val="21"/>
                <w:highlight w:val="none"/>
                <w:lang w:val="en-US" w:eastAsia="zh-CN" w:bidi="ar"/>
                <w14:textFill>
                  <w14:solidFill>
                    <w14:schemeClr w14:val="tx1"/>
                  </w14:solidFill>
                </w14:textFill>
              </w:rPr>
              <w:t>烟尘（</w:t>
            </w:r>
            <w:r>
              <w:rPr>
                <w:rFonts w:hint="eastAsia" w:ascii="Times New Roman" w:hAnsi="Times New Roman" w:eastAsia="宋体" w:cs="宋体"/>
                <w:color w:val="000000" w:themeColor="text1"/>
                <w:kern w:val="0"/>
                <w:szCs w:val="21"/>
                <w:highlight w:val="none"/>
                <w:lang w:bidi="ar"/>
                <w14:textFill>
                  <w14:solidFill>
                    <w14:schemeClr w14:val="tx1"/>
                  </w14:solidFill>
                </w14:textFill>
              </w:rPr>
              <w:t>颗粒物</w:t>
            </w:r>
            <w:r>
              <w:rPr>
                <w:rFonts w:hint="eastAsia" w:ascii="Times New Roman" w:hAnsi="Times New Roman" w:eastAsia="宋体" w:cs="宋体"/>
                <w:color w:val="000000" w:themeColor="text1"/>
                <w:kern w:val="0"/>
                <w:szCs w:val="21"/>
                <w:highlight w:val="none"/>
                <w:lang w:eastAsia="zh-CN" w:bidi="ar"/>
                <w14:textFill>
                  <w14:solidFill>
                    <w14:schemeClr w14:val="tx1"/>
                  </w14:solidFill>
                </w14:textFill>
              </w:rPr>
              <w:t>）</w:t>
            </w:r>
          </w:p>
        </w:tc>
        <w:tc>
          <w:tcPr>
            <w:tcW w:w="1554" w:type="dxa"/>
            <w:vAlign w:val="center"/>
          </w:tcPr>
          <w:p w14:paraId="3A029532">
            <w:pPr>
              <w:widowControl/>
              <w:jc w:val="center"/>
              <w:textAlignment w:val="bottom"/>
              <w:rPr>
                <w:rFonts w:ascii="Times New Roman" w:hAnsi="Times New Roman" w:eastAsia="宋体"/>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color w:val="000000"/>
                <w:kern w:val="2"/>
                <w:sz w:val="21"/>
                <w:szCs w:val="21"/>
                <w:lang w:val="en-US" w:eastAsia="zh-CN" w:bidi="ar-SA"/>
              </w:rPr>
              <w:t>0.429</w:t>
            </w:r>
          </w:p>
        </w:tc>
        <w:tc>
          <w:tcPr>
            <w:tcW w:w="1255" w:type="dxa"/>
            <w:vAlign w:val="center"/>
          </w:tcPr>
          <w:p w14:paraId="25784600">
            <w:pPr>
              <w:widowControl/>
              <w:jc w:val="center"/>
              <w:textAlignment w:val="bottom"/>
              <w:rPr>
                <w:rFonts w:ascii="Times New Roman" w:hAnsi="Times New Roman" w:eastAsia="宋体"/>
                <w:color w:val="000000" w:themeColor="text1"/>
                <w:kern w:val="0"/>
                <w:szCs w:val="21"/>
                <w:highlight w:val="none"/>
                <w:lang w:bidi="ar"/>
                <w14:textFill>
                  <w14:solidFill>
                    <w14:schemeClr w14:val="tx1"/>
                  </w14:solidFill>
                </w14:textFill>
              </w:rPr>
            </w:pPr>
            <w:r>
              <w:rPr>
                <w:rFonts w:ascii="Times New Roman" w:hAnsi="Times New Roman" w:eastAsia="宋体"/>
                <w:snapToGrid w:val="0"/>
                <w:color w:val="000000" w:themeColor="text1"/>
                <w:kern w:val="21"/>
                <w:szCs w:val="21"/>
                <w:highlight w:val="none"/>
                <w14:textFill>
                  <w14:solidFill>
                    <w14:schemeClr w14:val="tx1"/>
                  </w14:solidFill>
                </w14:textFill>
              </w:rPr>
              <w:t>/</w:t>
            </w:r>
          </w:p>
        </w:tc>
        <w:tc>
          <w:tcPr>
            <w:tcW w:w="1486" w:type="dxa"/>
            <w:shd w:val="clear" w:color="auto" w:fill="auto"/>
            <w:vAlign w:val="center"/>
          </w:tcPr>
          <w:p w14:paraId="2EEC5B6A">
            <w:pPr>
              <w:widowControl/>
              <w:jc w:val="center"/>
              <w:textAlignment w:val="bottom"/>
              <w:rPr>
                <w:rFonts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kern w:val="0"/>
                <w:szCs w:val="21"/>
                <w:highlight w:val="none"/>
                <w:lang w:bidi="ar"/>
                <w14:textFill>
                  <w14:solidFill>
                    <w14:schemeClr w14:val="tx1"/>
                  </w14:solidFill>
                </w14:textFill>
              </w:rPr>
              <w:t>/</w:t>
            </w:r>
          </w:p>
        </w:tc>
        <w:tc>
          <w:tcPr>
            <w:tcW w:w="1514" w:type="dxa"/>
            <w:vAlign w:val="center"/>
          </w:tcPr>
          <w:p w14:paraId="250B5F3E">
            <w:pPr>
              <w:keepNext w:val="0"/>
              <w:keepLines w:val="0"/>
              <w:widowControl/>
              <w:suppressLineNumbers w:val="0"/>
              <w:jc w:val="center"/>
              <w:textAlignment w:val="center"/>
              <w:rPr>
                <w:rFonts w:hint="default" w:ascii="Times New Roman" w:hAnsi="Times New Roman" w:eastAsia="宋体"/>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eastAsia="宋体"/>
                <w:snapToGrid w:val="0"/>
                <w:color w:val="000000" w:themeColor="text1"/>
                <w:kern w:val="21"/>
                <w:szCs w:val="21"/>
                <w:highlight w:val="none"/>
                <w:lang w:val="en-US" w:eastAsia="zh-CN"/>
                <w14:textFill>
                  <w14:solidFill>
                    <w14:schemeClr w14:val="tx1"/>
                  </w14:solidFill>
                </w14:textFill>
              </w:rPr>
              <w:t>0.0023</w:t>
            </w:r>
          </w:p>
        </w:tc>
        <w:tc>
          <w:tcPr>
            <w:tcW w:w="1418" w:type="dxa"/>
            <w:shd w:val="clear" w:color="auto" w:fill="auto"/>
            <w:vAlign w:val="center"/>
          </w:tcPr>
          <w:p w14:paraId="0A6833CE">
            <w:pPr>
              <w:widowControl/>
              <w:jc w:val="center"/>
              <w:textAlignment w:val="bottom"/>
              <w:rPr>
                <w:rFonts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kern w:val="0"/>
                <w:szCs w:val="21"/>
                <w:highlight w:val="none"/>
                <w:lang w:val="en-US" w:eastAsia="zh-CN" w:bidi="ar"/>
                <w14:textFill>
                  <w14:solidFill>
                    <w14:schemeClr w14:val="tx1"/>
                  </w14:solidFill>
                </w14:textFill>
              </w:rPr>
              <w:t>/</w:t>
            </w:r>
          </w:p>
        </w:tc>
        <w:tc>
          <w:tcPr>
            <w:tcW w:w="1562" w:type="dxa"/>
            <w:shd w:val="clear" w:color="auto" w:fill="auto"/>
            <w:vAlign w:val="center"/>
          </w:tcPr>
          <w:p w14:paraId="59A12960">
            <w:pPr>
              <w:keepNext w:val="0"/>
              <w:keepLines w:val="0"/>
              <w:widowControl/>
              <w:suppressLineNumbers w:val="0"/>
              <w:jc w:val="center"/>
              <w:textAlignment w:val="center"/>
              <w:rPr>
                <w:rFonts w:hint="default" w:ascii="Times New Roman" w:hAnsi="Times New Roman" w:eastAsia="宋体"/>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eastAsia="宋体"/>
                <w:snapToGrid w:val="0"/>
                <w:color w:val="000000" w:themeColor="text1"/>
                <w:kern w:val="21"/>
                <w:szCs w:val="21"/>
                <w:highlight w:val="none"/>
                <w:lang w:val="en-US" w:eastAsia="zh-CN"/>
                <w14:textFill>
                  <w14:solidFill>
                    <w14:schemeClr w14:val="tx1"/>
                  </w14:solidFill>
                </w14:textFill>
              </w:rPr>
              <w:t>0.4313</w:t>
            </w:r>
          </w:p>
        </w:tc>
        <w:tc>
          <w:tcPr>
            <w:tcW w:w="1337" w:type="dxa"/>
            <w:shd w:val="clear" w:color="auto" w:fill="auto"/>
            <w:vAlign w:val="center"/>
          </w:tcPr>
          <w:p w14:paraId="2E441021">
            <w:pPr>
              <w:keepNext w:val="0"/>
              <w:keepLines w:val="0"/>
              <w:widowControl/>
              <w:suppressLineNumbers w:val="0"/>
              <w:jc w:val="center"/>
              <w:textAlignment w:val="center"/>
              <w:rPr>
                <w:rFonts w:hint="eastAsia" w:ascii="Times New Roman" w:hAnsi="Times New Roman" w:eastAsia="宋体"/>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eastAsia="宋体"/>
                <w:snapToGrid w:val="0"/>
                <w:color w:val="000000" w:themeColor="text1"/>
                <w:kern w:val="21"/>
                <w:szCs w:val="21"/>
                <w:highlight w:val="none"/>
                <w:lang w:val="en-US" w:eastAsia="zh-CN"/>
                <w14:textFill>
                  <w14:solidFill>
                    <w14:schemeClr w14:val="tx1"/>
                  </w14:solidFill>
                </w14:textFill>
              </w:rPr>
              <w:t>+0.0023</w:t>
            </w:r>
          </w:p>
        </w:tc>
      </w:tr>
      <w:tr w14:paraId="308CC3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3" w:hRule="exact"/>
        </w:trPr>
        <w:tc>
          <w:tcPr>
            <w:tcW w:w="812" w:type="dxa"/>
            <w:vMerge w:val="continue"/>
            <w:vAlign w:val="center"/>
          </w:tcPr>
          <w:p w14:paraId="6FBD60E9">
            <w:pPr>
              <w:pStyle w:val="49"/>
              <w:spacing w:beforeLines="0" w:afterLines="0" w:line="240" w:lineRule="auto"/>
              <w:rPr>
                <w:rFonts w:ascii="Times New Roman" w:hAnsi="Times New Roman" w:eastAsia="宋体"/>
                <w:snapToGrid w:val="0"/>
                <w:color w:val="000000" w:themeColor="text1"/>
                <w:kern w:val="21"/>
                <w:szCs w:val="21"/>
                <w:highlight w:val="none"/>
                <w14:textFill>
                  <w14:solidFill>
                    <w14:schemeClr w14:val="tx1"/>
                  </w14:solidFill>
                </w14:textFill>
              </w:rPr>
            </w:pPr>
          </w:p>
        </w:tc>
        <w:tc>
          <w:tcPr>
            <w:tcW w:w="2850" w:type="dxa"/>
            <w:vAlign w:val="center"/>
          </w:tcPr>
          <w:p w14:paraId="6CDFF36A">
            <w:pPr>
              <w:widowControl/>
              <w:jc w:val="center"/>
              <w:textAlignment w:val="center"/>
              <w:rPr>
                <w:rFonts w:hint="default" w:ascii="Times New Roman" w:hAnsi="Times New Roman" w:eastAsia="宋体" w:cs="宋体"/>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宋体"/>
                <w:color w:val="000000" w:themeColor="text1"/>
                <w:kern w:val="0"/>
                <w:szCs w:val="21"/>
                <w:highlight w:val="none"/>
                <w:lang w:val="en-US" w:eastAsia="zh-CN" w:bidi="ar"/>
                <w14:textFill>
                  <w14:solidFill>
                    <w14:schemeClr w14:val="tx1"/>
                  </w14:solidFill>
                </w14:textFill>
              </w:rPr>
              <w:t>工艺粉尘（颗粒物）</w:t>
            </w:r>
          </w:p>
        </w:tc>
        <w:tc>
          <w:tcPr>
            <w:tcW w:w="1554" w:type="dxa"/>
            <w:vAlign w:val="center"/>
          </w:tcPr>
          <w:p w14:paraId="38CCB421">
            <w:pPr>
              <w:widowControl/>
              <w:jc w:val="center"/>
              <w:textAlignment w:val="bottom"/>
              <w:rPr>
                <w:rFonts w:ascii="Times New Roman" w:hAnsi="Times New Roman" w:eastAsia="宋体"/>
                <w:color w:val="000000" w:themeColor="text1"/>
                <w:kern w:val="0"/>
                <w:szCs w:val="21"/>
                <w:highlight w:val="none"/>
                <w:lang w:bidi="ar"/>
                <w14:textFill>
                  <w14:solidFill>
                    <w14:schemeClr w14:val="tx1"/>
                  </w14:solidFill>
                </w14:textFill>
              </w:rPr>
            </w:pPr>
            <w:r>
              <w:rPr>
                <w:rFonts w:hint="eastAsia" w:ascii="Times New Roman" w:hAnsi="Times New Roman" w:eastAsia="宋体" w:cs="Times New Roman"/>
                <w:i w:val="0"/>
                <w:iCs w:val="0"/>
                <w:color w:val="000000"/>
                <w:kern w:val="0"/>
                <w:sz w:val="21"/>
                <w:szCs w:val="21"/>
                <w:u w:val="none"/>
                <w:lang w:val="en-US" w:eastAsia="zh-CN" w:bidi="ar"/>
              </w:rPr>
              <w:t>1.344</w:t>
            </w:r>
          </w:p>
        </w:tc>
        <w:tc>
          <w:tcPr>
            <w:tcW w:w="1255" w:type="dxa"/>
            <w:vAlign w:val="center"/>
          </w:tcPr>
          <w:p w14:paraId="09E4AAA3">
            <w:pPr>
              <w:widowControl/>
              <w:jc w:val="center"/>
              <w:textAlignment w:val="bottom"/>
              <w:rPr>
                <w:rFonts w:ascii="Times New Roman" w:hAnsi="Times New Roman" w:eastAsia="宋体"/>
                <w:color w:val="000000" w:themeColor="text1"/>
                <w:kern w:val="0"/>
                <w:szCs w:val="21"/>
                <w:highlight w:val="none"/>
                <w:lang w:bidi="ar"/>
                <w14:textFill>
                  <w14:solidFill>
                    <w14:schemeClr w14:val="tx1"/>
                  </w14:solidFill>
                </w14:textFill>
              </w:rPr>
            </w:pPr>
            <w:r>
              <w:rPr>
                <w:rFonts w:ascii="Times New Roman" w:hAnsi="Times New Roman" w:eastAsia="宋体"/>
                <w:snapToGrid w:val="0"/>
                <w:color w:val="000000" w:themeColor="text1"/>
                <w:kern w:val="21"/>
                <w:szCs w:val="21"/>
                <w:highlight w:val="none"/>
                <w14:textFill>
                  <w14:solidFill>
                    <w14:schemeClr w14:val="tx1"/>
                  </w14:solidFill>
                </w14:textFill>
              </w:rPr>
              <w:t>/</w:t>
            </w:r>
          </w:p>
        </w:tc>
        <w:tc>
          <w:tcPr>
            <w:tcW w:w="1486" w:type="dxa"/>
            <w:shd w:val="clear" w:color="auto" w:fill="auto"/>
            <w:vAlign w:val="center"/>
          </w:tcPr>
          <w:p w14:paraId="1AE93816">
            <w:pPr>
              <w:widowControl/>
              <w:jc w:val="center"/>
              <w:textAlignment w:val="bottom"/>
              <w:rPr>
                <w:rFonts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hAnsi="Times New Roman" w:eastAsia="宋体"/>
                <w:snapToGrid w:val="0"/>
                <w:color w:val="000000" w:themeColor="text1"/>
                <w:kern w:val="21"/>
                <w:szCs w:val="21"/>
                <w:highlight w:val="none"/>
                <w:lang w:val="en-US" w:eastAsia="zh-CN"/>
                <w14:textFill>
                  <w14:solidFill>
                    <w14:schemeClr w14:val="tx1"/>
                  </w14:solidFill>
                </w14:textFill>
              </w:rPr>
              <w:t>/</w:t>
            </w:r>
          </w:p>
        </w:tc>
        <w:tc>
          <w:tcPr>
            <w:tcW w:w="1514" w:type="dxa"/>
            <w:vAlign w:val="center"/>
          </w:tcPr>
          <w:p w14:paraId="1B9D9231">
            <w:pPr>
              <w:keepNext w:val="0"/>
              <w:keepLines w:val="0"/>
              <w:widowControl/>
              <w:suppressLineNumbers w:val="0"/>
              <w:jc w:val="center"/>
              <w:textAlignment w:val="center"/>
              <w:rPr>
                <w:rFonts w:hint="default" w:ascii="Times New Roman" w:hAnsi="Times New Roman" w:eastAsia="宋体"/>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eastAsia="宋体"/>
                <w:snapToGrid w:val="0"/>
                <w:color w:val="000000" w:themeColor="text1"/>
                <w:kern w:val="21"/>
                <w:szCs w:val="21"/>
                <w:highlight w:val="none"/>
                <w:lang w:val="en-US" w:eastAsia="zh-CN"/>
                <w14:textFill>
                  <w14:solidFill>
                    <w14:schemeClr w14:val="tx1"/>
                  </w14:solidFill>
                </w14:textFill>
              </w:rPr>
              <w:t>0.12</w:t>
            </w:r>
          </w:p>
        </w:tc>
        <w:tc>
          <w:tcPr>
            <w:tcW w:w="1418" w:type="dxa"/>
            <w:shd w:val="clear" w:color="auto" w:fill="auto"/>
            <w:vAlign w:val="center"/>
          </w:tcPr>
          <w:p w14:paraId="63151732">
            <w:pPr>
              <w:widowControl/>
              <w:jc w:val="center"/>
              <w:textAlignment w:val="bottom"/>
              <w:rPr>
                <w:rFonts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kern w:val="0"/>
                <w:szCs w:val="21"/>
                <w:highlight w:val="none"/>
                <w:lang w:bidi="ar"/>
                <w14:textFill>
                  <w14:solidFill>
                    <w14:schemeClr w14:val="tx1"/>
                  </w14:solidFill>
                </w14:textFill>
              </w:rPr>
              <w:t>/</w:t>
            </w:r>
          </w:p>
        </w:tc>
        <w:tc>
          <w:tcPr>
            <w:tcW w:w="1562" w:type="dxa"/>
            <w:shd w:val="clear" w:color="auto" w:fill="auto"/>
            <w:vAlign w:val="center"/>
          </w:tcPr>
          <w:p w14:paraId="54A02748">
            <w:pPr>
              <w:keepNext w:val="0"/>
              <w:keepLines w:val="0"/>
              <w:widowControl/>
              <w:suppressLineNumbers w:val="0"/>
              <w:jc w:val="center"/>
              <w:textAlignment w:val="center"/>
              <w:rPr>
                <w:rFonts w:hint="default" w:ascii="Times New Roman" w:hAnsi="Times New Roman" w:eastAsia="宋体"/>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eastAsia="宋体"/>
                <w:snapToGrid w:val="0"/>
                <w:color w:val="000000" w:themeColor="text1"/>
                <w:kern w:val="21"/>
                <w:szCs w:val="21"/>
                <w:highlight w:val="none"/>
                <w:lang w:val="en-US" w:eastAsia="zh-CN"/>
                <w14:textFill>
                  <w14:solidFill>
                    <w14:schemeClr w14:val="tx1"/>
                  </w14:solidFill>
                </w14:textFill>
              </w:rPr>
              <w:t>1.464</w:t>
            </w:r>
          </w:p>
        </w:tc>
        <w:tc>
          <w:tcPr>
            <w:tcW w:w="1337" w:type="dxa"/>
            <w:shd w:val="clear" w:color="auto" w:fill="auto"/>
            <w:vAlign w:val="center"/>
          </w:tcPr>
          <w:p w14:paraId="172AC9AF">
            <w:pPr>
              <w:keepNext w:val="0"/>
              <w:keepLines w:val="0"/>
              <w:widowControl/>
              <w:suppressLineNumbers w:val="0"/>
              <w:jc w:val="center"/>
              <w:textAlignment w:val="center"/>
              <w:rPr>
                <w:rFonts w:hint="default" w:ascii="Times New Roman" w:hAnsi="Times New Roman" w:eastAsia="宋体"/>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eastAsia="宋体"/>
                <w:snapToGrid w:val="0"/>
                <w:color w:val="000000" w:themeColor="text1"/>
                <w:kern w:val="21"/>
                <w:szCs w:val="21"/>
                <w:highlight w:val="none"/>
                <w:lang w:val="en-US" w:eastAsia="zh-CN"/>
                <w14:textFill>
                  <w14:solidFill>
                    <w14:schemeClr w14:val="tx1"/>
                  </w14:solidFill>
                </w14:textFill>
              </w:rPr>
              <w:t>+0.12</w:t>
            </w:r>
          </w:p>
        </w:tc>
      </w:tr>
      <w:tr w14:paraId="2D8921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restart"/>
            <w:vAlign w:val="center"/>
          </w:tcPr>
          <w:p w14:paraId="4C434D3F">
            <w:pPr>
              <w:pStyle w:val="49"/>
              <w:spacing w:beforeLines="0" w:afterLines="0" w:line="240" w:lineRule="auto"/>
              <w:rPr>
                <w:rFonts w:ascii="Times New Roman" w:hAnsi="Times New Roman" w:eastAsia="宋体"/>
                <w:snapToGrid w:val="0"/>
                <w:color w:val="000000" w:themeColor="text1"/>
                <w:kern w:val="21"/>
                <w:szCs w:val="21"/>
                <w:highlight w:val="none"/>
                <w14:textFill>
                  <w14:solidFill>
                    <w14:schemeClr w14:val="tx1"/>
                  </w14:solidFill>
                </w14:textFill>
              </w:rPr>
            </w:pPr>
            <w:r>
              <w:rPr>
                <w:rFonts w:ascii="Times New Roman" w:hAnsi="Times New Roman" w:eastAsia="宋体"/>
                <w:snapToGrid w:val="0"/>
                <w:color w:val="000000" w:themeColor="text1"/>
                <w:kern w:val="21"/>
                <w:szCs w:val="21"/>
                <w:highlight w:val="none"/>
                <w14:textFill>
                  <w14:solidFill>
                    <w14:schemeClr w14:val="tx1"/>
                  </w14:solidFill>
                </w14:textFill>
              </w:rPr>
              <w:t>废水</w:t>
            </w:r>
          </w:p>
        </w:tc>
        <w:tc>
          <w:tcPr>
            <w:tcW w:w="2850" w:type="dxa"/>
            <w:vAlign w:val="center"/>
          </w:tcPr>
          <w:p w14:paraId="7C92A0B0">
            <w:pPr>
              <w:pStyle w:val="30"/>
              <w:widowControl w:val="0"/>
              <w:spacing w:before="0" w:beforeAutospacing="0" w:after="0" w:afterAutospacing="0"/>
              <w:ind w:left="0" w:leftChars="0" w:right="0" w:rightChars="0"/>
              <w:jc w:val="center"/>
              <w:rPr>
                <w:rFonts w:hint="eastAsia" w:ascii="Times New Roman" w:hAnsi="Times New Roman" w:eastAsia="宋体" w:cs="Times New Roman"/>
                <w:snapToGrid w:val="0"/>
                <w:color w:val="000000" w:themeColor="text1"/>
                <w:kern w:val="21"/>
                <w:sz w:val="24"/>
                <w:szCs w:val="21"/>
                <w:highlight w:val="none"/>
                <w:lang w:val="en-US" w:eastAsia="zh-CN" w:bidi="ar"/>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bidi="ar"/>
                <w14:textFill>
                  <w14:solidFill>
                    <w14:schemeClr w14:val="tx1"/>
                  </w14:solidFill>
                </w14:textFill>
              </w:rPr>
              <w:t>废水量</w:t>
            </w:r>
          </w:p>
        </w:tc>
        <w:tc>
          <w:tcPr>
            <w:tcW w:w="1554" w:type="dxa"/>
            <w:shd w:val="clear" w:color="auto" w:fill="auto"/>
            <w:vAlign w:val="center"/>
          </w:tcPr>
          <w:p w14:paraId="3251B6C8">
            <w:pPr>
              <w:widowControl/>
              <w:jc w:val="center"/>
              <w:textAlignment w:val="bottom"/>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kern w:val="0"/>
                <w:szCs w:val="21"/>
                <w:highlight w:val="none"/>
                <w:lang w:val="en-US" w:eastAsia="zh-CN" w:bidi="ar"/>
                <w14:textFill>
                  <w14:solidFill>
                    <w14:schemeClr w14:val="tx1"/>
                  </w14:solidFill>
                </w14:textFill>
              </w:rPr>
              <w:t>300</w:t>
            </w:r>
          </w:p>
        </w:tc>
        <w:tc>
          <w:tcPr>
            <w:tcW w:w="1255" w:type="dxa"/>
            <w:shd w:val="clear" w:color="auto" w:fill="auto"/>
            <w:vAlign w:val="center"/>
          </w:tcPr>
          <w:p w14:paraId="1D2122EC">
            <w:pPr>
              <w:widowControl/>
              <w:jc w:val="center"/>
              <w:textAlignment w:val="bottom"/>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ascii="Times New Roman" w:hAnsi="Times New Roman" w:eastAsia="宋体"/>
                <w:snapToGrid w:val="0"/>
                <w:color w:val="000000" w:themeColor="text1"/>
                <w:kern w:val="21"/>
                <w:szCs w:val="21"/>
                <w:highlight w:val="none"/>
                <w14:textFill>
                  <w14:solidFill>
                    <w14:schemeClr w14:val="tx1"/>
                  </w14:solidFill>
                </w14:textFill>
              </w:rPr>
              <w:t>/</w:t>
            </w:r>
          </w:p>
        </w:tc>
        <w:tc>
          <w:tcPr>
            <w:tcW w:w="1486" w:type="dxa"/>
            <w:shd w:val="clear" w:color="auto" w:fill="auto"/>
            <w:vAlign w:val="center"/>
          </w:tcPr>
          <w:p w14:paraId="2EED17F3">
            <w:pPr>
              <w:widowControl/>
              <w:jc w:val="center"/>
              <w:textAlignment w:val="bottom"/>
              <w:rPr>
                <w:rFonts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kern w:val="0"/>
                <w:szCs w:val="21"/>
                <w:highlight w:val="none"/>
                <w:lang w:bidi="ar"/>
                <w14:textFill>
                  <w14:solidFill>
                    <w14:schemeClr w14:val="tx1"/>
                  </w14:solidFill>
                </w14:textFill>
              </w:rPr>
              <w:t>/</w:t>
            </w:r>
          </w:p>
        </w:tc>
        <w:tc>
          <w:tcPr>
            <w:tcW w:w="1514" w:type="dxa"/>
            <w:vAlign w:val="center"/>
          </w:tcPr>
          <w:p w14:paraId="1EC43C09">
            <w:pPr>
              <w:widowControl/>
              <w:jc w:val="center"/>
              <w:textAlignment w:val="center"/>
              <w:rPr>
                <w:rFonts w:hint="default" w:ascii="Times New Roman" w:hAnsi="Times New Roman" w:eastAsia="宋体"/>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snapToGrid w:val="0"/>
                <w:color w:val="000000" w:themeColor="text1"/>
                <w:kern w:val="21"/>
                <w:szCs w:val="21"/>
                <w:highlight w:val="none"/>
                <w:lang w:val="en-US" w:eastAsia="zh-CN"/>
                <w14:textFill>
                  <w14:solidFill>
                    <w14:schemeClr w14:val="tx1"/>
                  </w14:solidFill>
                </w14:textFill>
              </w:rPr>
              <w:t>/</w:t>
            </w:r>
          </w:p>
        </w:tc>
        <w:tc>
          <w:tcPr>
            <w:tcW w:w="1418" w:type="dxa"/>
            <w:shd w:val="clear" w:color="auto" w:fill="auto"/>
            <w:vAlign w:val="center"/>
          </w:tcPr>
          <w:p w14:paraId="1224479F">
            <w:pPr>
              <w:widowControl/>
              <w:jc w:val="center"/>
              <w:textAlignment w:val="bottom"/>
              <w:rPr>
                <w:rFonts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hAnsi="Times New Roman" w:eastAsia="宋体"/>
                <w:snapToGrid w:val="0"/>
                <w:color w:val="000000" w:themeColor="text1"/>
                <w:kern w:val="21"/>
                <w:szCs w:val="21"/>
                <w:highlight w:val="none"/>
                <w:lang w:val="en-US" w:eastAsia="zh-CN"/>
                <w14:textFill>
                  <w14:solidFill>
                    <w14:schemeClr w14:val="tx1"/>
                  </w14:solidFill>
                </w14:textFill>
              </w:rPr>
              <w:t>/</w:t>
            </w:r>
          </w:p>
        </w:tc>
        <w:tc>
          <w:tcPr>
            <w:tcW w:w="1562" w:type="dxa"/>
            <w:shd w:val="clear" w:color="auto" w:fill="auto"/>
            <w:vAlign w:val="center"/>
          </w:tcPr>
          <w:p w14:paraId="5BD97251">
            <w:pPr>
              <w:widowControl/>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olor w:val="000000" w:themeColor="text1"/>
                <w:kern w:val="0"/>
                <w:szCs w:val="21"/>
                <w:highlight w:val="none"/>
                <w:lang w:val="en-US" w:eastAsia="zh-CN" w:bidi="ar"/>
                <w14:textFill>
                  <w14:solidFill>
                    <w14:schemeClr w14:val="tx1"/>
                  </w14:solidFill>
                </w14:textFill>
              </w:rPr>
              <w:t>300</w:t>
            </w:r>
          </w:p>
        </w:tc>
        <w:tc>
          <w:tcPr>
            <w:tcW w:w="1337" w:type="dxa"/>
            <w:shd w:val="clear" w:color="auto" w:fill="auto"/>
            <w:vAlign w:val="center"/>
          </w:tcPr>
          <w:p w14:paraId="66DD134C">
            <w:pPr>
              <w:widowControl/>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r>
      <w:tr w14:paraId="46A95A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14:paraId="1053AA77">
            <w:pPr>
              <w:pStyle w:val="49"/>
              <w:spacing w:beforeLines="0" w:afterLines="0" w:line="240" w:lineRule="auto"/>
              <w:rPr>
                <w:rFonts w:ascii="Times New Roman" w:hAnsi="Times New Roman" w:eastAsia="宋体"/>
                <w:snapToGrid w:val="0"/>
                <w:color w:val="000000" w:themeColor="text1"/>
                <w:kern w:val="21"/>
                <w:szCs w:val="21"/>
                <w:highlight w:val="none"/>
                <w14:textFill>
                  <w14:solidFill>
                    <w14:schemeClr w14:val="tx1"/>
                  </w14:solidFill>
                </w14:textFill>
              </w:rPr>
            </w:pPr>
          </w:p>
        </w:tc>
        <w:tc>
          <w:tcPr>
            <w:tcW w:w="2850" w:type="dxa"/>
            <w:vAlign w:val="center"/>
          </w:tcPr>
          <w:p w14:paraId="26AB8CCA">
            <w:pPr>
              <w:pStyle w:val="30"/>
              <w:widowControl w:val="0"/>
              <w:spacing w:before="0" w:beforeAutospacing="0" w:after="0" w:afterAutospacing="0"/>
              <w:ind w:left="0" w:leftChars="0" w:right="0" w:rightChars="0"/>
              <w:jc w:val="center"/>
              <w:rPr>
                <w:rFonts w:ascii="Times New Roman" w:hAnsi="Times New Roman" w:eastAsia="宋体" w:cs="Times New Roman"/>
                <w:snapToGrid w:val="0"/>
                <w:color w:val="000000" w:themeColor="text1"/>
                <w:kern w:val="21"/>
                <w:sz w:val="24"/>
                <w:szCs w:val="21"/>
                <w:highlight w:val="none"/>
                <w:lang w:val="en-US" w:eastAsia="zh-CN" w:bidi="ar"/>
                <w14:textFill>
                  <w14:solidFill>
                    <w14:schemeClr w14:val="tx1"/>
                  </w14:solidFill>
                </w14:textFill>
              </w:rPr>
            </w:pPr>
            <w:r>
              <w:rPr>
                <w:rFonts w:ascii="Times New Roman" w:hAnsi="Times New Roman" w:eastAsia="宋体"/>
                <w:color w:val="000000" w:themeColor="text1"/>
                <w:kern w:val="2"/>
                <w:sz w:val="21"/>
                <w:szCs w:val="21"/>
                <w:highlight w:val="none"/>
                <w:lang w:bidi="ar"/>
                <w14:textFill>
                  <w14:solidFill>
                    <w14:schemeClr w14:val="tx1"/>
                  </w14:solidFill>
                </w14:textFill>
              </w:rPr>
              <w:t>COD</w:t>
            </w:r>
          </w:p>
        </w:tc>
        <w:tc>
          <w:tcPr>
            <w:tcW w:w="1554" w:type="dxa"/>
            <w:shd w:val="clear" w:color="auto" w:fill="auto"/>
            <w:vAlign w:val="center"/>
          </w:tcPr>
          <w:p w14:paraId="49ACA063">
            <w:pPr>
              <w:widowControl/>
              <w:jc w:val="center"/>
              <w:textAlignment w:val="bottom"/>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t>0.102</w:t>
            </w:r>
          </w:p>
        </w:tc>
        <w:tc>
          <w:tcPr>
            <w:tcW w:w="1255" w:type="dxa"/>
            <w:shd w:val="clear" w:color="auto" w:fill="auto"/>
            <w:vAlign w:val="center"/>
          </w:tcPr>
          <w:p w14:paraId="10E98203">
            <w:pPr>
              <w:widowControl/>
              <w:jc w:val="center"/>
              <w:textAlignment w:val="bottom"/>
              <w:rPr>
                <w:rFonts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hAnsi="Times New Roman" w:eastAsia="宋体"/>
                <w:snapToGrid w:val="0"/>
                <w:color w:val="000000" w:themeColor="text1"/>
                <w:kern w:val="21"/>
                <w:szCs w:val="21"/>
                <w:highlight w:val="none"/>
                <w:lang w:val="en-US" w:eastAsia="zh-CN"/>
                <w14:textFill>
                  <w14:solidFill>
                    <w14:schemeClr w14:val="tx1"/>
                  </w14:solidFill>
                </w14:textFill>
              </w:rPr>
              <w:t>/</w:t>
            </w:r>
          </w:p>
        </w:tc>
        <w:tc>
          <w:tcPr>
            <w:tcW w:w="1486" w:type="dxa"/>
            <w:shd w:val="clear" w:color="auto" w:fill="auto"/>
            <w:vAlign w:val="center"/>
          </w:tcPr>
          <w:p w14:paraId="136E18A1">
            <w:pPr>
              <w:widowControl/>
              <w:jc w:val="center"/>
              <w:textAlignment w:val="bottom"/>
              <w:rPr>
                <w:rFonts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hAnsi="Times New Roman" w:eastAsia="宋体"/>
                <w:snapToGrid w:val="0"/>
                <w:color w:val="000000" w:themeColor="text1"/>
                <w:kern w:val="21"/>
                <w:szCs w:val="21"/>
                <w:highlight w:val="none"/>
                <w:lang w:val="en-US" w:eastAsia="zh-CN"/>
                <w14:textFill>
                  <w14:solidFill>
                    <w14:schemeClr w14:val="tx1"/>
                  </w14:solidFill>
                </w14:textFill>
              </w:rPr>
              <w:t>/</w:t>
            </w:r>
          </w:p>
        </w:tc>
        <w:tc>
          <w:tcPr>
            <w:tcW w:w="1514" w:type="dxa"/>
            <w:shd w:val="clear" w:color="auto" w:fill="auto"/>
            <w:vAlign w:val="center"/>
          </w:tcPr>
          <w:p w14:paraId="77DF9BF3">
            <w:pPr>
              <w:widowControl/>
              <w:jc w:val="center"/>
              <w:textAlignment w:val="bottom"/>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snapToGrid w:val="0"/>
                <w:color w:val="000000" w:themeColor="text1"/>
                <w:kern w:val="21"/>
                <w:szCs w:val="21"/>
                <w:highlight w:val="none"/>
                <w:lang w:val="en-US" w:eastAsia="zh-CN"/>
                <w14:textFill>
                  <w14:solidFill>
                    <w14:schemeClr w14:val="tx1"/>
                  </w14:solidFill>
                </w14:textFill>
              </w:rPr>
              <w:t>/</w:t>
            </w:r>
          </w:p>
        </w:tc>
        <w:tc>
          <w:tcPr>
            <w:tcW w:w="1418" w:type="dxa"/>
            <w:shd w:val="clear" w:color="auto" w:fill="auto"/>
            <w:vAlign w:val="center"/>
          </w:tcPr>
          <w:p w14:paraId="75EA83E6">
            <w:pPr>
              <w:widowControl/>
              <w:jc w:val="center"/>
              <w:textAlignment w:val="bottom"/>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kern w:val="0"/>
                <w:szCs w:val="21"/>
                <w:highlight w:val="none"/>
                <w:lang w:bidi="ar"/>
                <w14:textFill>
                  <w14:solidFill>
                    <w14:schemeClr w14:val="tx1"/>
                  </w14:solidFill>
                </w14:textFill>
              </w:rPr>
              <w:t>/</w:t>
            </w:r>
          </w:p>
        </w:tc>
        <w:tc>
          <w:tcPr>
            <w:tcW w:w="1562" w:type="dxa"/>
            <w:shd w:val="clear" w:color="auto" w:fill="auto"/>
            <w:vAlign w:val="center"/>
          </w:tcPr>
          <w:p w14:paraId="0508CDF5">
            <w:pPr>
              <w:pStyle w:val="96"/>
              <w:spacing w:line="240" w:lineRule="auto"/>
              <w:jc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0.102</w:t>
            </w:r>
          </w:p>
        </w:tc>
        <w:tc>
          <w:tcPr>
            <w:tcW w:w="1337" w:type="dxa"/>
            <w:shd w:val="clear" w:color="auto" w:fill="auto"/>
            <w:vAlign w:val="center"/>
          </w:tcPr>
          <w:p w14:paraId="2B8ADC8C">
            <w:pPr>
              <w:pStyle w:val="96"/>
              <w:spacing w:line="240" w:lineRule="auto"/>
              <w:jc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w:t>
            </w:r>
          </w:p>
        </w:tc>
      </w:tr>
      <w:tr w14:paraId="58C778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3" w:hRule="exact"/>
        </w:trPr>
        <w:tc>
          <w:tcPr>
            <w:tcW w:w="812" w:type="dxa"/>
            <w:vMerge w:val="continue"/>
            <w:vAlign w:val="center"/>
          </w:tcPr>
          <w:p w14:paraId="74E54D2D">
            <w:pPr>
              <w:pStyle w:val="49"/>
              <w:spacing w:beforeLines="0" w:afterLines="0" w:line="240" w:lineRule="auto"/>
              <w:rPr>
                <w:rFonts w:ascii="Times New Roman" w:hAnsi="Times New Roman" w:eastAsia="宋体"/>
                <w:snapToGrid w:val="0"/>
                <w:color w:val="000000" w:themeColor="text1"/>
                <w:kern w:val="21"/>
                <w:szCs w:val="21"/>
                <w:highlight w:val="none"/>
                <w14:textFill>
                  <w14:solidFill>
                    <w14:schemeClr w14:val="tx1"/>
                  </w14:solidFill>
                </w14:textFill>
              </w:rPr>
            </w:pPr>
          </w:p>
        </w:tc>
        <w:tc>
          <w:tcPr>
            <w:tcW w:w="2850" w:type="dxa"/>
            <w:vAlign w:val="center"/>
          </w:tcPr>
          <w:p w14:paraId="216DA126">
            <w:pPr>
              <w:pStyle w:val="30"/>
              <w:widowControl w:val="0"/>
              <w:spacing w:before="0" w:beforeAutospacing="0" w:after="0" w:afterAutospacing="0"/>
              <w:ind w:left="0" w:leftChars="0" w:right="0" w:rightChars="0"/>
              <w:jc w:val="center"/>
              <w:rPr>
                <w:rFonts w:ascii="Times New Roman" w:hAnsi="Times New Roman" w:eastAsia="宋体" w:cs="Times New Roman"/>
                <w:snapToGrid w:val="0"/>
                <w:color w:val="000000" w:themeColor="text1"/>
                <w:kern w:val="21"/>
                <w:sz w:val="24"/>
                <w:szCs w:val="21"/>
                <w:highlight w:val="none"/>
                <w:lang w:val="en-US" w:eastAsia="zh-CN" w:bidi="ar"/>
                <w14:textFill>
                  <w14:solidFill>
                    <w14:schemeClr w14:val="tx1"/>
                  </w14:solidFill>
                </w14:textFill>
              </w:rPr>
            </w:pPr>
            <w:r>
              <w:rPr>
                <w:rFonts w:ascii="Times New Roman" w:hAnsi="Times New Roman" w:eastAsia="宋体"/>
                <w:color w:val="000000" w:themeColor="text1"/>
                <w:kern w:val="2"/>
                <w:sz w:val="21"/>
                <w:szCs w:val="21"/>
                <w:highlight w:val="none"/>
                <w:lang w:bidi="ar"/>
                <w14:textFill>
                  <w14:solidFill>
                    <w14:schemeClr w14:val="tx1"/>
                  </w14:solidFill>
                </w14:textFill>
              </w:rPr>
              <w:t>BOD</w:t>
            </w:r>
            <w:r>
              <w:rPr>
                <w:rFonts w:ascii="Times New Roman" w:hAnsi="Times New Roman" w:eastAsia="宋体"/>
                <w:color w:val="000000" w:themeColor="text1"/>
                <w:kern w:val="2"/>
                <w:sz w:val="21"/>
                <w:szCs w:val="21"/>
                <w:highlight w:val="none"/>
                <w:vertAlign w:val="subscript"/>
                <w:lang w:bidi="ar"/>
                <w14:textFill>
                  <w14:solidFill>
                    <w14:schemeClr w14:val="tx1"/>
                  </w14:solidFill>
                </w14:textFill>
              </w:rPr>
              <w:t>5</w:t>
            </w:r>
          </w:p>
        </w:tc>
        <w:tc>
          <w:tcPr>
            <w:tcW w:w="1554" w:type="dxa"/>
            <w:vAlign w:val="center"/>
          </w:tcPr>
          <w:p w14:paraId="79C4F3D4">
            <w:pPr>
              <w:pStyle w:val="49"/>
              <w:spacing w:beforeLines="0" w:afterLines="0" w:line="240" w:lineRule="auto"/>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0.0546</w:t>
            </w:r>
          </w:p>
        </w:tc>
        <w:tc>
          <w:tcPr>
            <w:tcW w:w="1255" w:type="dxa"/>
            <w:vAlign w:val="center"/>
          </w:tcPr>
          <w:p w14:paraId="68286B51">
            <w:pPr>
              <w:pStyle w:val="49"/>
              <w:spacing w:beforeLines="0" w:afterLines="0" w:line="240" w:lineRule="auto"/>
              <w:rPr>
                <w:rFonts w:ascii="Times New Roman" w:hAnsi="Times New Roman" w:eastAsia="宋体"/>
                <w:snapToGrid w:val="0"/>
                <w:color w:val="000000" w:themeColor="text1"/>
                <w:kern w:val="21"/>
                <w:szCs w:val="21"/>
                <w:highlight w:val="none"/>
                <w14:textFill>
                  <w14:solidFill>
                    <w14:schemeClr w14:val="tx1"/>
                  </w14:solidFill>
                </w14:textFill>
              </w:rPr>
            </w:pPr>
            <w:r>
              <w:rPr>
                <w:rFonts w:ascii="Times New Roman" w:hAnsi="Times New Roman" w:eastAsia="宋体"/>
                <w:snapToGrid w:val="0"/>
                <w:color w:val="000000" w:themeColor="text1"/>
                <w:kern w:val="21"/>
                <w:szCs w:val="21"/>
                <w:highlight w:val="none"/>
                <w14:textFill>
                  <w14:solidFill>
                    <w14:schemeClr w14:val="tx1"/>
                  </w14:solidFill>
                </w14:textFill>
              </w:rPr>
              <w:t>/</w:t>
            </w:r>
          </w:p>
        </w:tc>
        <w:tc>
          <w:tcPr>
            <w:tcW w:w="1486" w:type="dxa"/>
            <w:vAlign w:val="center"/>
          </w:tcPr>
          <w:p w14:paraId="07577CCB">
            <w:pPr>
              <w:widowControl/>
              <w:jc w:val="center"/>
              <w:textAlignment w:val="bottom"/>
              <w:rPr>
                <w:rFonts w:ascii="Times New Roman" w:hAnsi="Times New Roman" w:eastAsia="宋体"/>
                <w:snapToGrid w:val="0"/>
                <w:color w:val="000000" w:themeColor="text1"/>
                <w:kern w:val="21"/>
                <w:szCs w:val="21"/>
                <w:highlight w:val="none"/>
                <w14:textFill>
                  <w14:solidFill>
                    <w14:schemeClr w14:val="tx1"/>
                  </w14:solidFill>
                </w14:textFill>
              </w:rPr>
            </w:pPr>
            <w:r>
              <w:rPr>
                <w:rFonts w:ascii="Times New Roman" w:hAnsi="Times New Roman" w:eastAsia="宋体"/>
                <w:color w:val="000000" w:themeColor="text1"/>
                <w:kern w:val="0"/>
                <w:szCs w:val="21"/>
                <w:highlight w:val="none"/>
                <w:lang w:bidi="ar"/>
                <w14:textFill>
                  <w14:solidFill>
                    <w14:schemeClr w14:val="tx1"/>
                  </w14:solidFill>
                </w14:textFill>
              </w:rPr>
              <w:t>/</w:t>
            </w:r>
          </w:p>
        </w:tc>
        <w:tc>
          <w:tcPr>
            <w:tcW w:w="1514" w:type="dxa"/>
            <w:shd w:val="clear" w:color="auto" w:fill="auto"/>
            <w:vAlign w:val="center"/>
          </w:tcPr>
          <w:p w14:paraId="6EA162D4">
            <w:pPr>
              <w:pStyle w:val="49"/>
              <w:spacing w:beforeLines="0" w:afterLines="0" w:line="240" w:lineRule="auto"/>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ascii="Times New Roman" w:hAnsi="Times New Roman" w:eastAsia="宋体"/>
                <w:snapToGrid w:val="0"/>
                <w:color w:val="000000" w:themeColor="text1"/>
                <w:kern w:val="21"/>
                <w:szCs w:val="21"/>
                <w:highlight w:val="none"/>
                <w14:textFill>
                  <w14:solidFill>
                    <w14:schemeClr w14:val="tx1"/>
                  </w14:solidFill>
                </w14:textFill>
              </w:rPr>
              <w:t>/</w:t>
            </w:r>
          </w:p>
        </w:tc>
        <w:tc>
          <w:tcPr>
            <w:tcW w:w="1418" w:type="dxa"/>
            <w:vAlign w:val="center"/>
          </w:tcPr>
          <w:p w14:paraId="728C4D05">
            <w:pPr>
              <w:widowControl/>
              <w:jc w:val="center"/>
              <w:textAlignment w:val="bottom"/>
              <w:rPr>
                <w:rFonts w:hint="eastAsia" w:ascii="Times New Roman" w:hAnsi="Times New Roman" w:eastAsia="宋体"/>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eastAsia="宋体"/>
                <w:snapToGrid w:val="0"/>
                <w:color w:val="000000" w:themeColor="text1"/>
                <w:kern w:val="21"/>
                <w:szCs w:val="21"/>
                <w:highlight w:val="none"/>
                <w:lang w:val="en-US" w:eastAsia="zh-CN"/>
                <w14:textFill>
                  <w14:solidFill>
                    <w14:schemeClr w14:val="tx1"/>
                  </w14:solidFill>
                </w14:textFill>
              </w:rPr>
              <w:t>/</w:t>
            </w:r>
          </w:p>
        </w:tc>
        <w:tc>
          <w:tcPr>
            <w:tcW w:w="1562" w:type="dxa"/>
            <w:shd w:val="clear" w:color="auto" w:fill="auto"/>
            <w:vAlign w:val="center"/>
          </w:tcPr>
          <w:p w14:paraId="73F3F1C3">
            <w:pPr>
              <w:pStyle w:val="96"/>
              <w:spacing w:line="240" w:lineRule="auto"/>
              <w:jc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0.0546</w:t>
            </w:r>
          </w:p>
        </w:tc>
        <w:tc>
          <w:tcPr>
            <w:tcW w:w="1337" w:type="dxa"/>
            <w:shd w:val="clear" w:color="auto" w:fill="auto"/>
            <w:vAlign w:val="center"/>
          </w:tcPr>
          <w:p w14:paraId="4855EFDA">
            <w:pPr>
              <w:pStyle w:val="96"/>
              <w:spacing w:line="240" w:lineRule="auto"/>
              <w:jc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w:t>
            </w:r>
          </w:p>
        </w:tc>
      </w:tr>
      <w:tr w14:paraId="3C32AE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 w:hRule="exact"/>
        </w:trPr>
        <w:tc>
          <w:tcPr>
            <w:tcW w:w="812" w:type="dxa"/>
            <w:vMerge w:val="continue"/>
            <w:vAlign w:val="center"/>
          </w:tcPr>
          <w:p w14:paraId="7F88D382">
            <w:pPr>
              <w:pStyle w:val="49"/>
              <w:spacing w:beforeLines="0" w:afterLines="0" w:line="240" w:lineRule="auto"/>
              <w:rPr>
                <w:rFonts w:ascii="Times New Roman" w:hAnsi="Times New Roman" w:eastAsia="宋体"/>
                <w:snapToGrid w:val="0"/>
                <w:color w:val="000000" w:themeColor="text1"/>
                <w:kern w:val="21"/>
                <w:szCs w:val="21"/>
                <w:highlight w:val="none"/>
                <w14:textFill>
                  <w14:solidFill>
                    <w14:schemeClr w14:val="tx1"/>
                  </w14:solidFill>
                </w14:textFill>
              </w:rPr>
            </w:pPr>
          </w:p>
        </w:tc>
        <w:tc>
          <w:tcPr>
            <w:tcW w:w="2850" w:type="dxa"/>
            <w:vAlign w:val="center"/>
          </w:tcPr>
          <w:p w14:paraId="7C4022C5">
            <w:pPr>
              <w:pStyle w:val="30"/>
              <w:widowControl w:val="0"/>
              <w:spacing w:before="0" w:beforeAutospacing="0" w:after="0" w:afterAutospacing="0"/>
              <w:ind w:left="0" w:leftChars="0" w:right="0" w:rightChars="0"/>
              <w:jc w:val="center"/>
              <w:rPr>
                <w:rFonts w:ascii="Times New Roman" w:hAnsi="Times New Roman" w:eastAsia="宋体" w:cs="Times New Roman"/>
                <w:snapToGrid w:val="0"/>
                <w:color w:val="000000" w:themeColor="text1"/>
                <w:kern w:val="21"/>
                <w:sz w:val="24"/>
                <w:szCs w:val="21"/>
                <w:highlight w:val="none"/>
                <w:lang w:val="en-US" w:eastAsia="zh-CN" w:bidi="ar"/>
                <w14:textFill>
                  <w14:solidFill>
                    <w14:schemeClr w14:val="tx1"/>
                  </w14:solidFill>
                </w14:textFill>
              </w:rPr>
            </w:pPr>
            <w:r>
              <w:rPr>
                <w:rFonts w:ascii="Times New Roman" w:hAnsi="Times New Roman" w:eastAsia="宋体"/>
                <w:color w:val="000000" w:themeColor="text1"/>
                <w:kern w:val="2"/>
                <w:sz w:val="21"/>
                <w:szCs w:val="21"/>
                <w:highlight w:val="none"/>
                <w:lang w:bidi="ar"/>
                <w14:textFill>
                  <w14:solidFill>
                    <w14:schemeClr w14:val="tx1"/>
                  </w14:solidFill>
                </w14:textFill>
              </w:rPr>
              <w:t>SS</w:t>
            </w:r>
          </w:p>
        </w:tc>
        <w:tc>
          <w:tcPr>
            <w:tcW w:w="1554" w:type="dxa"/>
            <w:vAlign w:val="center"/>
          </w:tcPr>
          <w:p w14:paraId="44F21DC4">
            <w:pPr>
              <w:pStyle w:val="49"/>
              <w:spacing w:beforeLines="0" w:afterLines="0" w:line="240" w:lineRule="auto"/>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0.053</w:t>
            </w:r>
          </w:p>
        </w:tc>
        <w:tc>
          <w:tcPr>
            <w:tcW w:w="1255" w:type="dxa"/>
            <w:vAlign w:val="center"/>
          </w:tcPr>
          <w:p w14:paraId="186C1D66">
            <w:pPr>
              <w:pStyle w:val="49"/>
              <w:spacing w:beforeLines="0" w:afterLines="0" w:line="240" w:lineRule="auto"/>
              <w:rPr>
                <w:rFonts w:ascii="Times New Roman" w:hAnsi="Times New Roman" w:eastAsia="宋体"/>
                <w:snapToGrid w:val="0"/>
                <w:color w:val="000000" w:themeColor="text1"/>
                <w:kern w:val="21"/>
                <w:szCs w:val="21"/>
                <w:highlight w:val="none"/>
                <w14:textFill>
                  <w14:solidFill>
                    <w14:schemeClr w14:val="tx1"/>
                  </w14:solidFill>
                </w14:textFill>
              </w:rPr>
            </w:pPr>
            <w:r>
              <w:rPr>
                <w:rFonts w:ascii="Times New Roman" w:hAnsi="Times New Roman" w:eastAsia="宋体"/>
                <w:snapToGrid w:val="0"/>
                <w:color w:val="000000" w:themeColor="text1"/>
                <w:kern w:val="21"/>
                <w:szCs w:val="21"/>
                <w:highlight w:val="none"/>
                <w14:textFill>
                  <w14:solidFill>
                    <w14:schemeClr w14:val="tx1"/>
                  </w14:solidFill>
                </w14:textFill>
              </w:rPr>
              <w:t>/</w:t>
            </w:r>
          </w:p>
        </w:tc>
        <w:tc>
          <w:tcPr>
            <w:tcW w:w="1486" w:type="dxa"/>
            <w:vAlign w:val="center"/>
          </w:tcPr>
          <w:p w14:paraId="20244232">
            <w:pPr>
              <w:widowControl/>
              <w:jc w:val="center"/>
              <w:textAlignment w:val="bottom"/>
              <w:rPr>
                <w:rFonts w:ascii="Times New Roman" w:hAnsi="Times New Roman" w:eastAsia="宋体"/>
                <w:snapToGrid w:val="0"/>
                <w:color w:val="000000" w:themeColor="text1"/>
                <w:kern w:val="21"/>
                <w:szCs w:val="21"/>
                <w:highlight w:val="none"/>
                <w14:textFill>
                  <w14:solidFill>
                    <w14:schemeClr w14:val="tx1"/>
                  </w14:solidFill>
                </w14:textFill>
              </w:rPr>
            </w:pPr>
            <w:r>
              <w:rPr>
                <w:rFonts w:ascii="Times New Roman" w:hAnsi="Times New Roman" w:eastAsia="宋体"/>
                <w:color w:val="000000" w:themeColor="text1"/>
                <w:kern w:val="0"/>
                <w:szCs w:val="21"/>
                <w:highlight w:val="none"/>
                <w:lang w:bidi="ar"/>
                <w14:textFill>
                  <w14:solidFill>
                    <w14:schemeClr w14:val="tx1"/>
                  </w14:solidFill>
                </w14:textFill>
              </w:rPr>
              <w:t>/</w:t>
            </w:r>
          </w:p>
        </w:tc>
        <w:tc>
          <w:tcPr>
            <w:tcW w:w="1514" w:type="dxa"/>
            <w:shd w:val="clear" w:color="auto" w:fill="auto"/>
            <w:vAlign w:val="center"/>
          </w:tcPr>
          <w:p w14:paraId="3E7AFEA0">
            <w:pPr>
              <w:pStyle w:val="49"/>
              <w:spacing w:beforeLines="0" w:afterLines="0" w:line="240" w:lineRule="auto"/>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ascii="Times New Roman" w:hAnsi="Times New Roman" w:eastAsia="宋体"/>
                <w:snapToGrid w:val="0"/>
                <w:color w:val="000000" w:themeColor="text1"/>
                <w:kern w:val="21"/>
                <w:szCs w:val="21"/>
                <w:highlight w:val="none"/>
                <w14:textFill>
                  <w14:solidFill>
                    <w14:schemeClr w14:val="tx1"/>
                  </w14:solidFill>
                </w14:textFill>
              </w:rPr>
              <w:t>/</w:t>
            </w:r>
          </w:p>
        </w:tc>
        <w:tc>
          <w:tcPr>
            <w:tcW w:w="1418" w:type="dxa"/>
            <w:vAlign w:val="center"/>
          </w:tcPr>
          <w:p w14:paraId="5D1256FB">
            <w:pPr>
              <w:pStyle w:val="49"/>
              <w:spacing w:beforeLines="0" w:afterLines="0" w:line="240" w:lineRule="auto"/>
              <w:rPr>
                <w:rFonts w:hint="default" w:ascii="Times New Roman" w:hAnsi="Times New Roman" w:eastAsia="宋体"/>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eastAsia="宋体"/>
                <w:snapToGrid w:val="0"/>
                <w:color w:val="000000" w:themeColor="text1"/>
                <w:kern w:val="21"/>
                <w:szCs w:val="21"/>
                <w:highlight w:val="none"/>
                <w:lang w:val="en-US" w:eastAsia="zh-CN"/>
                <w14:textFill>
                  <w14:solidFill>
                    <w14:schemeClr w14:val="tx1"/>
                  </w14:solidFill>
                </w14:textFill>
              </w:rPr>
              <w:t>-0.0068</w:t>
            </w:r>
          </w:p>
        </w:tc>
        <w:tc>
          <w:tcPr>
            <w:tcW w:w="1562" w:type="dxa"/>
            <w:shd w:val="clear" w:color="auto" w:fill="auto"/>
            <w:vAlign w:val="center"/>
          </w:tcPr>
          <w:p w14:paraId="4F7BC91E">
            <w:pPr>
              <w:pStyle w:val="96"/>
              <w:spacing w:line="240" w:lineRule="auto"/>
              <w:jc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0.0462</w:t>
            </w:r>
          </w:p>
        </w:tc>
        <w:tc>
          <w:tcPr>
            <w:tcW w:w="1337" w:type="dxa"/>
            <w:shd w:val="clear" w:color="auto" w:fill="auto"/>
            <w:vAlign w:val="center"/>
          </w:tcPr>
          <w:p w14:paraId="0610E71E">
            <w:pPr>
              <w:pStyle w:val="96"/>
              <w:spacing w:line="240" w:lineRule="auto"/>
              <w:jc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w:t>
            </w:r>
          </w:p>
        </w:tc>
      </w:tr>
      <w:tr w14:paraId="3BF263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14:paraId="6B384CE0">
            <w:pPr>
              <w:pStyle w:val="49"/>
              <w:spacing w:beforeLines="0" w:afterLines="0" w:line="240" w:lineRule="auto"/>
              <w:rPr>
                <w:rFonts w:ascii="Times New Roman" w:hAnsi="Times New Roman" w:eastAsia="宋体"/>
                <w:snapToGrid w:val="0"/>
                <w:color w:val="000000" w:themeColor="text1"/>
                <w:kern w:val="21"/>
                <w:szCs w:val="21"/>
                <w:highlight w:val="none"/>
                <w14:textFill>
                  <w14:solidFill>
                    <w14:schemeClr w14:val="tx1"/>
                  </w14:solidFill>
                </w14:textFill>
              </w:rPr>
            </w:pPr>
          </w:p>
        </w:tc>
        <w:tc>
          <w:tcPr>
            <w:tcW w:w="2850" w:type="dxa"/>
            <w:vAlign w:val="center"/>
          </w:tcPr>
          <w:p w14:paraId="5483854A">
            <w:pPr>
              <w:pStyle w:val="30"/>
              <w:widowControl w:val="0"/>
              <w:spacing w:before="0" w:beforeAutospacing="0" w:after="0" w:afterAutospacing="0"/>
              <w:ind w:left="0" w:leftChars="0" w:right="0" w:rightChars="0"/>
              <w:jc w:val="center"/>
              <w:rPr>
                <w:rFonts w:ascii="Times New Roman" w:hAnsi="Times New Roman" w:eastAsia="宋体" w:cs="Times New Roman"/>
                <w:snapToGrid w:val="0"/>
                <w:color w:val="000000" w:themeColor="text1"/>
                <w:kern w:val="21"/>
                <w:sz w:val="24"/>
                <w:szCs w:val="21"/>
                <w:highlight w:val="none"/>
                <w:lang w:val="en-US" w:eastAsia="zh-CN" w:bidi="ar"/>
                <w14:textFill>
                  <w14:solidFill>
                    <w14:schemeClr w14:val="tx1"/>
                  </w14:solidFill>
                </w14:textFill>
              </w:rPr>
            </w:pPr>
            <w:r>
              <w:rPr>
                <w:rFonts w:ascii="Times New Roman" w:hAnsi="Times New Roman" w:eastAsia="宋体"/>
                <w:color w:val="000000" w:themeColor="text1"/>
                <w:kern w:val="2"/>
                <w:sz w:val="21"/>
                <w:szCs w:val="21"/>
                <w:highlight w:val="none"/>
                <w:lang w:bidi="ar"/>
                <w14:textFill>
                  <w14:solidFill>
                    <w14:schemeClr w14:val="tx1"/>
                  </w14:solidFill>
                </w14:textFill>
              </w:rPr>
              <w:t>NH</w:t>
            </w:r>
            <w:r>
              <w:rPr>
                <w:rFonts w:ascii="Times New Roman" w:hAnsi="Times New Roman" w:eastAsia="宋体"/>
                <w:color w:val="000000" w:themeColor="text1"/>
                <w:kern w:val="2"/>
                <w:sz w:val="21"/>
                <w:szCs w:val="21"/>
                <w:highlight w:val="none"/>
                <w:vertAlign w:val="subscript"/>
                <w:lang w:bidi="ar"/>
                <w14:textFill>
                  <w14:solidFill>
                    <w14:schemeClr w14:val="tx1"/>
                  </w14:solidFill>
                </w14:textFill>
              </w:rPr>
              <w:t>3-</w:t>
            </w:r>
            <w:r>
              <w:rPr>
                <w:rFonts w:ascii="Times New Roman" w:hAnsi="Times New Roman" w:eastAsia="宋体"/>
                <w:color w:val="000000" w:themeColor="text1"/>
                <w:kern w:val="2"/>
                <w:sz w:val="21"/>
                <w:szCs w:val="21"/>
                <w:highlight w:val="none"/>
                <w:lang w:bidi="ar"/>
                <w14:textFill>
                  <w14:solidFill>
                    <w14:schemeClr w14:val="tx1"/>
                  </w14:solidFill>
                </w14:textFill>
              </w:rPr>
              <w:t>N</w:t>
            </w:r>
          </w:p>
        </w:tc>
        <w:tc>
          <w:tcPr>
            <w:tcW w:w="1554" w:type="dxa"/>
            <w:vAlign w:val="center"/>
          </w:tcPr>
          <w:p w14:paraId="36A95865">
            <w:pPr>
              <w:pStyle w:val="49"/>
              <w:spacing w:beforeLines="0" w:afterLines="0" w:line="240" w:lineRule="auto"/>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0.010</w:t>
            </w:r>
          </w:p>
        </w:tc>
        <w:tc>
          <w:tcPr>
            <w:tcW w:w="1255" w:type="dxa"/>
            <w:vAlign w:val="center"/>
          </w:tcPr>
          <w:p w14:paraId="43308977">
            <w:pPr>
              <w:pStyle w:val="49"/>
              <w:spacing w:beforeLines="0" w:afterLines="0" w:line="240" w:lineRule="auto"/>
              <w:rPr>
                <w:rFonts w:ascii="Times New Roman" w:hAnsi="Times New Roman" w:eastAsia="宋体"/>
                <w:snapToGrid w:val="0"/>
                <w:color w:val="000000" w:themeColor="text1"/>
                <w:kern w:val="21"/>
                <w:szCs w:val="21"/>
                <w:highlight w:val="none"/>
                <w14:textFill>
                  <w14:solidFill>
                    <w14:schemeClr w14:val="tx1"/>
                  </w14:solidFill>
                </w14:textFill>
              </w:rPr>
            </w:pPr>
            <w:r>
              <w:rPr>
                <w:rFonts w:ascii="Times New Roman" w:hAnsi="Times New Roman" w:eastAsia="宋体"/>
                <w:snapToGrid w:val="0"/>
                <w:color w:val="000000" w:themeColor="text1"/>
                <w:kern w:val="21"/>
                <w:szCs w:val="21"/>
                <w:highlight w:val="none"/>
                <w14:textFill>
                  <w14:solidFill>
                    <w14:schemeClr w14:val="tx1"/>
                  </w14:solidFill>
                </w14:textFill>
              </w:rPr>
              <w:t>/</w:t>
            </w:r>
          </w:p>
        </w:tc>
        <w:tc>
          <w:tcPr>
            <w:tcW w:w="1486" w:type="dxa"/>
            <w:vAlign w:val="center"/>
          </w:tcPr>
          <w:p w14:paraId="52196719">
            <w:pPr>
              <w:widowControl/>
              <w:jc w:val="center"/>
              <w:textAlignment w:val="bottom"/>
              <w:rPr>
                <w:rFonts w:ascii="Times New Roman" w:hAnsi="Times New Roman" w:eastAsia="宋体"/>
                <w:snapToGrid w:val="0"/>
                <w:color w:val="000000" w:themeColor="text1"/>
                <w:kern w:val="21"/>
                <w:szCs w:val="21"/>
                <w:highlight w:val="none"/>
                <w14:textFill>
                  <w14:solidFill>
                    <w14:schemeClr w14:val="tx1"/>
                  </w14:solidFill>
                </w14:textFill>
              </w:rPr>
            </w:pPr>
            <w:r>
              <w:rPr>
                <w:rFonts w:ascii="Times New Roman" w:hAnsi="Times New Roman" w:eastAsia="宋体"/>
                <w:color w:val="000000" w:themeColor="text1"/>
                <w:kern w:val="0"/>
                <w:szCs w:val="21"/>
                <w:highlight w:val="none"/>
                <w:lang w:bidi="ar"/>
                <w14:textFill>
                  <w14:solidFill>
                    <w14:schemeClr w14:val="tx1"/>
                  </w14:solidFill>
                </w14:textFill>
              </w:rPr>
              <w:t>/</w:t>
            </w:r>
          </w:p>
        </w:tc>
        <w:tc>
          <w:tcPr>
            <w:tcW w:w="1514" w:type="dxa"/>
            <w:shd w:val="clear" w:color="auto" w:fill="auto"/>
            <w:vAlign w:val="center"/>
          </w:tcPr>
          <w:p w14:paraId="2C2A3978">
            <w:pPr>
              <w:pStyle w:val="49"/>
              <w:spacing w:beforeLines="0" w:afterLines="0" w:line="240" w:lineRule="auto"/>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ascii="Times New Roman" w:hAnsi="Times New Roman" w:eastAsia="宋体"/>
                <w:snapToGrid w:val="0"/>
                <w:color w:val="000000" w:themeColor="text1"/>
                <w:kern w:val="21"/>
                <w:szCs w:val="21"/>
                <w:highlight w:val="none"/>
                <w14:textFill>
                  <w14:solidFill>
                    <w14:schemeClr w14:val="tx1"/>
                  </w14:solidFill>
                </w14:textFill>
              </w:rPr>
              <w:t>/</w:t>
            </w:r>
          </w:p>
        </w:tc>
        <w:tc>
          <w:tcPr>
            <w:tcW w:w="1418" w:type="dxa"/>
            <w:shd w:val="clear" w:color="auto" w:fill="auto"/>
            <w:vAlign w:val="center"/>
          </w:tcPr>
          <w:p w14:paraId="3A9E4DB0">
            <w:pPr>
              <w:widowControl/>
              <w:jc w:val="center"/>
              <w:textAlignment w:val="bottom"/>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kern w:val="0"/>
                <w:szCs w:val="21"/>
                <w:highlight w:val="none"/>
                <w:lang w:bidi="ar"/>
                <w14:textFill>
                  <w14:solidFill>
                    <w14:schemeClr w14:val="tx1"/>
                  </w14:solidFill>
                </w14:textFill>
              </w:rPr>
              <w:t>/</w:t>
            </w:r>
          </w:p>
        </w:tc>
        <w:tc>
          <w:tcPr>
            <w:tcW w:w="1562" w:type="dxa"/>
            <w:shd w:val="clear" w:color="auto" w:fill="auto"/>
            <w:vAlign w:val="center"/>
          </w:tcPr>
          <w:p w14:paraId="1ADF043A">
            <w:pPr>
              <w:pStyle w:val="96"/>
              <w:spacing w:line="240" w:lineRule="auto"/>
              <w:jc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0.010</w:t>
            </w:r>
          </w:p>
        </w:tc>
        <w:tc>
          <w:tcPr>
            <w:tcW w:w="1337" w:type="dxa"/>
            <w:shd w:val="clear" w:color="auto" w:fill="auto"/>
            <w:vAlign w:val="center"/>
          </w:tcPr>
          <w:p w14:paraId="70BA6898">
            <w:pPr>
              <w:pStyle w:val="96"/>
              <w:spacing w:line="240" w:lineRule="auto"/>
              <w:jc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t>-</w:t>
            </w:r>
          </w:p>
        </w:tc>
      </w:tr>
      <w:tr w14:paraId="4BDDD7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restart"/>
            <w:vAlign w:val="center"/>
          </w:tcPr>
          <w:p w14:paraId="31DFA983">
            <w:pPr>
              <w:pStyle w:val="49"/>
              <w:spacing w:beforeLines="0" w:afterLines="0" w:line="240" w:lineRule="auto"/>
              <w:rPr>
                <w:rFonts w:ascii="Times New Roman" w:hAnsi="Times New Roman" w:eastAsia="宋体"/>
                <w:snapToGrid w:val="0"/>
                <w:color w:val="000000" w:themeColor="text1"/>
                <w:kern w:val="21"/>
                <w:szCs w:val="21"/>
                <w:highlight w:val="none"/>
                <w14:textFill>
                  <w14:solidFill>
                    <w14:schemeClr w14:val="tx1"/>
                  </w14:solidFill>
                </w14:textFill>
              </w:rPr>
            </w:pPr>
            <w:r>
              <w:rPr>
                <w:rFonts w:ascii="Times New Roman" w:hAnsi="Times New Roman" w:eastAsia="宋体"/>
                <w:snapToGrid w:val="0"/>
                <w:color w:val="000000" w:themeColor="text1"/>
                <w:kern w:val="21"/>
                <w:szCs w:val="21"/>
                <w:highlight w:val="none"/>
                <w14:textFill>
                  <w14:solidFill>
                    <w14:schemeClr w14:val="tx1"/>
                  </w14:solidFill>
                </w14:textFill>
              </w:rPr>
              <w:t>一般工业固体废物</w:t>
            </w:r>
          </w:p>
        </w:tc>
        <w:tc>
          <w:tcPr>
            <w:tcW w:w="2850" w:type="dxa"/>
            <w:shd w:val="clear" w:color="auto" w:fill="auto"/>
            <w:vAlign w:val="center"/>
          </w:tcPr>
          <w:p w14:paraId="4A0B893E">
            <w:pPr>
              <w:pStyle w:val="156"/>
              <w:ind w:firstLine="0" w:firstLineChars="0"/>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olor w:val="000000"/>
                <w:sz w:val="21"/>
                <w:szCs w:val="21"/>
              </w:rPr>
              <w:t>颗粒物</w:t>
            </w:r>
          </w:p>
        </w:tc>
        <w:tc>
          <w:tcPr>
            <w:tcW w:w="1554" w:type="dxa"/>
            <w:shd w:val="clear" w:color="auto" w:fill="auto"/>
            <w:vAlign w:val="center"/>
          </w:tcPr>
          <w:p w14:paraId="620A54C0">
            <w:pPr>
              <w:pStyle w:val="156"/>
              <w:ind w:firstLine="0" w:firstLineChars="0"/>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olor w:val="000000"/>
                <w:kern w:val="2"/>
                <w:sz w:val="21"/>
                <w:szCs w:val="21"/>
                <w:lang w:val="en-US" w:eastAsia="zh-CN" w:bidi="ar-SA"/>
              </w:rPr>
              <w:t>124.6</w:t>
            </w:r>
          </w:p>
        </w:tc>
        <w:tc>
          <w:tcPr>
            <w:tcW w:w="1255" w:type="dxa"/>
            <w:shd w:val="clear" w:color="auto" w:fill="auto"/>
            <w:vAlign w:val="center"/>
          </w:tcPr>
          <w:p w14:paraId="4AFD6270">
            <w:pPr>
              <w:keepNext w:val="0"/>
              <w:keepLines w:val="0"/>
              <w:widowControl/>
              <w:suppressLineNumbers w:val="0"/>
              <w:jc w:val="center"/>
              <w:textAlignment w:val="center"/>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86" w:type="dxa"/>
            <w:shd w:val="clear" w:color="auto" w:fill="auto"/>
            <w:vAlign w:val="center"/>
          </w:tcPr>
          <w:p w14:paraId="3EB8CFC4">
            <w:pPr>
              <w:keepNext w:val="0"/>
              <w:keepLines w:val="0"/>
              <w:widowControl/>
              <w:suppressLineNumbers w:val="0"/>
              <w:jc w:val="center"/>
              <w:textAlignment w:val="center"/>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514" w:type="dxa"/>
            <w:shd w:val="clear" w:color="auto" w:fill="auto"/>
            <w:vAlign w:val="center"/>
          </w:tcPr>
          <w:p w14:paraId="2AF8495D">
            <w:pPr>
              <w:pStyle w:val="46"/>
              <w:tabs>
                <w:tab w:val="left" w:pos="0"/>
              </w:tabs>
              <w:ind w:left="0" w:leftChars="0"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40.5925</w:t>
            </w:r>
          </w:p>
        </w:tc>
        <w:tc>
          <w:tcPr>
            <w:tcW w:w="1418" w:type="dxa"/>
            <w:shd w:val="clear" w:color="auto" w:fill="auto"/>
            <w:vAlign w:val="center"/>
          </w:tcPr>
          <w:p w14:paraId="768F4C21">
            <w:pPr>
              <w:widowControl/>
              <w:jc w:val="center"/>
              <w:textAlignment w:val="bottom"/>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hAnsi="Times New Roman" w:eastAsia="宋体"/>
                <w:snapToGrid w:val="0"/>
                <w:color w:val="000000" w:themeColor="text1"/>
                <w:kern w:val="21"/>
                <w:szCs w:val="21"/>
                <w:highlight w:val="none"/>
                <w:lang w:val="en-US" w:eastAsia="zh-CN"/>
                <w14:textFill>
                  <w14:solidFill>
                    <w14:schemeClr w14:val="tx1"/>
                  </w14:solidFill>
                </w14:textFill>
              </w:rPr>
              <w:t>/</w:t>
            </w:r>
          </w:p>
        </w:tc>
        <w:tc>
          <w:tcPr>
            <w:tcW w:w="1562" w:type="dxa"/>
            <w:shd w:val="clear" w:color="auto" w:fill="auto"/>
            <w:vAlign w:val="center"/>
          </w:tcPr>
          <w:p w14:paraId="788CDFE8">
            <w:pPr>
              <w:pStyle w:val="46"/>
              <w:tabs>
                <w:tab w:val="left" w:pos="0"/>
              </w:tabs>
              <w:ind w:left="0" w:leftChars="0"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165.1925</w:t>
            </w:r>
          </w:p>
        </w:tc>
        <w:tc>
          <w:tcPr>
            <w:tcW w:w="1337" w:type="dxa"/>
            <w:shd w:val="clear" w:color="auto" w:fill="auto"/>
            <w:vAlign w:val="center"/>
          </w:tcPr>
          <w:p w14:paraId="2ECC8296">
            <w:pPr>
              <w:keepNext w:val="0"/>
              <w:keepLines w:val="0"/>
              <w:pageBreakBefore w:val="0"/>
              <w:widowControl w:val="0"/>
              <w:kinsoku/>
              <w:wordWrap/>
              <w:overflowPunct/>
              <w:topLinePunct w:val="0"/>
              <w:autoSpaceDE w:val="0"/>
              <w:autoSpaceDN w:val="0"/>
              <w:bidi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he-IL"/>
              </w:rPr>
            </w:pPr>
            <w:r>
              <w:rPr>
                <w:rFonts w:hint="eastAsia" w:ascii="Times New Roman" w:hAnsi="Times New Roman" w:cs="Times New Roman"/>
                <w:color w:val="auto"/>
                <w:kern w:val="0"/>
                <w:sz w:val="21"/>
                <w:szCs w:val="21"/>
                <w:highlight w:val="none"/>
                <w:lang w:val="en-US" w:eastAsia="zh-CN" w:bidi="he-IL"/>
              </w:rPr>
              <w:t>+40.5925</w:t>
            </w:r>
          </w:p>
        </w:tc>
      </w:tr>
      <w:tr w14:paraId="0B0741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14:paraId="66F0B7C6">
            <w:pPr>
              <w:pStyle w:val="49"/>
              <w:spacing w:beforeLines="0" w:afterLines="0" w:line="240" w:lineRule="auto"/>
              <w:rPr>
                <w:rFonts w:ascii="Times New Roman" w:hAnsi="Times New Roman" w:eastAsia="宋体"/>
                <w:snapToGrid w:val="0"/>
                <w:color w:val="000000" w:themeColor="text1"/>
                <w:kern w:val="21"/>
                <w:szCs w:val="21"/>
                <w:highlight w:val="none"/>
                <w14:textFill>
                  <w14:solidFill>
                    <w14:schemeClr w14:val="tx1"/>
                  </w14:solidFill>
                </w14:textFill>
              </w:rPr>
            </w:pPr>
          </w:p>
        </w:tc>
        <w:tc>
          <w:tcPr>
            <w:tcW w:w="2850" w:type="dxa"/>
            <w:shd w:val="clear" w:color="auto" w:fill="auto"/>
            <w:vAlign w:val="center"/>
          </w:tcPr>
          <w:p w14:paraId="430748D6">
            <w:pPr>
              <w:pStyle w:val="156"/>
              <w:ind w:firstLine="0" w:firstLineChars="0"/>
              <w:jc w:val="center"/>
              <w:rPr>
                <w:rFonts w:hint="eastAsia" w:ascii="Times New Roman" w:hAnsi="Times New Roman" w:eastAsia="宋体" w:cs="Times New Roman"/>
                <w:color w:val="000000"/>
                <w:kern w:val="2"/>
                <w:sz w:val="21"/>
                <w:szCs w:val="21"/>
                <w:lang w:val="en-US" w:eastAsia="zh-CN" w:bidi="ar-SA"/>
              </w:rPr>
            </w:pPr>
            <w:r>
              <w:rPr>
                <w:rFonts w:ascii="Times New Roman" w:hAnsi="Times New Roman" w:eastAsia="宋体"/>
                <w:color w:val="000000"/>
                <w:sz w:val="21"/>
                <w:szCs w:val="21"/>
              </w:rPr>
              <w:t>边角料</w:t>
            </w:r>
          </w:p>
        </w:tc>
        <w:tc>
          <w:tcPr>
            <w:tcW w:w="1554" w:type="dxa"/>
            <w:vAlign w:val="center"/>
          </w:tcPr>
          <w:p w14:paraId="0D8993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kern w:val="2"/>
                <w:sz w:val="21"/>
                <w:szCs w:val="21"/>
                <w:lang w:val="en-US" w:eastAsia="zh-CN" w:bidi="ar-SA"/>
              </w:rPr>
              <w:t>5274.1</w:t>
            </w:r>
          </w:p>
        </w:tc>
        <w:tc>
          <w:tcPr>
            <w:tcW w:w="1255" w:type="dxa"/>
            <w:vAlign w:val="center"/>
          </w:tcPr>
          <w:p w14:paraId="0F574F89">
            <w:pPr>
              <w:keepNext w:val="0"/>
              <w:keepLines w:val="0"/>
              <w:widowControl/>
              <w:suppressLineNumbers w:val="0"/>
              <w:jc w:val="center"/>
              <w:textAlignment w:val="center"/>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86" w:type="dxa"/>
            <w:vAlign w:val="center"/>
          </w:tcPr>
          <w:p w14:paraId="0F7440FD">
            <w:pPr>
              <w:keepNext w:val="0"/>
              <w:keepLines w:val="0"/>
              <w:widowControl/>
              <w:suppressLineNumbers w:val="0"/>
              <w:jc w:val="center"/>
              <w:textAlignment w:val="center"/>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514" w:type="dxa"/>
            <w:shd w:val="clear" w:color="auto" w:fill="auto"/>
            <w:vAlign w:val="center"/>
          </w:tcPr>
          <w:p w14:paraId="02FD1594">
            <w:pPr>
              <w:pStyle w:val="46"/>
              <w:tabs>
                <w:tab w:val="left" w:pos="0"/>
              </w:tabs>
              <w:ind w:left="0" w:leftChars="0"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879</w:t>
            </w:r>
          </w:p>
        </w:tc>
        <w:tc>
          <w:tcPr>
            <w:tcW w:w="1418" w:type="dxa"/>
            <w:vAlign w:val="center"/>
          </w:tcPr>
          <w:p w14:paraId="62935BC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562" w:type="dxa"/>
            <w:shd w:val="clear" w:color="auto" w:fill="auto"/>
            <w:vAlign w:val="center"/>
          </w:tcPr>
          <w:p w14:paraId="1F0CDE4A">
            <w:pPr>
              <w:pStyle w:val="46"/>
              <w:tabs>
                <w:tab w:val="left" w:pos="0"/>
              </w:tabs>
              <w:ind w:left="0" w:leftChars="0"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6153.1</w:t>
            </w:r>
          </w:p>
        </w:tc>
        <w:tc>
          <w:tcPr>
            <w:tcW w:w="1337" w:type="dxa"/>
            <w:shd w:val="clear" w:color="auto" w:fill="auto"/>
            <w:vAlign w:val="center"/>
          </w:tcPr>
          <w:p w14:paraId="7FC5955A">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he-IL"/>
              </w:rPr>
            </w:pPr>
            <w:r>
              <w:rPr>
                <w:rFonts w:hint="eastAsia" w:ascii="Times New Roman" w:hAnsi="Times New Roman" w:cs="Times New Roman"/>
                <w:color w:val="auto"/>
                <w:kern w:val="0"/>
                <w:sz w:val="21"/>
                <w:szCs w:val="21"/>
                <w:highlight w:val="none"/>
                <w:lang w:val="en-US" w:eastAsia="zh-CN" w:bidi="he-IL"/>
              </w:rPr>
              <w:t>+879</w:t>
            </w:r>
          </w:p>
        </w:tc>
      </w:tr>
      <w:tr w14:paraId="526BD7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14:paraId="2364BED5">
            <w:pPr>
              <w:pStyle w:val="49"/>
              <w:spacing w:beforeLines="0" w:afterLines="0" w:line="240" w:lineRule="auto"/>
              <w:rPr>
                <w:rFonts w:ascii="Times New Roman" w:hAnsi="Times New Roman" w:eastAsia="宋体"/>
                <w:snapToGrid w:val="0"/>
                <w:color w:val="000000" w:themeColor="text1"/>
                <w:kern w:val="21"/>
                <w:szCs w:val="21"/>
                <w:highlight w:val="none"/>
                <w14:textFill>
                  <w14:solidFill>
                    <w14:schemeClr w14:val="tx1"/>
                  </w14:solidFill>
                </w14:textFill>
              </w:rPr>
            </w:pPr>
          </w:p>
        </w:tc>
        <w:tc>
          <w:tcPr>
            <w:tcW w:w="2850" w:type="dxa"/>
            <w:shd w:val="clear" w:color="auto" w:fill="auto"/>
            <w:vAlign w:val="center"/>
          </w:tcPr>
          <w:p w14:paraId="1C9B6C07">
            <w:pPr>
              <w:pStyle w:val="156"/>
              <w:ind w:firstLine="0" w:firstLine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废布袋</w:t>
            </w:r>
          </w:p>
        </w:tc>
        <w:tc>
          <w:tcPr>
            <w:tcW w:w="1554" w:type="dxa"/>
            <w:vAlign w:val="center"/>
          </w:tcPr>
          <w:p w14:paraId="790F3997">
            <w:pPr>
              <w:pStyle w:val="15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kern w:val="0"/>
                <w:sz w:val="21"/>
                <w:szCs w:val="21"/>
                <w:lang w:val="en-US" w:eastAsia="zh-CN" w:bidi="ar-SA"/>
              </w:rPr>
              <w:t>1.5</w:t>
            </w:r>
          </w:p>
        </w:tc>
        <w:tc>
          <w:tcPr>
            <w:tcW w:w="1255" w:type="dxa"/>
            <w:vAlign w:val="center"/>
          </w:tcPr>
          <w:p w14:paraId="1D0454BF">
            <w:pPr>
              <w:keepNext w:val="0"/>
              <w:keepLines w:val="0"/>
              <w:widowControl/>
              <w:suppressLineNumbers w:val="0"/>
              <w:jc w:val="center"/>
              <w:textAlignment w:val="center"/>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86" w:type="dxa"/>
            <w:vAlign w:val="center"/>
          </w:tcPr>
          <w:p w14:paraId="545E1FCC">
            <w:pPr>
              <w:keepNext w:val="0"/>
              <w:keepLines w:val="0"/>
              <w:widowControl/>
              <w:suppressLineNumbers w:val="0"/>
              <w:jc w:val="center"/>
              <w:textAlignment w:val="center"/>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514" w:type="dxa"/>
            <w:shd w:val="clear" w:color="auto" w:fill="auto"/>
            <w:vAlign w:val="center"/>
          </w:tcPr>
          <w:p w14:paraId="344835CB">
            <w:pPr>
              <w:pStyle w:val="46"/>
              <w:tabs>
                <w:tab w:val="left" w:pos="0"/>
              </w:tabs>
              <w:ind w:left="0" w:leftChars="0"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1.5</w:t>
            </w:r>
          </w:p>
        </w:tc>
        <w:tc>
          <w:tcPr>
            <w:tcW w:w="1418" w:type="dxa"/>
            <w:vAlign w:val="center"/>
          </w:tcPr>
          <w:p w14:paraId="46499EAB">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562" w:type="dxa"/>
            <w:shd w:val="clear" w:color="auto" w:fill="auto"/>
            <w:vAlign w:val="center"/>
          </w:tcPr>
          <w:p w14:paraId="41ADA758">
            <w:pPr>
              <w:pStyle w:val="46"/>
              <w:tabs>
                <w:tab w:val="left" w:pos="0"/>
              </w:tabs>
              <w:ind w:left="0" w:leftChars="0"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3</w:t>
            </w:r>
          </w:p>
        </w:tc>
        <w:tc>
          <w:tcPr>
            <w:tcW w:w="1337" w:type="dxa"/>
            <w:shd w:val="clear" w:color="auto" w:fill="auto"/>
            <w:vAlign w:val="center"/>
          </w:tcPr>
          <w:p w14:paraId="426F2D6F">
            <w:pPr>
              <w:keepNext w:val="0"/>
              <w:keepLines w:val="0"/>
              <w:pageBreakBefore w:val="0"/>
              <w:widowControl w:val="0"/>
              <w:kinsoku/>
              <w:wordWrap/>
              <w:overflowPunct/>
              <w:topLinePunct w:val="0"/>
              <w:autoSpaceDE w:val="0"/>
              <w:autoSpaceDN w:val="0"/>
              <w:bidi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he-IL"/>
              </w:rPr>
            </w:pPr>
            <w:r>
              <w:rPr>
                <w:rFonts w:hint="eastAsia" w:ascii="Times New Roman" w:hAnsi="Times New Roman" w:cs="Times New Roman"/>
                <w:color w:val="auto"/>
                <w:kern w:val="0"/>
                <w:sz w:val="21"/>
                <w:szCs w:val="21"/>
                <w:highlight w:val="none"/>
                <w:lang w:val="en-US" w:eastAsia="zh-CN" w:bidi="he-IL"/>
              </w:rPr>
              <w:t>+1.5</w:t>
            </w:r>
          </w:p>
        </w:tc>
      </w:tr>
      <w:tr w14:paraId="0E417E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14:paraId="3A2BD108">
            <w:pPr>
              <w:pStyle w:val="49"/>
              <w:spacing w:beforeLines="0" w:afterLines="0" w:line="240" w:lineRule="auto"/>
              <w:rPr>
                <w:rFonts w:ascii="Times New Roman" w:hAnsi="Times New Roman" w:eastAsia="宋体"/>
                <w:snapToGrid w:val="0"/>
                <w:color w:val="000000" w:themeColor="text1"/>
                <w:kern w:val="21"/>
                <w:szCs w:val="21"/>
                <w:highlight w:val="none"/>
                <w14:textFill>
                  <w14:solidFill>
                    <w14:schemeClr w14:val="tx1"/>
                  </w14:solidFill>
                </w14:textFill>
              </w:rPr>
            </w:pPr>
          </w:p>
        </w:tc>
        <w:tc>
          <w:tcPr>
            <w:tcW w:w="2850" w:type="dxa"/>
            <w:shd w:val="clear" w:color="auto" w:fill="auto"/>
            <w:vAlign w:val="center"/>
          </w:tcPr>
          <w:p w14:paraId="69664F11">
            <w:pPr>
              <w:pStyle w:val="156"/>
              <w:ind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炉渣</w:t>
            </w:r>
          </w:p>
        </w:tc>
        <w:tc>
          <w:tcPr>
            <w:tcW w:w="1554" w:type="dxa"/>
            <w:vAlign w:val="center"/>
          </w:tcPr>
          <w:p w14:paraId="5FD71589">
            <w:pPr>
              <w:pStyle w:val="15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0</w:t>
            </w:r>
          </w:p>
        </w:tc>
        <w:tc>
          <w:tcPr>
            <w:tcW w:w="1255" w:type="dxa"/>
            <w:vAlign w:val="center"/>
          </w:tcPr>
          <w:p w14:paraId="4410527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86" w:type="dxa"/>
            <w:vAlign w:val="center"/>
          </w:tcPr>
          <w:p w14:paraId="6D04975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514" w:type="dxa"/>
            <w:shd w:val="clear" w:color="auto" w:fill="auto"/>
            <w:vAlign w:val="center"/>
          </w:tcPr>
          <w:p w14:paraId="79A32144">
            <w:pPr>
              <w:pStyle w:val="46"/>
              <w:tabs>
                <w:tab w:val="left" w:pos="0"/>
              </w:tabs>
              <w:ind w:left="0" w:leftChars="0"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7.</w:t>
            </w: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6</w:t>
            </w:r>
          </w:p>
        </w:tc>
        <w:tc>
          <w:tcPr>
            <w:tcW w:w="1418" w:type="dxa"/>
            <w:vAlign w:val="center"/>
          </w:tcPr>
          <w:p w14:paraId="40D845E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562" w:type="dxa"/>
            <w:shd w:val="clear" w:color="auto" w:fill="auto"/>
            <w:vAlign w:val="center"/>
          </w:tcPr>
          <w:p w14:paraId="2E00F5D5">
            <w:pPr>
              <w:pStyle w:val="46"/>
              <w:tabs>
                <w:tab w:val="left" w:pos="0"/>
              </w:tabs>
              <w:ind w:left="0" w:leftChars="0"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7.</w:t>
            </w: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6</w:t>
            </w:r>
          </w:p>
        </w:tc>
        <w:tc>
          <w:tcPr>
            <w:tcW w:w="1337" w:type="dxa"/>
            <w:shd w:val="clear" w:color="auto" w:fill="auto"/>
            <w:vAlign w:val="center"/>
          </w:tcPr>
          <w:p w14:paraId="7244292A">
            <w:pPr>
              <w:keepNext w:val="0"/>
              <w:keepLines w:val="0"/>
              <w:pageBreakBefore w:val="0"/>
              <w:widowControl w:val="0"/>
              <w:kinsoku/>
              <w:wordWrap/>
              <w:overflowPunct/>
              <w:topLinePunct w:val="0"/>
              <w:autoSpaceDE w:val="0"/>
              <w:autoSpaceDN w:val="0"/>
              <w:bidi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he-IL"/>
              </w:rPr>
            </w:pPr>
            <w:r>
              <w:rPr>
                <w:rFonts w:hint="eastAsia" w:ascii="Times New Roman" w:hAnsi="Times New Roman" w:cs="Times New Roman"/>
                <w:color w:val="auto"/>
                <w:kern w:val="0"/>
                <w:sz w:val="21"/>
                <w:szCs w:val="21"/>
                <w:highlight w:val="none"/>
                <w:lang w:val="en-US" w:eastAsia="zh-CN" w:bidi="he-IL"/>
              </w:rPr>
              <w:t>+7.</w:t>
            </w:r>
            <w:r>
              <w:rPr>
                <w:rFonts w:hint="eastAsia" w:cs="Times New Roman"/>
                <w:color w:val="auto"/>
                <w:kern w:val="0"/>
                <w:sz w:val="21"/>
                <w:szCs w:val="21"/>
                <w:highlight w:val="none"/>
                <w:lang w:val="en-US" w:eastAsia="zh-CN" w:bidi="he-IL"/>
              </w:rPr>
              <w:t>6</w:t>
            </w:r>
          </w:p>
        </w:tc>
      </w:tr>
      <w:tr w14:paraId="7C9D27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14:paraId="20194645">
            <w:pPr>
              <w:pStyle w:val="49"/>
              <w:spacing w:beforeLines="0" w:afterLines="0" w:line="240" w:lineRule="auto"/>
              <w:rPr>
                <w:rFonts w:ascii="Times New Roman" w:hAnsi="Times New Roman" w:eastAsia="宋体"/>
                <w:snapToGrid w:val="0"/>
                <w:color w:val="000000" w:themeColor="text1"/>
                <w:kern w:val="21"/>
                <w:szCs w:val="21"/>
                <w:highlight w:val="none"/>
                <w14:textFill>
                  <w14:solidFill>
                    <w14:schemeClr w14:val="tx1"/>
                  </w14:solidFill>
                </w14:textFill>
              </w:rPr>
            </w:pPr>
          </w:p>
        </w:tc>
        <w:tc>
          <w:tcPr>
            <w:tcW w:w="2850" w:type="dxa"/>
            <w:shd w:val="clear" w:color="auto" w:fill="auto"/>
            <w:vAlign w:val="center"/>
          </w:tcPr>
          <w:p w14:paraId="54F6CF18">
            <w:pPr>
              <w:pStyle w:val="156"/>
              <w:ind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钢筋边角料</w:t>
            </w:r>
          </w:p>
        </w:tc>
        <w:tc>
          <w:tcPr>
            <w:tcW w:w="1554" w:type="dxa"/>
            <w:vAlign w:val="center"/>
          </w:tcPr>
          <w:p w14:paraId="0B39AE83">
            <w:pPr>
              <w:pStyle w:val="15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0</w:t>
            </w:r>
          </w:p>
        </w:tc>
        <w:tc>
          <w:tcPr>
            <w:tcW w:w="1255" w:type="dxa"/>
            <w:vAlign w:val="center"/>
          </w:tcPr>
          <w:p w14:paraId="5DA1F96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86" w:type="dxa"/>
            <w:vAlign w:val="center"/>
          </w:tcPr>
          <w:p w14:paraId="550A423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514" w:type="dxa"/>
            <w:shd w:val="clear" w:color="auto" w:fill="auto"/>
            <w:vAlign w:val="center"/>
          </w:tcPr>
          <w:p w14:paraId="2608BCDD">
            <w:pPr>
              <w:pStyle w:val="46"/>
              <w:tabs>
                <w:tab w:val="left" w:pos="0"/>
              </w:tabs>
              <w:ind w:left="0" w:leftChars="0"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5</w:t>
            </w:r>
          </w:p>
        </w:tc>
        <w:tc>
          <w:tcPr>
            <w:tcW w:w="1418" w:type="dxa"/>
            <w:vAlign w:val="center"/>
          </w:tcPr>
          <w:p w14:paraId="4ECBA63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562" w:type="dxa"/>
            <w:shd w:val="clear" w:color="auto" w:fill="auto"/>
            <w:vAlign w:val="center"/>
          </w:tcPr>
          <w:p w14:paraId="4933EFC7">
            <w:pPr>
              <w:pStyle w:val="46"/>
              <w:tabs>
                <w:tab w:val="left" w:pos="0"/>
              </w:tabs>
              <w:ind w:left="0" w:leftChars="0"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5</w:t>
            </w:r>
          </w:p>
        </w:tc>
        <w:tc>
          <w:tcPr>
            <w:tcW w:w="1337" w:type="dxa"/>
            <w:shd w:val="clear" w:color="auto" w:fill="auto"/>
            <w:vAlign w:val="center"/>
          </w:tcPr>
          <w:p w14:paraId="1B5DF9C1">
            <w:pPr>
              <w:keepNext w:val="0"/>
              <w:keepLines w:val="0"/>
              <w:pageBreakBefore w:val="0"/>
              <w:widowControl w:val="0"/>
              <w:kinsoku/>
              <w:wordWrap/>
              <w:overflowPunct/>
              <w:topLinePunct w:val="0"/>
              <w:autoSpaceDE w:val="0"/>
              <w:autoSpaceDN w:val="0"/>
              <w:bidi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he-IL"/>
              </w:rPr>
            </w:pPr>
            <w:r>
              <w:rPr>
                <w:rFonts w:hint="eastAsia" w:ascii="Times New Roman" w:hAnsi="Times New Roman" w:cs="Times New Roman"/>
                <w:color w:val="auto"/>
                <w:kern w:val="0"/>
                <w:sz w:val="21"/>
                <w:szCs w:val="21"/>
                <w:highlight w:val="none"/>
                <w:lang w:val="en-US" w:eastAsia="zh-CN" w:bidi="he-IL"/>
              </w:rPr>
              <w:t>+5</w:t>
            </w:r>
          </w:p>
        </w:tc>
      </w:tr>
      <w:tr w14:paraId="40C22E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14:paraId="50A79719">
            <w:pPr>
              <w:pStyle w:val="49"/>
              <w:spacing w:beforeLines="0" w:afterLines="0" w:line="240" w:lineRule="auto"/>
              <w:rPr>
                <w:rFonts w:ascii="Times New Roman" w:hAnsi="Times New Roman" w:eastAsia="宋体"/>
                <w:snapToGrid w:val="0"/>
                <w:color w:val="000000" w:themeColor="text1"/>
                <w:kern w:val="21"/>
                <w:szCs w:val="21"/>
                <w:highlight w:val="none"/>
                <w14:textFill>
                  <w14:solidFill>
                    <w14:schemeClr w14:val="tx1"/>
                  </w14:solidFill>
                </w14:textFill>
              </w:rPr>
            </w:pPr>
          </w:p>
        </w:tc>
        <w:tc>
          <w:tcPr>
            <w:tcW w:w="2850" w:type="dxa"/>
            <w:shd w:val="clear" w:color="auto" w:fill="auto"/>
            <w:vAlign w:val="center"/>
          </w:tcPr>
          <w:p w14:paraId="03409356">
            <w:pPr>
              <w:pStyle w:val="156"/>
              <w:ind w:firstLine="0" w:firstLineChars="0"/>
              <w:jc w:val="center"/>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生活垃圾</w:t>
            </w:r>
          </w:p>
        </w:tc>
        <w:tc>
          <w:tcPr>
            <w:tcW w:w="1554" w:type="dxa"/>
            <w:vAlign w:val="center"/>
          </w:tcPr>
          <w:p w14:paraId="3464BFCC">
            <w:pPr>
              <w:pStyle w:val="15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kern w:val="0"/>
                <w:sz w:val="21"/>
                <w:szCs w:val="21"/>
                <w:lang w:val="en-US" w:eastAsia="zh-CN" w:bidi="ar-SA"/>
              </w:rPr>
              <w:t>7.5</w:t>
            </w:r>
          </w:p>
        </w:tc>
        <w:tc>
          <w:tcPr>
            <w:tcW w:w="1255" w:type="dxa"/>
            <w:vAlign w:val="center"/>
          </w:tcPr>
          <w:p w14:paraId="26BC50E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86" w:type="dxa"/>
            <w:vAlign w:val="center"/>
          </w:tcPr>
          <w:p w14:paraId="2CFE801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514" w:type="dxa"/>
            <w:shd w:val="clear" w:color="auto" w:fill="auto"/>
            <w:vAlign w:val="center"/>
          </w:tcPr>
          <w:p w14:paraId="3B07EFA2">
            <w:pPr>
              <w:pStyle w:val="46"/>
              <w:tabs>
                <w:tab w:val="left" w:pos="0"/>
              </w:tabs>
              <w:ind w:left="0" w:leftChars="0" w:firstLine="0" w:firstLineChars="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0</w:t>
            </w:r>
          </w:p>
        </w:tc>
        <w:tc>
          <w:tcPr>
            <w:tcW w:w="1418" w:type="dxa"/>
            <w:shd w:val="clear" w:color="auto" w:fill="auto"/>
            <w:vAlign w:val="center"/>
          </w:tcPr>
          <w:p w14:paraId="1D489F2A">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562" w:type="dxa"/>
            <w:shd w:val="clear" w:color="auto" w:fill="auto"/>
            <w:vAlign w:val="center"/>
          </w:tcPr>
          <w:p w14:paraId="31C53DD7">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t>7.5</w:t>
            </w:r>
          </w:p>
        </w:tc>
        <w:tc>
          <w:tcPr>
            <w:tcW w:w="1337" w:type="dxa"/>
            <w:shd w:val="clear" w:color="auto" w:fill="auto"/>
            <w:vAlign w:val="center"/>
          </w:tcPr>
          <w:p w14:paraId="5678EC5D">
            <w:pPr>
              <w:keepNext w:val="0"/>
              <w:keepLines w:val="0"/>
              <w:pageBreakBefore w:val="0"/>
              <w:widowControl w:val="0"/>
              <w:kinsoku/>
              <w:wordWrap/>
              <w:overflowPunct/>
              <w:topLinePunct w:val="0"/>
              <w:autoSpaceDE w:val="0"/>
              <w:autoSpaceDN w:val="0"/>
              <w:bidi w:val="0"/>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w:t>
            </w:r>
          </w:p>
        </w:tc>
      </w:tr>
      <w:tr w14:paraId="2BAAE1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8" w:hRule="exact"/>
        </w:trPr>
        <w:tc>
          <w:tcPr>
            <w:tcW w:w="812" w:type="dxa"/>
            <w:vAlign w:val="center"/>
          </w:tcPr>
          <w:p w14:paraId="4BD899CB">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ascii="Times New Roman" w:hAnsi="Times New Roman" w:eastAsia="宋体"/>
                <w:snapToGrid w:val="0"/>
                <w:color w:val="000000" w:themeColor="text1"/>
                <w:kern w:val="21"/>
                <w:szCs w:val="21"/>
                <w:highlight w:val="none"/>
                <w14:textFill>
                  <w14:solidFill>
                    <w14:schemeClr w14:val="tx1"/>
                  </w14:solidFill>
                </w14:textFill>
              </w:rPr>
            </w:pPr>
            <w:r>
              <w:rPr>
                <w:rFonts w:hint="eastAsia" w:ascii="Times New Roman" w:hAnsi="Times New Roman" w:eastAsia="宋体" w:cs="宋体"/>
                <w:snapToGrid w:val="0"/>
                <w:color w:val="000000"/>
                <w:kern w:val="21"/>
                <w:sz w:val="21"/>
                <w:szCs w:val="21"/>
              </w:rPr>
              <w:t>危险废物</w:t>
            </w:r>
          </w:p>
        </w:tc>
        <w:tc>
          <w:tcPr>
            <w:tcW w:w="2850" w:type="dxa"/>
            <w:shd w:val="clear" w:color="auto" w:fill="auto"/>
            <w:vAlign w:val="center"/>
          </w:tcPr>
          <w:p w14:paraId="62F3DC72">
            <w:pPr>
              <w:ind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snapToGrid w:val="0"/>
                <w:color w:val="000000"/>
                <w:kern w:val="21"/>
                <w:sz w:val="21"/>
                <w:szCs w:val="21"/>
                <w:lang w:val="en-US" w:eastAsia="zh-CN" w:bidi="ar-SA"/>
              </w:rPr>
              <w:t>/</w:t>
            </w:r>
          </w:p>
        </w:tc>
        <w:tc>
          <w:tcPr>
            <w:tcW w:w="1554" w:type="dxa"/>
            <w:vAlign w:val="center"/>
          </w:tcPr>
          <w:p w14:paraId="614DC7B7">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snapToGrid w:val="0"/>
                <w:color w:val="000000"/>
                <w:kern w:val="21"/>
                <w:sz w:val="21"/>
                <w:szCs w:val="21"/>
                <w:lang w:val="en-US" w:eastAsia="zh-CN" w:bidi="ar-SA"/>
              </w:rPr>
              <w:t>/</w:t>
            </w:r>
          </w:p>
        </w:tc>
        <w:tc>
          <w:tcPr>
            <w:tcW w:w="1255" w:type="dxa"/>
            <w:vAlign w:val="center"/>
          </w:tcPr>
          <w:p w14:paraId="2AFDC4B9">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snapToGrid w:val="0"/>
                <w:color w:val="000000"/>
                <w:kern w:val="21"/>
                <w:sz w:val="21"/>
                <w:szCs w:val="21"/>
                <w:lang w:val="en-US" w:eastAsia="zh-CN" w:bidi="ar-SA"/>
              </w:rPr>
              <w:t>/</w:t>
            </w:r>
          </w:p>
        </w:tc>
        <w:tc>
          <w:tcPr>
            <w:tcW w:w="1486" w:type="dxa"/>
            <w:vAlign w:val="center"/>
          </w:tcPr>
          <w:p w14:paraId="61780CD0">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snapToGrid w:val="0"/>
                <w:color w:val="000000"/>
                <w:kern w:val="21"/>
                <w:sz w:val="21"/>
                <w:szCs w:val="21"/>
                <w:lang w:val="en-US" w:eastAsia="zh-CN" w:bidi="ar-SA"/>
              </w:rPr>
              <w:t>/</w:t>
            </w:r>
          </w:p>
        </w:tc>
        <w:tc>
          <w:tcPr>
            <w:tcW w:w="1514" w:type="dxa"/>
            <w:shd w:val="clear" w:color="auto" w:fill="auto"/>
            <w:vAlign w:val="center"/>
          </w:tcPr>
          <w:p w14:paraId="2DD7FC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kern w:val="21"/>
                <w:sz w:val="21"/>
                <w:szCs w:val="21"/>
                <w:lang w:val="en-US" w:eastAsia="zh-CN" w:bidi="ar-SA"/>
              </w:rPr>
              <w:t>/</w:t>
            </w:r>
          </w:p>
        </w:tc>
        <w:tc>
          <w:tcPr>
            <w:tcW w:w="1418" w:type="dxa"/>
            <w:shd w:val="clear" w:color="auto" w:fill="auto"/>
            <w:vAlign w:val="center"/>
          </w:tcPr>
          <w:p w14:paraId="10D414CB">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snapToGrid w:val="0"/>
                <w:color w:val="000000"/>
                <w:kern w:val="21"/>
                <w:sz w:val="21"/>
                <w:szCs w:val="21"/>
                <w:lang w:val="en-US" w:eastAsia="zh-CN" w:bidi="ar-SA"/>
              </w:rPr>
              <w:t>/</w:t>
            </w:r>
          </w:p>
        </w:tc>
        <w:tc>
          <w:tcPr>
            <w:tcW w:w="1562" w:type="dxa"/>
            <w:shd w:val="clear" w:color="auto" w:fill="auto"/>
            <w:vAlign w:val="center"/>
          </w:tcPr>
          <w:p w14:paraId="38EFAB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kern w:val="21"/>
                <w:sz w:val="21"/>
                <w:szCs w:val="21"/>
                <w:lang w:val="en-US" w:eastAsia="zh-CN" w:bidi="ar-SA"/>
              </w:rPr>
              <w:t>/</w:t>
            </w:r>
          </w:p>
        </w:tc>
        <w:tc>
          <w:tcPr>
            <w:tcW w:w="1337" w:type="dxa"/>
            <w:shd w:val="clear" w:color="auto" w:fill="auto"/>
            <w:vAlign w:val="center"/>
          </w:tcPr>
          <w:p w14:paraId="2F726D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kern w:val="21"/>
                <w:sz w:val="21"/>
                <w:szCs w:val="21"/>
                <w:lang w:val="en-US" w:eastAsia="zh-CN" w:bidi="ar-SA"/>
              </w:rPr>
              <w:t>/</w:t>
            </w:r>
          </w:p>
        </w:tc>
      </w:tr>
    </w:tbl>
    <w:p w14:paraId="4AF4FDBA">
      <w:pPr>
        <w:rPr>
          <w:rFonts w:hint="default"/>
          <w:b/>
          <w:bCs/>
          <w:color w:val="000000" w:themeColor="text1"/>
          <w:lang w:val="en-US" w:eastAsia="zh-CN"/>
          <w14:textFill>
            <w14:solidFill>
              <w14:schemeClr w14:val="tx1"/>
            </w14:solidFill>
          </w14:textFill>
        </w:rPr>
      </w:pPr>
      <w:r>
        <w:rPr>
          <w:rFonts w:hAnsi="宋体"/>
          <w:snapToGrid w:val="0"/>
          <w:color w:val="000000" w:themeColor="text1"/>
          <w:kern w:val="21"/>
          <w:szCs w:val="21"/>
          <w:highlight w:val="none"/>
          <w14:textFill>
            <w14:solidFill>
              <w14:schemeClr w14:val="tx1"/>
            </w14:solidFill>
          </w14:textFill>
        </w:rPr>
        <w:t>注：</w:t>
      </w:r>
      <w:r>
        <w:rPr>
          <w:rFonts w:hAnsi="宋体"/>
          <w:snapToGrid w:val="0"/>
          <w:color w:val="000000" w:themeColor="text1"/>
          <w:spacing w:val="-16"/>
          <w:kern w:val="21"/>
          <w:szCs w:val="21"/>
          <w:highlight w:val="none"/>
          <w14:textFill>
            <w14:solidFill>
              <w14:schemeClr w14:val="tx1"/>
            </w14:solidFill>
          </w14:textFill>
        </w:rPr>
        <w:fldChar w:fldCharType="begin"/>
      </w:r>
      <w:r>
        <w:rPr>
          <w:rFonts w:hAnsi="宋体"/>
          <w:snapToGrid w:val="0"/>
          <w:color w:val="000000" w:themeColor="text1"/>
          <w:spacing w:val="-16"/>
          <w:kern w:val="21"/>
          <w:szCs w:val="21"/>
          <w:highlight w:val="none"/>
          <w14:textFill>
            <w14:solidFill>
              <w14:schemeClr w14:val="tx1"/>
            </w14:solidFill>
          </w14:textFill>
        </w:rPr>
        <w:instrText xml:space="preserve"> = 6 \* GB3 \* MERGEFORMAT </w:instrText>
      </w:r>
      <w:r>
        <w:rPr>
          <w:rFonts w:hAnsi="宋体"/>
          <w:snapToGrid w:val="0"/>
          <w:color w:val="000000" w:themeColor="text1"/>
          <w:spacing w:val="-1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⑥</w:t>
      </w:r>
      <w:r>
        <w:rPr>
          <w:rFonts w:hAnsi="宋体"/>
          <w:snapToGrid w:val="0"/>
          <w:color w:val="000000" w:themeColor="text1"/>
          <w:spacing w:val="-16"/>
          <w:kern w:val="21"/>
          <w:szCs w:val="21"/>
          <w:highlight w:val="none"/>
          <w14:textFill>
            <w14:solidFill>
              <w14:schemeClr w14:val="tx1"/>
            </w14:solidFill>
          </w14:textFill>
        </w:rPr>
        <w:fldChar w:fldCharType="end"/>
      </w:r>
      <w:r>
        <w:rPr>
          <w:rFonts w:hAnsi="宋体"/>
          <w:snapToGrid w:val="0"/>
          <w:color w:val="000000" w:themeColor="text1"/>
          <w:spacing w:val="-16"/>
          <w:kern w:val="21"/>
          <w:szCs w:val="21"/>
          <w:highlight w:val="none"/>
          <w14:textFill>
            <w14:solidFill>
              <w14:schemeClr w14:val="tx1"/>
            </w14:solidFill>
          </w14:textFill>
        </w:rPr>
        <w:t>=</w:t>
      </w:r>
      <w:r>
        <w:rPr>
          <w:rFonts w:hAnsi="宋体"/>
          <w:snapToGrid w:val="0"/>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1 \* GB3 \* MERGEFORMAT </w:instrText>
      </w:r>
      <w:r>
        <w:rPr>
          <w:rFonts w:hAnsi="宋体"/>
          <w:snapToGrid w:val="0"/>
          <w:color w:val="000000" w:themeColor="text1"/>
          <w:spacing w:val="-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①</w:t>
      </w:r>
      <w:r>
        <w:rPr>
          <w:rFonts w:hAnsi="宋体"/>
          <w:snapToGrid w:val="0"/>
          <w:color w:val="000000" w:themeColor="text1"/>
          <w:spacing w:val="-6"/>
          <w:kern w:val="21"/>
          <w:szCs w:val="21"/>
          <w:highlight w:val="none"/>
          <w14:textFill>
            <w14:solidFill>
              <w14:schemeClr w14:val="tx1"/>
            </w14:solidFill>
          </w14:textFill>
        </w:rPr>
        <w:fldChar w:fldCharType="end"/>
      </w:r>
      <w:r>
        <w:rPr>
          <w:rFonts w:hAnsi="宋体"/>
          <w:snapToGrid w:val="0"/>
          <w:color w:val="000000" w:themeColor="text1"/>
          <w:spacing w:val="-6"/>
          <w:kern w:val="21"/>
          <w:szCs w:val="21"/>
          <w:highlight w:val="none"/>
          <w14:textFill>
            <w14:solidFill>
              <w14:schemeClr w14:val="tx1"/>
            </w14:solidFill>
          </w14:textFill>
        </w:rPr>
        <w:t>+</w:t>
      </w:r>
      <w:r>
        <w:rPr>
          <w:rFonts w:hAnsi="宋体"/>
          <w:snapToGrid w:val="0"/>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3 \* GB3 \* MERGEFORMAT </w:instrText>
      </w:r>
      <w:r>
        <w:rPr>
          <w:rFonts w:hAnsi="宋体"/>
          <w:snapToGrid w:val="0"/>
          <w:color w:val="000000" w:themeColor="text1"/>
          <w:spacing w:val="-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③</w:t>
      </w:r>
      <w:r>
        <w:rPr>
          <w:rFonts w:hAnsi="宋体"/>
          <w:snapToGrid w:val="0"/>
          <w:color w:val="000000" w:themeColor="text1"/>
          <w:spacing w:val="-6"/>
          <w:kern w:val="21"/>
          <w:szCs w:val="21"/>
          <w:highlight w:val="none"/>
          <w14:textFill>
            <w14:solidFill>
              <w14:schemeClr w14:val="tx1"/>
            </w14:solidFill>
          </w14:textFill>
        </w:rPr>
        <w:fldChar w:fldCharType="end"/>
      </w:r>
      <w:r>
        <w:rPr>
          <w:rFonts w:hAnsi="宋体"/>
          <w:snapToGrid w:val="0"/>
          <w:color w:val="000000" w:themeColor="text1"/>
          <w:spacing w:val="-6"/>
          <w:kern w:val="21"/>
          <w:szCs w:val="21"/>
          <w:highlight w:val="none"/>
          <w14:textFill>
            <w14:solidFill>
              <w14:schemeClr w14:val="tx1"/>
            </w14:solidFill>
          </w14:textFill>
        </w:rPr>
        <w:t>+</w:t>
      </w:r>
      <w:r>
        <w:rPr>
          <w:rFonts w:hAnsi="宋体"/>
          <w:snapToGrid w:val="0"/>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4 \* GB3 \* MERGEFORMAT </w:instrText>
      </w:r>
      <w:r>
        <w:rPr>
          <w:rFonts w:hAnsi="宋体"/>
          <w:snapToGrid w:val="0"/>
          <w:color w:val="000000" w:themeColor="text1"/>
          <w:spacing w:val="-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④</w:t>
      </w:r>
      <w:r>
        <w:rPr>
          <w:rFonts w:hAnsi="宋体"/>
          <w:snapToGrid w:val="0"/>
          <w:color w:val="000000" w:themeColor="text1"/>
          <w:spacing w:val="-6"/>
          <w:kern w:val="21"/>
          <w:szCs w:val="21"/>
          <w:highlight w:val="none"/>
          <w14:textFill>
            <w14:solidFill>
              <w14:schemeClr w14:val="tx1"/>
            </w14:solidFill>
          </w14:textFill>
        </w:rPr>
        <w:fldChar w:fldCharType="end"/>
      </w:r>
      <w:r>
        <w:rPr>
          <w:rFonts w:hAnsi="宋体"/>
          <w:snapToGrid w:val="0"/>
          <w:color w:val="000000" w:themeColor="text1"/>
          <w:spacing w:val="-6"/>
          <w:kern w:val="21"/>
          <w:szCs w:val="21"/>
          <w:highlight w:val="none"/>
          <w14:textFill>
            <w14:solidFill>
              <w14:schemeClr w14:val="tx1"/>
            </w14:solidFill>
          </w14:textFill>
        </w:rPr>
        <w:t>-</w:t>
      </w:r>
      <w:r>
        <w:rPr>
          <w:rFonts w:hAnsi="宋体"/>
          <w:snapToGrid w:val="0"/>
          <w:color w:val="000000" w:themeColor="text1"/>
          <w:spacing w:val="-16"/>
          <w:kern w:val="21"/>
          <w:szCs w:val="21"/>
          <w:highlight w:val="none"/>
          <w14:textFill>
            <w14:solidFill>
              <w14:schemeClr w14:val="tx1"/>
            </w14:solidFill>
          </w14:textFill>
        </w:rPr>
        <w:fldChar w:fldCharType="begin"/>
      </w:r>
      <w:r>
        <w:rPr>
          <w:rFonts w:hAnsi="宋体"/>
          <w:snapToGrid w:val="0"/>
          <w:color w:val="000000" w:themeColor="text1"/>
          <w:spacing w:val="-16"/>
          <w:kern w:val="21"/>
          <w:szCs w:val="21"/>
          <w:highlight w:val="none"/>
          <w14:textFill>
            <w14:solidFill>
              <w14:schemeClr w14:val="tx1"/>
            </w14:solidFill>
          </w14:textFill>
        </w:rPr>
        <w:instrText xml:space="preserve"> = 5 \* GB3 \* MERGEFORMAT </w:instrText>
      </w:r>
      <w:r>
        <w:rPr>
          <w:rFonts w:hAnsi="宋体"/>
          <w:snapToGrid w:val="0"/>
          <w:color w:val="000000" w:themeColor="text1"/>
          <w:spacing w:val="-1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⑤</w:t>
      </w:r>
      <w:r>
        <w:rPr>
          <w:rFonts w:hAnsi="宋体"/>
          <w:snapToGrid w:val="0"/>
          <w:color w:val="000000" w:themeColor="text1"/>
          <w:spacing w:val="-16"/>
          <w:kern w:val="21"/>
          <w:szCs w:val="21"/>
          <w:highlight w:val="none"/>
          <w14:textFill>
            <w14:solidFill>
              <w14:schemeClr w14:val="tx1"/>
            </w14:solidFill>
          </w14:textFill>
        </w:rPr>
        <w:fldChar w:fldCharType="end"/>
      </w:r>
      <w:r>
        <w:rPr>
          <w:rFonts w:hAnsi="宋体"/>
          <w:snapToGrid w:val="0"/>
          <w:color w:val="000000" w:themeColor="text1"/>
          <w:spacing w:val="-16"/>
          <w:kern w:val="21"/>
          <w:szCs w:val="21"/>
          <w:highlight w:val="none"/>
          <w14:textFill>
            <w14:solidFill>
              <w14:schemeClr w14:val="tx1"/>
            </w14:solidFill>
          </w14:textFill>
        </w:rPr>
        <w:t>；</w:t>
      </w:r>
      <w:r>
        <w:rPr>
          <w:rFonts w:hAnsi="宋体"/>
          <w:snapToGrid w:val="0"/>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7 \* GB3 \* MERGEFORMAT </w:instrText>
      </w:r>
      <w:r>
        <w:rPr>
          <w:rFonts w:hAnsi="宋体"/>
          <w:snapToGrid w:val="0"/>
          <w:color w:val="000000" w:themeColor="text1"/>
          <w:spacing w:val="-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⑦</w:t>
      </w:r>
      <w:r>
        <w:rPr>
          <w:rFonts w:hAnsi="宋体"/>
          <w:snapToGrid w:val="0"/>
          <w:color w:val="000000" w:themeColor="text1"/>
          <w:spacing w:val="-6"/>
          <w:kern w:val="21"/>
          <w:szCs w:val="21"/>
          <w:highlight w:val="none"/>
          <w14:textFill>
            <w14:solidFill>
              <w14:schemeClr w14:val="tx1"/>
            </w14:solidFill>
          </w14:textFill>
        </w:rPr>
        <w:fldChar w:fldCharType="end"/>
      </w:r>
      <w:r>
        <w:rPr>
          <w:rFonts w:hAnsi="宋体"/>
          <w:snapToGrid w:val="0"/>
          <w:color w:val="000000" w:themeColor="text1"/>
          <w:spacing w:val="-6"/>
          <w:kern w:val="21"/>
          <w:szCs w:val="21"/>
          <w:highlight w:val="none"/>
          <w14:textFill>
            <w14:solidFill>
              <w14:schemeClr w14:val="tx1"/>
            </w14:solidFill>
          </w14:textFill>
        </w:rPr>
        <w:t>=</w:t>
      </w:r>
      <w:r>
        <w:rPr>
          <w:rFonts w:hAnsi="宋体"/>
          <w:snapToGrid w:val="0"/>
          <w:color w:val="000000" w:themeColor="text1"/>
          <w:spacing w:val="-16"/>
          <w:kern w:val="21"/>
          <w:szCs w:val="21"/>
          <w:highlight w:val="none"/>
          <w14:textFill>
            <w14:solidFill>
              <w14:schemeClr w14:val="tx1"/>
            </w14:solidFill>
          </w14:textFill>
        </w:rPr>
        <w:fldChar w:fldCharType="begin"/>
      </w:r>
      <w:r>
        <w:rPr>
          <w:rFonts w:hAnsi="宋体"/>
          <w:snapToGrid w:val="0"/>
          <w:color w:val="000000" w:themeColor="text1"/>
          <w:spacing w:val="-16"/>
          <w:kern w:val="21"/>
          <w:szCs w:val="21"/>
          <w:highlight w:val="none"/>
          <w14:textFill>
            <w14:solidFill>
              <w14:schemeClr w14:val="tx1"/>
            </w14:solidFill>
          </w14:textFill>
        </w:rPr>
        <w:instrText xml:space="preserve"> = 6 \* GB3 \* MERGEFORMAT </w:instrText>
      </w:r>
      <w:r>
        <w:rPr>
          <w:rFonts w:hAnsi="宋体"/>
          <w:snapToGrid w:val="0"/>
          <w:color w:val="000000" w:themeColor="text1"/>
          <w:spacing w:val="-1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⑥</w:t>
      </w:r>
      <w:r>
        <w:rPr>
          <w:rFonts w:hAnsi="宋体"/>
          <w:snapToGrid w:val="0"/>
          <w:color w:val="000000" w:themeColor="text1"/>
          <w:spacing w:val="-16"/>
          <w:kern w:val="21"/>
          <w:szCs w:val="21"/>
          <w:highlight w:val="none"/>
          <w14:textFill>
            <w14:solidFill>
              <w14:schemeClr w14:val="tx1"/>
            </w14:solidFill>
          </w14:textFill>
        </w:rPr>
        <w:fldChar w:fldCharType="end"/>
      </w:r>
      <w:r>
        <w:rPr>
          <w:rFonts w:hAnsi="宋体"/>
          <w:snapToGrid w:val="0"/>
          <w:color w:val="000000" w:themeColor="text1"/>
          <w:spacing w:val="-16"/>
          <w:kern w:val="21"/>
          <w:szCs w:val="21"/>
          <w:highlight w:val="none"/>
          <w14:textFill>
            <w14:solidFill>
              <w14:schemeClr w14:val="tx1"/>
            </w14:solidFill>
          </w14:textFill>
        </w:rPr>
        <w:t>-</w:t>
      </w:r>
      <w:r>
        <w:rPr>
          <w:rFonts w:hAnsi="宋体"/>
          <w:snapToGrid w:val="0"/>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1 \* GB3 \* MERGEFORMAT </w:instrText>
      </w:r>
      <w:r>
        <w:rPr>
          <w:rFonts w:hAnsi="宋体"/>
          <w:snapToGrid w:val="0"/>
          <w:color w:val="000000" w:themeColor="text1"/>
          <w:spacing w:val="-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①</w:t>
      </w:r>
      <w:r>
        <w:rPr>
          <w:rFonts w:hAnsi="宋体"/>
          <w:snapToGrid w:val="0"/>
          <w:color w:val="000000" w:themeColor="text1"/>
          <w:spacing w:val="-6"/>
          <w:kern w:val="21"/>
          <w:szCs w:val="21"/>
          <w:highlight w:val="none"/>
          <w14:textFill>
            <w14:solidFill>
              <w14:schemeClr w14:val="tx1"/>
            </w14:solidFill>
          </w14:textFill>
        </w:rPr>
        <w:fldChar w:fldCharType="end"/>
      </w:r>
      <w:r>
        <w:rPr>
          <w:rFonts w:hint="eastAsia" w:hAnsi="宋体"/>
          <w:snapToGrid w:val="0"/>
          <w:color w:val="000000" w:themeColor="text1"/>
          <w:spacing w:val="-6"/>
          <w:kern w:val="21"/>
          <w:szCs w:val="2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单位为</w:t>
      </w:r>
      <w:r>
        <w:rPr>
          <w:rFonts w:hint="eastAsia" w:ascii="Times New Roman" w:hAnsi="Times New Roman" w:cs="Times New Roman"/>
          <w:snapToGrid w:val="0"/>
          <w:color w:val="000000"/>
          <w:kern w:val="21"/>
          <w:sz w:val="21"/>
          <w:szCs w:val="21"/>
          <w:lang w:val="en-US" w:eastAsia="zh-CN"/>
        </w:rPr>
        <w:t>t/a。</w:t>
      </w:r>
    </w:p>
    <w:sectPr>
      <w:headerReference r:id="rId6" w:type="default"/>
      <w:footerReference r:id="rId7"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customizations.xml><?xml version="1.0" encoding="utf-8"?>
<wne:tcg xmlns:r="http://schemas.openxmlformats.org/officeDocument/2006/relationships" xmlns:wne="http://schemas.microsoft.com/office/word/2006/wordml">
  <wne:keymaps>
    <wne:keymap wne:kcmPrimary="0631">
      <wne:acd wne:acdName="acd0"/>
    </wne:keymap>
    <wne:keymap wne:kcmPrimary="0642">
      <wne:acd wne:acdName="acd1"/>
    </wne:keymap>
  </wne:keymaps>
  <wne:acds>
    <wne:acd wne:argValue="AQAAAAEA" wne:acdName="acd0" wne:fciIndexBasedOn="0065"/>
    <wne:acd wne:argValue="AgBoiDxoB2iYmA==" wne:acdName="acd1"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新宋体-18030">
    <w:altName w:val="宋体"/>
    <w:panose1 w:val="00000000000000000000"/>
    <w:charset w:val="00"/>
    <w:family w:val="auto"/>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方正楷体简体">
    <w:altName w:val="宋体"/>
    <w:panose1 w:val="00000000000000000000"/>
    <w:charset w:val="86"/>
    <w:family w:val="auto"/>
    <w:pitch w:val="default"/>
    <w:sig w:usb0="00000000" w:usb1="00000000" w:usb2="00000010" w:usb3="00000000" w:csb0="00040000" w:csb1="00000000"/>
  </w:font>
  <w:font w:name="TimesNewRomanPSMT">
    <w:altName w:val="Times New Roman"/>
    <w:panose1 w:val="00000000000000000000"/>
    <w:charset w:val="00"/>
    <w:family w:val="roman"/>
    <w:pitch w:val="default"/>
    <w:sig w:usb0="00000000" w:usb1="00000000" w:usb2="00000000" w:usb3="00000000" w:csb0="00000001" w:csb1="00000000"/>
  </w:font>
  <w:font w:name="PMingLiU">
    <w:altName w:val="Segoe Print"/>
    <w:panose1 w:val="00000000000000000000"/>
    <w:charset w:val="01"/>
    <w:family w:val="roman"/>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Wingdings 2">
    <w:altName w:val="Wingdings"/>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方正小标宋_GBK">
    <w:altName w:val="微软雅黑"/>
    <w:panose1 w:val="02000000000000000000"/>
    <w:charset w:val="86"/>
    <w:family w:val="script"/>
    <w:pitch w:val="default"/>
    <w:sig w:usb0="00000000" w:usb1="00000000" w:usb2="00082016" w:usb3="00000000" w:csb0="00040001" w:csb1="00000000"/>
  </w:font>
  <w:font w:name="Kingsoft UE">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2221D">
    <w:pPr>
      <w:pStyle w:val="24"/>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BEE4E3">
    <w:pPr>
      <w:pStyle w:val="24"/>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7D8EAA">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TBMpg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kwTKYNAIAAGUEAAAOAAAAAAAAAAEAIAAAAB8BAABkcnMvZTJvRG9jLnhtbFBL&#10;BQYAAAAABgAGAFkBAADFBQAAAAA=&#10;">
              <v:fill on="f" focussize="0,0"/>
              <v:stroke on="f" weight="0.5pt"/>
              <v:imagedata o:title=""/>
              <o:lock v:ext="edit" aspectratio="f"/>
              <v:textbox inset="0mm,0mm,0mm,0mm" style="mso-fit-shape-to-text:t;">
                <w:txbxContent>
                  <w:p w14:paraId="027D8EAA">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7B50C">
    <w:pPr>
      <w:tabs>
        <w:tab w:val="center" w:pos="4153"/>
        <w:tab w:val="right" w:pos="8306"/>
      </w:tabs>
      <w:ind w:firstLine="480"/>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3" name="文本框 2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B90F5D">
                          <w:pPr>
                            <w:pStyle w:val="24"/>
                          </w:pPr>
                          <w:r>
                            <w:fldChar w:fldCharType="begin"/>
                          </w:r>
                          <w:r>
                            <w:instrText xml:space="preserve"> PAGE  \* MERGEFORMAT </w:instrText>
                          </w:r>
                          <w:r>
                            <w:fldChar w:fldCharType="separate"/>
                          </w:r>
                          <w:r>
                            <w:t>112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Wuzw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nVrs8NAIAAGUEAAAOAAAAAAAAAAEAIAAAAB8BAABkcnMvZTJvRG9jLnhtbFBL&#10;BQYAAAAABgAGAFkBAADFBQAAAAA=&#10;">
              <v:fill on="f" focussize="0,0"/>
              <v:stroke on="f" weight="0.5pt"/>
              <v:imagedata o:title=""/>
              <o:lock v:ext="edit" aspectratio="f"/>
              <v:textbox inset="0mm,0mm,0mm,0mm" style="mso-fit-shape-to-text:t;">
                <w:txbxContent>
                  <w:p w14:paraId="05B90F5D">
                    <w:pPr>
                      <w:pStyle w:val="24"/>
                    </w:pPr>
                    <w:r>
                      <w:fldChar w:fldCharType="begin"/>
                    </w:r>
                    <w:r>
                      <w:instrText xml:space="preserve"> PAGE  \* MERGEFORMAT </w:instrText>
                    </w:r>
                    <w:r>
                      <w:fldChar w:fldCharType="separate"/>
                    </w:r>
                    <w:r>
                      <w:t>112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5FE30">
    <w:pPr>
      <w:pStyle w:val="2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112A6">
    <w:pPr>
      <w:ind w:left="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3EFAD0"/>
    <w:multiLevelType w:val="multilevel"/>
    <w:tmpl w:val="883EFAD0"/>
    <w:lvl w:ilvl="0" w:tentative="0">
      <w:start w:val="1"/>
      <w:numFmt w:val="chineseCounting"/>
      <w:suff w:val="nothing"/>
      <w:lvlText w:val="%1、"/>
      <w:lvlJc w:val="left"/>
      <w:pPr>
        <w:tabs>
          <w:tab w:val="left" w:pos="420"/>
        </w:tabs>
        <w:ind w:left="358" w:firstLine="0"/>
      </w:pPr>
      <w:rPr>
        <w:rFonts w:hint="eastAsia" w:ascii="宋体" w:hAnsi="宋体" w:eastAsia="宋体" w:cs="宋体"/>
      </w:rPr>
    </w:lvl>
    <w:lvl w:ilvl="1" w:tentative="0">
      <w:start w:val="1"/>
      <w:numFmt w:val="decimal"/>
      <w:isLgl/>
      <w:suff w:val="space"/>
      <w:lvlText w:val="%1.%2"/>
      <w:lvlJc w:val="left"/>
      <w:pPr>
        <w:tabs>
          <w:tab w:val="left" w:pos="420"/>
        </w:tabs>
        <w:ind w:left="358" w:firstLine="0"/>
      </w:pPr>
      <w:rPr>
        <w:rFonts w:hint="default" w:ascii="Times New Roman" w:hAnsi="Times New Roman" w:eastAsia="宋体" w:cs="Times New Roman"/>
      </w:rPr>
    </w:lvl>
    <w:lvl w:ilvl="2" w:tentative="0">
      <w:start w:val="1"/>
      <w:numFmt w:val="decimal"/>
      <w:isLgl/>
      <w:suff w:val="space"/>
      <w:lvlText w:val="%1.%2.%3"/>
      <w:lvlJc w:val="left"/>
      <w:pPr>
        <w:tabs>
          <w:tab w:val="left" w:pos="420"/>
        </w:tabs>
        <w:ind w:left="358" w:firstLine="0"/>
      </w:pPr>
      <w:rPr>
        <w:rFonts w:hint="default" w:ascii="Times New Roman" w:hAnsi="Times New Roman" w:eastAsia="宋体" w:cs="Times New Roman"/>
        <w:sz w:val="24"/>
        <w:szCs w:val="24"/>
      </w:rPr>
    </w:lvl>
    <w:lvl w:ilvl="3" w:tentative="0">
      <w:start w:val="1"/>
      <w:numFmt w:val="decimal"/>
      <w:isLgl/>
      <w:suff w:val="space"/>
      <w:lvlText w:val="%1.%2.%3.%4"/>
      <w:lvlJc w:val="left"/>
      <w:pPr>
        <w:tabs>
          <w:tab w:val="left" w:pos="420"/>
        </w:tabs>
        <w:ind w:left="358" w:firstLine="0"/>
      </w:pPr>
      <w:rPr>
        <w:rFonts w:hint="eastAsia" w:ascii="Times New Roman" w:hAnsi="Times New Roman" w:eastAsia="宋体" w:cs="宋体"/>
        <w:sz w:val="24"/>
      </w:rPr>
    </w:lvl>
    <w:lvl w:ilvl="4" w:tentative="0">
      <w:start w:val="1"/>
      <w:numFmt w:val="decimal"/>
      <w:lvlText w:val="%1.%2.%3.%4.%5."/>
      <w:lvlJc w:val="left"/>
      <w:pPr>
        <w:ind w:left="1366" w:hanging="1008"/>
      </w:pPr>
      <w:rPr>
        <w:rFonts w:hint="eastAsia"/>
      </w:rPr>
    </w:lvl>
    <w:lvl w:ilvl="5" w:tentative="0">
      <w:start w:val="1"/>
      <w:numFmt w:val="decimal"/>
      <w:lvlText w:val="%1.%2.%3.%4.%5.%6."/>
      <w:lvlJc w:val="left"/>
      <w:pPr>
        <w:ind w:left="1509" w:hanging="1151"/>
      </w:pPr>
      <w:rPr>
        <w:rFonts w:hint="eastAsia"/>
      </w:rPr>
    </w:lvl>
    <w:lvl w:ilvl="6" w:tentative="0">
      <w:start w:val="1"/>
      <w:numFmt w:val="decimal"/>
      <w:lvlText w:val="%1.%2.%3.%4.%5.%6.%7."/>
      <w:lvlJc w:val="left"/>
      <w:pPr>
        <w:ind w:left="1654" w:hanging="1296"/>
      </w:pPr>
      <w:rPr>
        <w:rFonts w:hint="eastAsia"/>
      </w:rPr>
    </w:lvl>
    <w:lvl w:ilvl="7" w:tentative="0">
      <w:start w:val="1"/>
      <w:numFmt w:val="decimal"/>
      <w:pStyle w:val="9"/>
      <w:lvlText w:val="%1.%2.%3.%4.%5.%6.%7.%8."/>
      <w:lvlJc w:val="left"/>
      <w:pPr>
        <w:ind w:left="1798" w:hanging="1440"/>
      </w:pPr>
      <w:rPr>
        <w:rFonts w:hint="eastAsia"/>
      </w:rPr>
    </w:lvl>
    <w:lvl w:ilvl="8" w:tentative="0">
      <w:start w:val="1"/>
      <w:numFmt w:val="decimal"/>
      <w:lvlText w:val="%1.%2.%3.%4.%5.%6.%7.%8.%9."/>
      <w:lvlJc w:val="left"/>
      <w:pPr>
        <w:ind w:left="1941" w:hanging="1583"/>
      </w:pPr>
      <w:rPr>
        <w:rFonts w:hint="eastAsia"/>
      </w:rPr>
    </w:lvl>
  </w:abstractNum>
  <w:abstractNum w:abstractNumId="1">
    <w:nsid w:val="8F49E507"/>
    <w:multiLevelType w:val="singleLevel"/>
    <w:tmpl w:val="8F49E507"/>
    <w:lvl w:ilvl="0" w:tentative="0">
      <w:start w:val="1"/>
      <w:numFmt w:val="decimal"/>
      <w:lvlText w:val="(%1)"/>
      <w:lvlJc w:val="left"/>
      <w:pPr>
        <w:ind w:left="425" w:hanging="425"/>
      </w:pPr>
      <w:rPr>
        <w:rFonts w:hint="default"/>
      </w:rPr>
    </w:lvl>
  </w:abstractNum>
  <w:abstractNum w:abstractNumId="2">
    <w:nsid w:val="BBEE175C"/>
    <w:multiLevelType w:val="multilevel"/>
    <w:tmpl w:val="BBEE175C"/>
    <w:lvl w:ilvl="0" w:tentative="0">
      <w:start w:val="1"/>
      <w:numFmt w:val="decimal"/>
      <w:suff w:val="space"/>
      <w:lvlText w:val="第%1章 "/>
      <w:lvlJc w:val="left"/>
      <w:pPr>
        <w:tabs>
          <w:tab w:val="left" w:pos="0"/>
        </w:tabs>
        <w:ind w:left="0" w:firstLine="0"/>
      </w:pPr>
      <w:rPr>
        <w:rFonts w:hint="default" w:ascii="Times New Roman" w:hAnsi="Times New Roman" w:eastAsia="宋体" w:cs="宋体"/>
      </w:rPr>
    </w:lvl>
    <w:lvl w:ilvl="1" w:tentative="0">
      <w:start w:val="1"/>
      <w:numFmt w:val="decimal"/>
      <w:suff w:val="space"/>
      <w:lvlText w:val="%1.%2"/>
      <w:lvlJc w:val="left"/>
      <w:pPr>
        <w:tabs>
          <w:tab w:val="left" w:pos="420"/>
        </w:tabs>
        <w:ind w:left="0" w:firstLine="0"/>
      </w:pPr>
      <w:rPr>
        <w:rFonts w:hint="default" w:ascii="Times New Roman" w:hAnsi="Times New Roman" w:eastAsia="宋体" w:cs="宋体"/>
      </w:rPr>
    </w:lvl>
    <w:lvl w:ilvl="2" w:tentative="0">
      <w:start w:val="1"/>
      <w:numFmt w:val="decimal"/>
      <w:suff w:val="space"/>
      <w:lvlText w:val="%1.%2.%3"/>
      <w:lvlJc w:val="left"/>
      <w:pPr>
        <w:tabs>
          <w:tab w:val="left" w:pos="420"/>
        </w:tabs>
        <w:ind w:left="0" w:firstLine="0"/>
      </w:pPr>
      <w:rPr>
        <w:rFonts w:hint="default" w:ascii="Times New Roman" w:hAnsi="Times New Roman" w:eastAsia="宋体" w:cs="宋体"/>
      </w:rPr>
    </w:lvl>
    <w:lvl w:ilvl="3" w:tentative="0">
      <w:start w:val="1"/>
      <w:numFmt w:val="decimal"/>
      <w:suff w:val="space"/>
      <w:lvlText w:val="%1.%2.%3.%4"/>
      <w:lvlJc w:val="left"/>
      <w:pPr>
        <w:tabs>
          <w:tab w:val="left" w:pos="420"/>
        </w:tabs>
        <w:ind w:left="0" w:firstLine="0"/>
      </w:pPr>
      <w:rPr>
        <w:rFonts w:hint="default" w:ascii="Times New Roman" w:hAnsi="Times New Roman" w:eastAsia="宋体" w:cs="宋体"/>
      </w:rPr>
    </w:lvl>
    <w:lvl w:ilvl="4" w:tentative="0">
      <w:start w:val="1"/>
      <w:numFmt w:val="decimal"/>
      <w:lvlRestart w:val="2"/>
      <w:pStyle w:val="74"/>
      <w:suff w:val="space"/>
      <w:lvlText w:val="表%1.%2-%5 "/>
      <w:lvlJc w:val="left"/>
      <w:pPr>
        <w:tabs>
          <w:tab w:val="left" w:pos="420"/>
        </w:tabs>
        <w:ind w:left="0" w:firstLine="0"/>
      </w:pPr>
      <w:rPr>
        <w:rFonts w:hint="default" w:ascii="Times New Roman" w:hAnsi="Times New Roman" w:eastAsia="宋体" w:cs="宋体"/>
      </w:rPr>
    </w:lvl>
    <w:lvl w:ilvl="5" w:tentative="0">
      <w:start w:val="1"/>
      <w:numFmt w:val="decimal"/>
      <w:lvlRestart w:val="2"/>
      <w:suff w:val="space"/>
      <w:lvlText w:val="图%1.%2-%6 "/>
      <w:lvlJc w:val="left"/>
      <w:pPr>
        <w:tabs>
          <w:tab w:val="left" w:pos="420"/>
        </w:tabs>
        <w:ind w:left="0" w:firstLine="0"/>
      </w:pPr>
      <w:rPr>
        <w:rFonts w:hint="default" w:ascii="Times New Roman" w:hAnsi="Times New Roman" w:eastAsia="宋体" w:cs="宋体"/>
      </w:rPr>
    </w:lvl>
    <w:lvl w:ilvl="6" w:tentative="0">
      <w:start w:val="1"/>
      <w:numFmt w:val="none"/>
      <w:suff w:val="nothing"/>
      <w:lvlText w:val=""/>
      <w:lvlJc w:val="left"/>
      <w:pPr>
        <w:tabs>
          <w:tab w:val="left" w:pos="0"/>
        </w:tabs>
        <w:ind w:left="0" w:firstLine="402"/>
      </w:pPr>
      <w:rPr>
        <w:rFonts w:hint="default" w:ascii="宋体" w:hAnsi="宋体" w:eastAsia="宋体" w:cs="宋体"/>
      </w:rPr>
    </w:lvl>
    <w:lvl w:ilvl="7" w:tentative="0">
      <w:start w:val="1"/>
      <w:numFmt w:val="none"/>
      <w:suff w:val="nothing"/>
      <w:lvlText w:val=""/>
      <w:lvlJc w:val="left"/>
      <w:pPr>
        <w:ind w:left="0" w:firstLine="402"/>
      </w:pPr>
      <w:rPr>
        <w:rFonts w:hint="default" w:ascii="宋体" w:hAnsi="宋体" w:eastAsia="宋体" w:cs="宋体"/>
      </w:rPr>
    </w:lvl>
    <w:lvl w:ilvl="8" w:tentative="0">
      <w:start w:val="1"/>
      <w:numFmt w:val="none"/>
      <w:suff w:val="nothing"/>
      <w:lvlText w:val=""/>
      <w:lvlJc w:val="left"/>
      <w:pPr>
        <w:ind w:left="0" w:firstLine="402"/>
      </w:pPr>
      <w:rPr>
        <w:rFonts w:hint="default" w:ascii="宋体" w:hAnsi="宋体" w:eastAsia="宋体" w:cs="宋体"/>
      </w:rPr>
    </w:lvl>
  </w:abstractNum>
  <w:abstractNum w:abstractNumId="3">
    <w:nsid w:val="E041BD76"/>
    <w:multiLevelType w:val="singleLevel"/>
    <w:tmpl w:val="E041BD76"/>
    <w:lvl w:ilvl="0" w:tentative="0">
      <w:start w:val="1"/>
      <w:numFmt w:val="decimal"/>
      <w:suff w:val="nothing"/>
      <w:lvlText w:val="（%1）"/>
      <w:lvlJc w:val="left"/>
      <w:pPr>
        <w:ind w:left="-60"/>
      </w:pPr>
    </w:lvl>
  </w:abstractNum>
  <w:abstractNum w:abstractNumId="4">
    <w:nsid w:val="E17324D8"/>
    <w:multiLevelType w:val="singleLevel"/>
    <w:tmpl w:val="E17324D8"/>
    <w:lvl w:ilvl="0" w:tentative="0">
      <w:start w:val="1"/>
      <w:numFmt w:val="decimal"/>
      <w:lvlText w:val="(%1)"/>
      <w:lvlJc w:val="left"/>
      <w:pPr>
        <w:ind w:left="425" w:hanging="425"/>
      </w:pPr>
      <w:rPr>
        <w:rFonts w:hint="default"/>
      </w:rPr>
    </w:lvl>
  </w:abstractNum>
  <w:abstractNum w:abstractNumId="5">
    <w:nsid w:val="0627BAC1"/>
    <w:multiLevelType w:val="multilevel"/>
    <w:tmpl w:val="0627BAC1"/>
    <w:lvl w:ilvl="0" w:tentative="0">
      <w:start w:val="3"/>
      <w:numFmt w:val="decimal"/>
      <w:lvlText w:val="%1"/>
      <w:lvlJc w:val="left"/>
      <w:pPr>
        <w:ind w:left="499" w:hanging="490"/>
        <w:jc w:val="left"/>
      </w:pPr>
      <w:rPr>
        <w:rFonts w:hint="default"/>
        <w:lang w:val="en-US" w:eastAsia="zh-CN" w:bidi="ar-SA"/>
      </w:rPr>
    </w:lvl>
    <w:lvl w:ilvl="1" w:tentative="0">
      <w:start w:val="7"/>
      <w:numFmt w:val="decimal"/>
      <w:lvlText w:val="%1.%2"/>
      <w:lvlJc w:val="left"/>
      <w:pPr>
        <w:ind w:left="499" w:hanging="490"/>
        <w:jc w:val="left"/>
      </w:pPr>
      <w:rPr>
        <w:rFonts w:hint="default" w:ascii="Times New Roman" w:hAnsi="Times New Roman" w:eastAsia="Times New Roman" w:cs="Times New Roman"/>
        <w:b/>
        <w:bCs/>
        <w:i w:val="0"/>
        <w:iCs w:val="0"/>
        <w:spacing w:val="-4"/>
        <w:w w:val="100"/>
        <w:sz w:val="28"/>
        <w:szCs w:val="28"/>
        <w:lang w:val="en-US" w:eastAsia="zh-CN" w:bidi="ar-SA"/>
      </w:rPr>
    </w:lvl>
    <w:lvl w:ilvl="2" w:tentative="0">
      <w:start w:val="1"/>
      <w:numFmt w:val="decimal"/>
      <w:lvlText w:val="%1.%2.%3"/>
      <w:lvlJc w:val="left"/>
      <w:pPr>
        <w:ind w:left="610" w:hanging="600"/>
        <w:jc w:val="left"/>
      </w:pPr>
      <w:rPr>
        <w:rFonts w:hint="default" w:ascii="Times New Roman" w:hAnsi="Times New Roman" w:eastAsia="Times New Roman" w:cs="Times New Roman"/>
        <w:b/>
        <w:bCs/>
        <w:i w:val="0"/>
        <w:iCs w:val="0"/>
        <w:spacing w:val="0"/>
        <w:w w:val="100"/>
        <w:sz w:val="24"/>
        <w:szCs w:val="24"/>
        <w:lang w:val="en-US" w:eastAsia="zh-CN" w:bidi="ar-SA"/>
      </w:rPr>
    </w:lvl>
    <w:lvl w:ilvl="3" w:tentative="0">
      <w:start w:val="1"/>
      <w:numFmt w:val="decimal"/>
      <w:lvlText w:val="(%4)"/>
      <w:lvlJc w:val="left"/>
      <w:pPr>
        <w:ind w:left="770" w:hanging="281"/>
        <w:jc w:val="left"/>
      </w:pPr>
      <w:rPr>
        <w:rFonts w:hint="default" w:ascii="Times New Roman" w:hAnsi="Times New Roman" w:eastAsia="Times New Roman" w:cs="Times New Roman"/>
        <w:b w:val="0"/>
        <w:bCs w:val="0"/>
        <w:i w:val="0"/>
        <w:iCs w:val="0"/>
        <w:spacing w:val="-1"/>
        <w:w w:val="100"/>
        <w:sz w:val="22"/>
        <w:szCs w:val="22"/>
        <w:lang w:val="en-US" w:eastAsia="zh-CN" w:bidi="ar-SA"/>
      </w:rPr>
    </w:lvl>
    <w:lvl w:ilvl="4" w:tentative="0">
      <w:start w:val="0"/>
      <w:numFmt w:val="bullet"/>
      <w:lvlText w:val="•"/>
      <w:lvlJc w:val="left"/>
      <w:pPr>
        <w:ind w:left="2603" w:hanging="281"/>
      </w:pPr>
      <w:rPr>
        <w:rFonts w:hint="default"/>
        <w:lang w:val="en-US" w:eastAsia="zh-CN" w:bidi="ar-SA"/>
      </w:rPr>
    </w:lvl>
    <w:lvl w:ilvl="5" w:tentative="0">
      <w:start w:val="0"/>
      <w:numFmt w:val="bullet"/>
      <w:lvlText w:val="•"/>
      <w:lvlJc w:val="left"/>
      <w:pPr>
        <w:ind w:left="3514" w:hanging="281"/>
      </w:pPr>
      <w:rPr>
        <w:rFonts w:hint="default"/>
        <w:lang w:val="en-US" w:eastAsia="zh-CN" w:bidi="ar-SA"/>
      </w:rPr>
    </w:lvl>
    <w:lvl w:ilvl="6" w:tentative="0">
      <w:start w:val="0"/>
      <w:numFmt w:val="bullet"/>
      <w:lvlText w:val="•"/>
      <w:lvlJc w:val="left"/>
      <w:pPr>
        <w:ind w:left="4426" w:hanging="281"/>
      </w:pPr>
      <w:rPr>
        <w:rFonts w:hint="default"/>
        <w:lang w:val="en-US" w:eastAsia="zh-CN" w:bidi="ar-SA"/>
      </w:rPr>
    </w:lvl>
    <w:lvl w:ilvl="7" w:tentative="0">
      <w:start w:val="0"/>
      <w:numFmt w:val="bullet"/>
      <w:lvlText w:val="•"/>
      <w:lvlJc w:val="left"/>
      <w:pPr>
        <w:ind w:left="5337" w:hanging="281"/>
      </w:pPr>
      <w:rPr>
        <w:rFonts w:hint="default"/>
        <w:lang w:val="en-US" w:eastAsia="zh-CN" w:bidi="ar-SA"/>
      </w:rPr>
    </w:lvl>
    <w:lvl w:ilvl="8" w:tentative="0">
      <w:start w:val="0"/>
      <w:numFmt w:val="bullet"/>
      <w:lvlText w:val="•"/>
      <w:lvlJc w:val="left"/>
      <w:pPr>
        <w:ind w:left="6249" w:hanging="281"/>
      </w:pPr>
      <w:rPr>
        <w:rFonts w:hint="default"/>
        <w:lang w:val="en-US" w:eastAsia="zh-CN" w:bidi="ar-SA"/>
      </w:rPr>
    </w:lvl>
  </w:abstractNum>
  <w:abstractNum w:abstractNumId="6">
    <w:nsid w:val="0C388FF6"/>
    <w:multiLevelType w:val="multilevel"/>
    <w:tmpl w:val="0C388FF6"/>
    <w:lvl w:ilvl="0" w:tentative="0">
      <w:start w:val="1"/>
      <w:numFmt w:val="chineseCounting"/>
      <w:suff w:val="nothing"/>
      <w:lvlText w:val="%1、"/>
      <w:lvlJc w:val="left"/>
      <w:pPr>
        <w:tabs>
          <w:tab w:val="left" w:pos="0"/>
        </w:tabs>
        <w:ind w:left="0" w:firstLine="0"/>
      </w:pPr>
      <w:rPr>
        <w:rFonts w:hint="eastAsia" w:ascii="黑体" w:hAnsi="黑体" w:eastAsia="黑体" w:cs="宋体"/>
      </w:rPr>
    </w:lvl>
    <w:lvl w:ilvl="1" w:tentative="0">
      <w:start w:val="1"/>
      <w:numFmt w:val="decimal"/>
      <w:isLgl/>
      <w:suff w:val="space"/>
      <w:lvlText w:val="%1.%2"/>
      <w:lvlJc w:val="left"/>
      <w:pPr>
        <w:tabs>
          <w:tab w:val="left" w:pos="420"/>
        </w:tabs>
        <w:ind w:left="0" w:firstLine="0"/>
      </w:pPr>
      <w:rPr>
        <w:rFonts w:hint="eastAsia" w:ascii="Times New Roman" w:hAnsi="Times New Roman" w:eastAsia="宋体" w:cs="宋体"/>
      </w:rPr>
    </w:lvl>
    <w:lvl w:ilvl="2" w:tentative="0">
      <w:start w:val="1"/>
      <w:numFmt w:val="decimal"/>
      <w:isLgl/>
      <w:suff w:val="space"/>
      <w:lvlText w:val="%1.%2.%3"/>
      <w:lvlJc w:val="left"/>
      <w:pPr>
        <w:tabs>
          <w:tab w:val="left" w:pos="0"/>
        </w:tabs>
        <w:ind w:left="0" w:firstLine="0"/>
      </w:pPr>
      <w:rPr>
        <w:rFonts w:hint="eastAsia" w:ascii="Times New Roman" w:hAnsi="Times New Roman" w:eastAsia="宋体" w:cs="宋体"/>
      </w:rPr>
    </w:lvl>
    <w:lvl w:ilvl="3" w:tentative="0">
      <w:start w:val="1"/>
      <w:numFmt w:val="decimal"/>
      <w:isLgl/>
      <w:suff w:val="space"/>
      <w:lvlText w:val="%1.%2.%3.%4"/>
      <w:lvlJc w:val="left"/>
      <w:pPr>
        <w:tabs>
          <w:tab w:val="left" w:pos="420"/>
        </w:tabs>
        <w:ind w:left="0" w:firstLine="0"/>
      </w:pPr>
      <w:rPr>
        <w:rFonts w:hint="eastAsia" w:ascii="Times New Roman" w:hAnsi="Times New Roman" w:eastAsia="宋体" w:cs="宋体"/>
      </w:rPr>
    </w:lvl>
    <w:lvl w:ilvl="4" w:tentative="0">
      <w:start w:val="1"/>
      <w:numFmt w:val="decimal"/>
      <w:lvlRestart w:val="2"/>
      <w:pStyle w:val="129"/>
      <w:isLgl/>
      <w:suff w:val="space"/>
      <w:lvlText w:val="表%1.%2-%5 "/>
      <w:lvlJc w:val="left"/>
      <w:pPr>
        <w:tabs>
          <w:tab w:val="left" w:pos="0"/>
        </w:tabs>
        <w:ind w:left="0" w:firstLine="0"/>
      </w:pPr>
      <w:rPr>
        <w:rFonts w:hint="eastAsia" w:ascii="Times New Roman" w:hAnsi="Times New Roman" w:eastAsia="宋体" w:cs="宋体"/>
      </w:rPr>
    </w:lvl>
    <w:lvl w:ilvl="5" w:tentative="0">
      <w:start w:val="1"/>
      <w:numFmt w:val="decimal"/>
      <w:lvlRestart w:val="2"/>
      <w:isLgl/>
      <w:suff w:val="space"/>
      <w:lvlText w:val="图%1.%2-%6 "/>
      <w:lvlJc w:val="left"/>
      <w:pPr>
        <w:tabs>
          <w:tab w:val="left" w:pos="0"/>
        </w:tabs>
        <w:ind w:left="0" w:firstLine="0"/>
      </w:pPr>
      <w:rPr>
        <w:rFonts w:hint="eastAsia" w:ascii="Times New Roman" w:hAnsi="Times New Roman" w:eastAsia="宋体" w:cs="宋体"/>
      </w:rPr>
    </w:lvl>
    <w:lvl w:ilvl="6" w:tentative="0">
      <w:start w:val="1"/>
      <w:numFmt w:val="decimal"/>
      <w:lvlText w:val="%1.%2.%3.%4.%5.%6.%7."/>
      <w:lvlJc w:val="left"/>
      <w:pPr>
        <w:tabs>
          <w:tab w:val="left" w:pos="420"/>
        </w:tabs>
        <w:ind w:left="1296" w:hanging="1296"/>
      </w:pPr>
      <w:rPr>
        <w:rFonts w:hint="eastAsia" w:ascii="宋体" w:hAnsi="宋体" w:eastAsia="宋体" w:cs="宋体"/>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3" w:hanging="1583"/>
      </w:pPr>
      <w:rPr>
        <w:rFonts w:hint="eastAsia"/>
      </w:rPr>
    </w:lvl>
  </w:abstractNum>
  <w:abstractNum w:abstractNumId="7">
    <w:nsid w:val="26F55DDD"/>
    <w:multiLevelType w:val="multilevel"/>
    <w:tmpl w:val="26F55DDD"/>
    <w:lvl w:ilvl="0" w:tentative="0">
      <w:start w:val="1"/>
      <w:numFmt w:val="chineseCounting"/>
      <w:suff w:val="nothing"/>
      <w:lvlText w:val="%1、"/>
      <w:lvlJc w:val="left"/>
      <w:pPr>
        <w:tabs>
          <w:tab w:val="left" w:pos="420"/>
        </w:tabs>
        <w:ind w:left="358" w:firstLine="0"/>
      </w:pPr>
      <w:rPr>
        <w:rFonts w:hint="eastAsia" w:ascii="宋体" w:hAnsi="宋体" w:eastAsia="宋体" w:cs="宋体"/>
      </w:rPr>
    </w:lvl>
    <w:lvl w:ilvl="1" w:tentative="0">
      <w:start w:val="1"/>
      <w:numFmt w:val="decimal"/>
      <w:isLgl/>
      <w:suff w:val="space"/>
      <w:lvlText w:val="%1.%2"/>
      <w:lvlJc w:val="left"/>
      <w:pPr>
        <w:tabs>
          <w:tab w:val="left" w:pos="0"/>
        </w:tabs>
        <w:ind w:left="358" w:firstLine="0"/>
      </w:pPr>
      <w:rPr>
        <w:rFonts w:hint="eastAsia" w:ascii="Times New Roman" w:hAnsi="Times New Roman" w:eastAsia="宋体" w:cs="Times New Roman"/>
      </w:rPr>
    </w:lvl>
    <w:lvl w:ilvl="2" w:tentative="0">
      <w:start w:val="1"/>
      <w:numFmt w:val="decimal"/>
      <w:isLgl/>
      <w:suff w:val="space"/>
      <w:lvlText w:val="%1.%2.%3"/>
      <w:lvlJc w:val="left"/>
      <w:pPr>
        <w:tabs>
          <w:tab w:val="left" w:pos="420"/>
        </w:tabs>
        <w:ind w:left="358" w:firstLine="0"/>
      </w:pPr>
      <w:rPr>
        <w:rFonts w:hint="eastAsia" w:ascii="Times New Roman" w:hAnsi="Times New Roman" w:eastAsia="宋体" w:cs="Times New Roman"/>
        <w:sz w:val="24"/>
        <w:szCs w:val="24"/>
      </w:rPr>
    </w:lvl>
    <w:lvl w:ilvl="3" w:tentative="0">
      <w:start w:val="1"/>
      <w:numFmt w:val="decimal"/>
      <w:isLgl/>
      <w:suff w:val="space"/>
      <w:lvlText w:val="%1.%2.%3.%4"/>
      <w:lvlJc w:val="left"/>
      <w:pPr>
        <w:tabs>
          <w:tab w:val="left" w:pos="420"/>
        </w:tabs>
        <w:ind w:left="358" w:firstLine="0"/>
      </w:pPr>
      <w:rPr>
        <w:rFonts w:hint="eastAsia" w:ascii="Times New Roman" w:hAnsi="Times New Roman" w:eastAsia="宋体" w:cs="宋体"/>
        <w:sz w:val="24"/>
      </w:rPr>
    </w:lvl>
    <w:lvl w:ilvl="4" w:tentative="0">
      <w:start w:val="1"/>
      <w:numFmt w:val="decimal"/>
      <w:lvlText w:val="%1.%2.%3.%4.%5."/>
      <w:lvlJc w:val="left"/>
      <w:pPr>
        <w:ind w:left="1366" w:hanging="1008"/>
      </w:pPr>
      <w:rPr>
        <w:rFonts w:hint="eastAsia"/>
      </w:rPr>
    </w:lvl>
    <w:lvl w:ilvl="5" w:tentative="0">
      <w:start w:val="1"/>
      <w:numFmt w:val="decimal"/>
      <w:lvlText w:val="%1.%2.%3.%4.%5.%6."/>
      <w:lvlJc w:val="left"/>
      <w:pPr>
        <w:ind w:left="1509" w:hanging="1151"/>
      </w:pPr>
      <w:rPr>
        <w:rFonts w:hint="eastAsia"/>
      </w:rPr>
    </w:lvl>
    <w:lvl w:ilvl="6" w:tentative="0">
      <w:start w:val="1"/>
      <w:numFmt w:val="decimal"/>
      <w:lvlText w:val="%1.%2.%3.%4.%5.%6.%7."/>
      <w:lvlJc w:val="left"/>
      <w:pPr>
        <w:ind w:left="1654" w:hanging="1296"/>
      </w:pPr>
      <w:rPr>
        <w:rFonts w:hint="eastAsia"/>
      </w:rPr>
    </w:lvl>
    <w:lvl w:ilvl="7" w:tentative="0">
      <w:start w:val="1"/>
      <w:numFmt w:val="decimal"/>
      <w:suff w:val="space"/>
      <w:lvlText w:val="表 %1.%2-%8."/>
      <w:lvlJc w:val="left"/>
      <w:pPr>
        <w:tabs>
          <w:tab w:val="left" w:pos="420"/>
        </w:tabs>
        <w:ind w:left="1798" w:hanging="1440"/>
      </w:pPr>
      <w:rPr>
        <w:rFonts w:hint="eastAsia" w:ascii="宋体" w:hAnsi="宋体" w:eastAsia="宋体" w:cs="宋体"/>
      </w:rPr>
    </w:lvl>
    <w:lvl w:ilvl="8" w:tentative="0">
      <w:start w:val="1"/>
      <w:numFmt w:val="decimal"/>
      <w:pStyle w:val="10"/>
      <w:lvlText w:val="%1.%2.%3.%4.%5.%6.%7.%8.%9."/>
      <w:lvlJc w:val="left"/>
      <w:pPr>
        <w:ind w:left="1941" w:hanging="1583"/>
      </w:pPr>
      <w:rPr>
        <w:rFonts w:hint="eastAsia"/>
      </w:rPr>
    </w:lvl>
  </w:abstractNum>
  <w:abstractNum w:abstractNumId="8">
    <w:nsid w:val="2AA33BED"/>
    <w:multiLevelType w:val="multilevel"/>
    <w:tmpl w:val="2AA33BED"/>
    <w:lvl w:ilvl="0" w:tentative="0">
      <w:start w:val="1"/>
      <w:numFmt w:val="chineseCounting"/>
      <w:suff w:val="nothing"/>
      <w:lvlText w:val="%1、"/>
      <w:lvlJc w:val="left"/>
      <w:pPr>
        <w:tabs>
          <w:tab w:val="left" w:pos="420"/>
        </w:tabs>
        <w:ind w:left="2730" w:leftChars="0" w:firstLine="0" w:firstLineChars="0"/>
      </w:pPr>
      <w:rPr>
        <w:rFonts w:hint="eastAsia" w:ascii="宋体" w:hAnsi="宋体" w:eastAsia="宋体" w:cs="宋体"/>
      </w:rPr>
    </w:lvl>
    <w:lvl w:ilvl="1" w:tentative="0">
      <w:start w:val="1"/>
      <w:numFmt w:val="decimal"/>
      <w:isLgl/>
      <w:suff w:val="space"/>
      <w:lvlText w:val="%1.%2"/>
      <w:lvlJc w:val="left"/>
      <w:pPr>
        <w:tabs>
          <w:tab w:val="left" w:pos="420"/>
        </w:tabs>
        <w:ind w:left="0" w:leftChars="0" w:firstLine="0" w:firstLineChars="0"/>
      </w:pPr>
      <w:rPr>
        <w:rFonts w:hint="eastAsia" w:ascii="Times New Roman" w:hAnsi="Times New Roman" w:eastAsia="宋体" w:cs="Times New Roman"/>
      </w:rPr>
    </w:lvl>
    <w:lvl w:ilvl="2" w:tentative="0">
      <w:start w:val="1"/>
      <w:numFmt w:val="decimal"/>
      <w:isLgl/>
      <w:suff w:val="space"/>
      <w:lvlText w:val="%1.%2.%3"/>
      <w:lvlJc w:val="left"/>
      <w:pPr>
        <w:tabs>
          <w:tab w:val="left" w:pos="420"/>
        </w:tabs>
        <w:ind w:left="0" w:leftChars="0" w:firstLine="0" w:firstLineChars="0"/>
      </w:pPr>
      <w:rPr>
        <w:rFonts w:hint="eastAsia" w:ascii="Times New Roman" w:hAnsi="Times New Roman" w:eastAsia="宋体" w:cs="Times New Roman"/>
        <w:sz w:val="24"/>
        <w:szCs w:val="24"/>
      </w:rPr>
    </w:lvl>
    <w:lvl w:ilvl="3" w:tentative="0">
      <w:start w:val="1"/>
      <w:numFmt w:val="decimal"/>
      <w:isLgl/>
      <w:suff w:val="space"/>
      <w:lvlText w:val="%1.%2.%3.%4"/>
      <w:lvlJc w:val="left"/>
      <w:pPr>
        <w:tabs>
          <w:tab w:val="left" w:pos="420"/>
        </w:tabs>
        <w:ind w:left="0" w:leftChars="0" w:firstLine="0" w:firstLineChars="0"/>
      </w:pPr>
      <w:rPr>
        <w:rFonts w:hint="eastAsia" w:ascii="宋体" w:hAnsi="宋体" w:eastAsia="宋体" w:cs="宋体"/>
        <w:sz w:val="24"/>
      </w:rPr>
    </w:lvl>
    <w:lvl w:ilvl="4" w:tentative="0">
      <w:start w:val="1"/>
      <w:numFmt w:val="decimal"/>
      <w:pStyle w:val="6"/>
      <w:lvlText w:val="%1.%2.%3.%4.%5."/>
      <w:lvlJc w:val="left"/>
      <w:pPr>
        <w:ind w:left="1366" w:hanging="1008"/>
      </w:pPr>
      <w:rPr>
        <w:rFonts w:hint="eastAsia" w:ascii="宋体" w:hAnsi="宋体" w:eastAsia="宋体" w:cs="宋体"/>
      </w:rPr>
    </w:lvl>
    <w:lvl w:ilvl="5" w:tentative="0">
      <w:start w:val="1"/>
      <w:numFmt w:val="decimal"/>
      <w:pStyle w:val="7"/>
      <w:lvlText w:val="%1.%2.%3.%4.%5.%6."/>
      <w:lvlJc w:val="left"/>
      <w:pPr>
        <w:ind w:left="1509" w:hanging="1151"/>
      </w:pPr>
      <w:rPr>
        <w:rFonts w:hint="eastAsia" w:ascii="宋体" w:hAnsi="宋体" w:eastAsia="宋体" w:cs="宋体"/>
      </w:rPr>
    </w:lvl>
    <w:lvl w:ilvl="6" w:tentative="0">
      <w:start w:val="1"/>
      <w:numFmt w:val="decimal"/>
      <w:pStyle w:val="8"/>
      <w:lvlText w:val="%1.%2.%3.%4.%5.%6.%7."/>
      <w:lvlJc w:val="left"/>
      <w:pPr>
        <w:tabs>
          <w:tab w:val="left" w:pos="420"/>
        </w:tabs>
        <w:ind w:left="1654" w:hanging="1296"/>
      </w:pPr>
      <w:rPr>
        <w:rFonts w:hint="eastAsia" w:ascii="宋体" w:hAnsi="宋体" w:eastAsia="宋体" w:cs="宋体"/>
      </w:rPr>
    </w:lvl>
    <w:lvl w:ilvl="7" w:tentative="0">
      <w:start w:val="1"/>
      <w:numFmt w:val="decimal"/>
      <w:isLgl/>
      <w:suff w:val="space"/>
      <w:lvlText w:val="表 %1.%2-%8"/>
      <w:lvlJc w:val="left"/>
      <w:pPr>
        <w:tabs>
          <w:tab w:val="left" w:pos="0"/>
        </w:tabs>
        <w:ind w:left="0" w:leftChars="0" w:firstLine="0" w:firstLineChars="0"/>
      </w:pPr>
      <w:rPr>
        <w:rFonts w:hint="default" w:ascii="Times New Roman" w:hAnsi="Times New Roman" w:eastAsia="宋体" w:cs="Times New Roman"/>
        <w:sz w:val="24"/>
        <w:szCs w:val="24"/>
      </w:rPr>
    </w:lvl>
    <w:lvl w:ilvl="8" w:tentative="0">
      <w:start w:val="1"/>
      <w:numFmt w:val="decimal"/>
      <w:isLgl/>
      <w:suff w:val="space"/>
      <w:lvlText w:val="图 %1.%2-%9"/>
      <w:lvlJc w:val="left"/>
      <w:pPr>
        <w:tabs>
          <w:tab w:val="left" w:pos="420"/>
        </w:tabs>
        <w:ind w:left="0" w:leftChars="0" w:firstLine="0" w:firstLineChars="0"/>
      </w:pPr>
      <w:rPr>
        <w:rFonts w:hint="default" w:ascii="Times New Roman" w:hAnsi="Times New Roman" w:eastAsia="宋体" w:cs="Times New Roman"/>
      </w:rPr>
    </w:lvl>
  </w:abstractNum>
  <w:abstractNum w:abstractNumId="9">
    <w:nsid w:val="36A2CC2C"/>
    <w:multiLevelType w:val="singleLevel"/>
    <w:tmpl w:val="36A2CC2C"/>
    <w:lvl w:ilvl="0" w:tentative="0">
      <w:start w:val="1"/>
      <w:numFmt w:val="decimal"/>
      <w:lvlText w:val="(%1)"/>
      <w:lvlJc w:val="left"/>
      <w:pPr>
        <w:ind w:left="425" w:hanging="425"/>
      </w:pPr>
      <w:rPr>
        <w:rFonts w:hint="default"/>
      </w:rPr>
    </w:lvl>
  </w:abstractNum>
  <w:abstractNum w:abstractNumId="10">
    <w:nsid w:val="64996C12"/>
    <w:multiLevelType w:val="multilevel"/>
    <w:tmpl w:val="64996C12"/>
    <w:lvl w:ilvl="0" w:tentative="0">
      <w:start w:val="7"/>
      <w:numFmt w:val="decimal"/>
      <w:lvlText w:val="%1"/>
      <w:lvlJc w:val="left"/>
      <w:pPr>
        <w:ind w:left="432" w:hanging="432"/>
      </w:pPr>
    </w:lvl>
    <w:lvl w:ilvl="1" w:tentative="0">
      <w:start w:val="1"/>
      <w:numFmt w:val="decimal"/>
      <w:lvlText w:val="%1.%2"/>
      <w:lvlJc w:val="left"/>
      <w:pPr>
        <w:ind w:left="576" w:hanging="576"/>
        <w:textAlignment w:val="baseline"/>
      </w:pPr>
      <w:rPr>
        <w:b/>
        <w:bCs w:val="0"/>
        <w:i w:val="0"/>
        <w:iCs w:val="0"/>
        <w:caps w:val="0"/>
        <w:strike w:val="0"/>
        <w:dstrike w:val="0"/>
        <w:vanish w:val="0"/>
        <w:color w:val="000000"/>
        <w:spacing w:val="0"/>
        <w:position w:val="0"/>
        <w:u w:val="none"/>
      </w:rPr>
    </w:lvl>
    <w:lvl w:ilvl="2" w:tentative="0">
      <w:start w:val="1"/>
      <w:numFmt w:val="decimal"/>
      <w:pStyle w:val="108"/>
      <w:lvlText w:val="%1.%2.%3"/>
      <w:lvlJc w:val="left"/>
      <w:pPr>
        <w:ind w:left="4832" w:hanging="720"/>
      </w:pPr>
    </w:lvl>
    <w:lvl w:ilvl="3" w:tentative="0">
      <w:start w:val="1"/>
      <w:numFmt w:val="decimal"/>
      <w:lvlText w:val="%1.%2.%3.%4"/>
      <w:lvlJc w:val="left"/>
      <w:pPr>
        <w:snapToGrid w:val="0"/>
        <w:ind w:left="864" w:hanging="864"/>
        <w:textAlignment w:val="baseline"/>
      </w:pPr>
      <w:rPr>
        <w:rFonts w:ascii="Times New Roman" w:hAnsi="Times New Roman" w:cs="Times New Roman"/>
        <w:b/>
        <w:bCs w:val="0"/>
        <w:i w:val="0"/>
        <w:iCs w:val="0"/>
        <w:caps w:val="0"/>
        <w:strike w:val="0"/>
        <w:dstrike w:val="0"/>
        <w:vanish w:val="0"/>
        <w:color w:val="000000"/>
        <w:spacing w:val="0"/>
        <w:w w:val="0"/>
        <w:kern w:val="0"/>
        <w:position w:val="0"/>
        <w:szCs w:val="0"/>
        <w:u w:val="none"/>
      </w:r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11">
    <w:nsid w:val="6D196F0D"/>
    <w:multiLevelType w:val="multilevel"/>
    <w:tmpl w:val="6D196F0D"/>
    <w:lvl w:ilvl="0" w:tentative="0">
      <w:start w:val="1"/>
      <w:numFmt w:val="chineseCounting"/>
      <w:pStyle w:val="2"/>
      <w:suff w:val="nothing"/>
      <w:lvlText w:val="%1、"/>
      <w:lvlJc w:val="left"/>
      <w:pPr>
        <w:tabs>
          <w:tab w:val="left" w:pos="0"/>
        </w:tabs>
        <w:ind w:left="432" w:hanging="432"/>
      </w:pPr>
      <w:rPr>
        <w:rFonts w:hint="eastAsia" w:ascii="宋体" w:hAnsi="宋体" w:eastAsia="宋体" w:cs="宋体"/>
        <w:b/>
        <w:bCs/>
        <w:sz w:val="32"/>
        <w:szCs w:val="32"/>
      </w:rPr>
    </w:lvl>
    <w:lvl w:ilvl="1" w:tentative="0">
      <w:start w:val="1"/>
      <w:numFmt w:val="decimal"/>
      <w:pStyle w:val="3"/>
      <w:isLgl/>
      <w:suff w:val="space"/>
      <w:lvlText w:val="%1.%2"/>
      <w:lvlJc w:val="left"/>
      <w:pPr>
        <w:tabs>
          <w:tab w:val="left" w:pos="420"/>
        </w:tabs>
        <w:ind w:left="0" w:firstLine="0"/>
      </w:pPr>
      <w:rPr>
        <w:rFonts w:hint="default" w:ascii="Times New Roman" w:hAnsi="Times New Roman" w:eastAsia="宋体" w:cs="Times New Roman"/>
        <w:b/>
        <w:bCs/>
        <w:sz w:val="30"/>
        <w:szCs w:val="30"/>
      </w:rPr>
    </w:lvl>
    <w:lvl w:ilvl="2" w:tentative="0">
      <w:start w:val="1"/>
      <w:numFmt w:val="decimal"/>
      <w:pStyle w:val="4"/>
      <w:isLgl/>
      <w:suff w:val="space"/>
      <w:lvlText w:val="%1.%2.%3"/>
      <w:lvlJc w:val="left"/>
      <w:pPr>
        <w:tabs>
          <w:tab w:val="left" w:pos="0"/>
        </w:tabs>
        <w:ind w:left="720" w:hanging="720"/>
      </w:pPr>
      <w:rPr>
        <w:rFonts w:hint="default" w:ascii="Times New Roman" w:hAnsi="Times New Roman" w:eastAsia="宋体" w:cs="Times New Roman"/>
        <w:b/>
        <w:bCs/>
        <w:sz w:val="24"/>
        <w:szCs w:val="28"/>
      </w:rPr>
    </w:lvl>
    <w:lvl w:ilvl="3" w:tentative="0">
      <w:start w:val="1"/>
      <w:numFmt w:val="decimal"/>
      <w:pStyle w:val="5"/>
      <w:isLgl/>
      <w:suff w:val="space"/>
      <w:lvlText w:val="%1.%2.%3.%4"/>
      <w:lvlJc w:val="left"/>
      <w:pPr>
        <w:tabs>
          <w:tab w:val="left" w:pos="0"/>
        </w:tabs>
        <w:ind w:left="864" w:hanging="864"/>
      </w:pPr>
      <w:rPr>
        <w:rFonts w:hint="default" w:ascii="Times New Roman" w:hAnsi="Times New Roman" w:eastAsia="宋体" w:cs="Times New Roman"/>
        <w:sz w:val="24"/>
        <w:szCs w:val="24"/>
      </w:rPr>
    </w:lvl>
    <w:lvl w:ilvl="4" w:tentative="0">
      <w:start w:val="1"/>
      <w:numFmt w:val="decimal"/>
      <w:isLgl/>
      <w:suff w:val="nothing"/>
      <w:lvlText w:val="   （%5）"/>
      <w:lvlJc w:val="left"/>
      <w:pPr>
        <w:tabs>
          <w:tab w:val="left" w:pos="420"/>
        </w:tabs>
        <w:ind w:left="0" w:firstLine="0"/>
      </w:pPr>
      <w:rPr>
        <w:rFonts w:hint="eastAsia" w:ascii="宋体" w:hAnsi="宋体" w:eastAsia="宋体" w:cs="宋体"/>
        <w:sz w:val="24"/>
        <w:szCs w:val="24"/>
      </w:rPr>
    </w:lvl>
    <w:lvl w:ilvl="5" w:tentative="0">
      <w:start w:val="1"/>
      <w:numFmt w:val="decimalEnclosedCircleChinese"/>
      <w:suff w:val="nothing"/>
      <w:lvlText w:val="%6"/>
      <w:lvlJc w:val="left"/>
      <w:pPr>
        <w:tabs>
          <w:tab w:val="left" w:pos="420"/>
        </w:tabs>
        <w:ind w:left="1151" w:hanging="1151"/>
      </w:pPr>
      <w:rPr>
        <w:rFonts w:hint="eastAsia" w:ascii="宋体" w:hAnsi="宋体" w:eastAsia="宋体" w:cs="宋体"/>
      </w:rPr>
    </w:lvl>
    <w:lvl w:ilvl="6" w:tentative="0">
      <w:start w:val="1"/>
      <w:numFmt w:val="upperLetter"/>
      <w:lvlText w:val="%7."/>
      <w:lvlJc w:val="center"/>
      <w:pPr>
        <w:tabs>
          <w:tab w:val="left" w:pos="0"/>
        </w:tabs>
        <w:ind w:left="0" w:leftChars="0" w:firstLine="0" w:firstLineChars="0"/>
      </w:pPr>
      <w:rPr>
        <w:rFonts w:hint="eastAsia" w:ascii="宋体" w:hAnsi="宋体" w:eastAsia="宋体" w:cs="宋体"/>
      </w:rPr>
    </w:lvl>
    <w:lvl w:ilvl="7" w:tentative="0">
      <w:start w:val="1"/>
      <w:numFmt w:val="decimal"/>
      <w:lvlRestart w:val="2"/>
      <w:pStyle w:val="42"/>
      <w:isLgl/>
      <w:suff w:val="space"/>
      <w:lvlText w:val="表%1.%2-%8"/>
      <w:lvlJc w:val="center"/>
      <w:pPr>
        <w:tabs>
          <w:tab w:val="left" w:pos="0"/>
        </w:tabs>
        <w:ind w:left="630" w:leftChars="0" w:firstLine="0" w:firstLineChars="0"/>
      </w:pPr>
      <w:rPr>
        <w:rFonts w:hint="eastAsia" w:ascii="Times New Roman" w:hAnsi="Times New Roman" w:eastAsia="宋体" w:cs="宋体"/>
      </w:rPr>
    </w:lvl>
    <w:lvl w:ilvl="8" w:tentative="0">
      <w:start w:val="1"/>
      <w:numFmt w:val="decimal"/>
      <w:lvlRestart w:val="2"/>
      <w:pStyle w:val="47"/>
      <w:isLgl/>
      <w:suff w:val="space"/>
      <w:lvlText w:val="图%1.%2-%9"/>
      <w:lvlJc w:val="left"/>
      <w:pPr>
        <w:tabs>
          <w:tab w:val="left" w:pos="420"/>
        </w:tabs>
        <w:ind w:left="1583" w:hanging="1583"/>
      </w:pPr>
      <w:rPr>
        <w:rFonts w:hint="eastAsia" w:ascii="Times New Roman" w:hAnsi="Times New Roman" w:eastAsia="宋体" w:cs="宋体"/>
      </w:rPr>
    </w:lvl>
  </w:abstractNum>
  <w:num w:numId="1">
    <w:abstractNumId w:val="11"/>
  </w:num>
  <w:num w:numId="2">
    <w:abstractNumId w:val="8"/>
  </w:num>
  <w:num w:numId="3">
    <w:abstractNumId w:val="0"/>
  </w:num>
  <w:num w:numId="4">
    <w:abstractNumId w:val="7"/>
  </w:num>
  <w:num w:numId="5">
    <w:abstractNumId w:val="2"/>
  </w:num>
  <w:num w:numId="6">
    <w:abstractNumId w:val="10"/>
  </w:num>
  <w:num w:numId="7">
    <w:abstractNumId w:val="6"/>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9"/>
  </w:num>
  <w:num w:numId="13">
    <w:abstractNumId w:val="4"/>
  </w:num>
  <w:num w:numId="14">
    <w:abstractNumId w:val="5"/>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dlODgxMGI5Yzg3MjZlOGMzZTU4NTc1ZGRiMWEwZmIifQ=="/>
  </w:docVars>
  <w:rsids>
    <w:rsidRoot w:val="00172A27"/>
    <w:rsid w:val="000044D7"/>
    <w:rsid w:val="000060B3"/>
    <w:rsid w:val="00010C32"/>
    <w:rsid w:val="00010D61"/>
    <w:rsid w:val="00013DB6"/>
    <w:rsid w:val="000150ED"/>
    <w:rsid w:val="00017225"/>
    <w:rsid w:val="000244E7"/>
    <w:rsid w:val="00027F64"/>
    <w:rsid w:val="00031A9B"/>
    <w:rsid w:val="00031EFE"/>
    <w:rsid w:val="00040EDE"/>
    <w:rsid w:val="00041B57"/>
    <w:rsid w:val="0004364B"/>
    <w:rsid w:val="000500AF"/>
    <w:rsid w:val="00051602"/>
    <w:rsid w:val="000566B6"/>
    <w:rsid w:val="0005675D"/>
    <w:rsid w:val="00057803"/>
    <w:rsid w:val="0006124E"/>
    <w:rsid w:val="00061B1F"/>
    <w:rsid w:val="00061C20"/>
    <w:rsid w:val="000629F7"/>
    <w:rsid w:val="000733C4"/>
    <w:rsid w:val="00074783"/>
    <w:rsid w:val="00077BD5"/>
    <w:rsid w:val="0008070B"/>
    <w:rsid w:val="000810AC"/>
    <w:rsid w:val="00081A02"/>
    <w:rsid w:val="00082231"/>
    <w:rsid w:val="000841D3"/>
    <w:rsid w:val="00085629"/>
    <w:rsid w:val="00092D38"/>
    <w:rsid w:val="00093075"/>
    <w:rsid w:val="0009377B"/>
    <w:rsid w:val="00094146"/>
    <w:rsid w:val="00094AEE"/>
    <w:rsid w:val="000A20C9"/>
    <w:rsid w:val="000A712D"/>
    <w:rsid w:val="000A76F9"/>
    <w:rsid w:val="000B0530"/>
    <w:rsid w:val="000B058F"/>
    <w:rsid w:val="000B369C"/>
    <w:rsid w:val="000B4467"/>
    <w:rsid w:val="000B4DB9"/>
    <w:rsid w:val="000C09AC"/>
    <w:rsid w:val="000C119D"/>
    <w:rsid w:val="000C1900"/>
    <w:rsid w:val="000C1EE7"/>
    <w:rsid w:val="000C2F92"/>
    <w:rsid w:val="000C3640"/>
    <w:rsid w:val="000C57F5"/>
    <w:rsid w:val="000C6D42"/>
    <w:rsid w:val="000C767F"/>
    <w:rsid w:val="000D03D3"/>
    <w:rsid w:val="000D0960"/>
    <w:rsid w:val="000D54D6"/>
    <w:rsid w:val="000D5A44"/>
    <w:rsid w:val="000E3ED2"/>
    <w:rsid w:val="000E4B00"/>
    <w:rsid w:val="001005DC"/>
    <w:rsid w:val="00100FD2"/>
    <w:rsid w:val="001014DC"/>
    <w:rsid w:val="00102E61"/>
    <w:rsid w:val="001062FE"/>
    <w:rsid w:val="001074DE"/>
    <w:rsid w:val="001075B4"/>
    <w:rsid w:val="00110E2B"/>
    <w:rsid w:val="001133B7"/>
    <w:rsid w:val="00114B58"/>
    <w:rsid w:val="00125D00"/>
    <w:rsid w:val="001260FF"/>
    <w:rsid w:val="0013091B"/>
    <w:rsid w:val="00131F42"/>
    <w:rsid w:val="001357F1"/>
    <w:rsid w:val="00140538"/>
    <w:rsid w:val="00140FA8"/>
    <w:rsid w:val="001418CB"/>
    <w:rsid w:val="00141D71"/>
    <w:rsid w:val="00142FEB"/>
    <w:rsid w:val="00143A2D"/>
    <w:rsid w:val="00145035"/>
    <w:rsid w:val="00145A41"/>
    <w:rsid w:val="00146B60"/>
    <w:rsid w:val="00151675"/>
    <w:rsid w:val="00154C1F"/>
    <w:rsid w:val="001573EA"/>
    <w:rsid w:val="00157435"/>
    <w:rsid w:val="00167BA7"/>
    <w:rsid w:val="00172A27"/>
    <w:rsid w:val="00173954"/>
    <w:rsid w:val="0017504D"/>
    <w:rsid w:val="00175895"/>
    <w:rsid w:val="001762F6"/>
    <w:rsid w:val="0017671A"/>
    <w:rsid w:val="00177422"/>
    <w:rsid w:val="00180EF4"/>
    <w:rsid w:val="00182E99"/>
    <w:rsid w:val="00182F24"/>
    <w:rsid w:val="00184590"/>
    <w:rsid w:val="001870D1"/>
    <w:rsid w:val="0018781E"/>
    <w:rsid w:val="0019262D"/>
    <w:rsid w:val="001968F8"/>
    <w:rsid w:val="001A0E98"/>
    <w:rsid w:val="001A1302"/>
    <w:rsid w:val="001A1944"/>
    <w:rsid w:val="001A1B35"/>
    <w:rsid w:val="001A48A2"/>
    <w:rsid w:val="001A6F61"/>
    <w:rsid w:val="001B3F5A"/>
    <w:rsid w:val="001B72B8"/>
    <w:rsid w:val="001B7EB8"/>
    <w:rsid w:val="001C2D59"/>
    <w:rsid w:val="001C3BF1"/>
    <w:rsid w:val="001C548D"/>
    <w:rsid w:val="001C69B3"/>
    <w:rsid w:val="001D4206"/>
    <w:rsid w:val="001D5595"/>
    <w:rsid w:val="001D59B0"/>
    <w:rsid w:val="001D7874"/>
    <w:rsid w:val="001D7F22"/>
    <w:rsid w:val="001E0F48"/>
    <w:rsid w:val="001E4C8D"/>
    <w:rsid w:val="001F0F17"/>
    <w:rsid w:val="001F1E07"/>
    <w:rsid w:val="001F3347"/>
    <w:rsid w:val="001F3702"/>
    <w:rsid w:val="001F49F6"/>
    <w:rsid w:val="001F69E4"/>
    <w:rsid w:val="001F7DE2"/>
    <w:rsid w:val="00201724"/>
    <w:rsid w:val="002042D4"/>
    <w:rsid w:val="002125B4"/>
    <w:rsid w:val="002155B8"/>
    <w:rsid w:val="00217661"/>
    <w:rsid w:val="00224839"/>
    <w:rsid w:val="002249B2"/>
    <w:rsid w:val="00225378"/>
    <w:rsid w:val="00226574"/>
    <w:rsid w:val="002278EC"/>
    <w:rsid w:val="0023280E"/>
    <w:rsid w:val="002377D1"/>
    <w:rsid w:val="002406E5"/>
    <w:rsid w:val="002452E1"/>
    <w:rsid w:val="00245A88"/>
    <w:rsid w:val="002506BC"/>
    <w:rsid w:val="00253756"/>
    <w:rsid w:val="00253F02"/>
    <w:rsid w:val="00254345"/>
    <w:rsid w:val="002545A7"/>
    <w:rsid w:val="002555A2"/>
    <w:rsid w:val="00256695"/>
    <w:rsid w:val="00264557"/>
    <w:rsid w:val="002701B7"/>
    <w:rsid w:val="0027359D"/>
    <w:rsid w:val="002805AB"/>
    <w:rsid w:val="002812C8"/>
    <w:rsid w:val="002814F1"/>
    <w:rsid w:val="00284204"/>
    <w:rsid w:val="00285085"/>
    <w:rsid w:val="00287861"/>
    <w:rsid w:val="00287A3B"/>
    <w:rsid w:val="00287BFF"/>
    <w:rsid w:val="00291773"/>
    <w:rsid w:val="00292C5F"/>
    <w:rsid w:val="002A168C"/>
    <w:rsid w:val="002A3DC7"/>
    <w:rsid w:val="002A4303"/>
    <w:rsid w:val="002A7B7D"/>
    <w:rsid w:val="002B14DB"/>
    <w:rsid w:val="002B2C5C"/>
    <w:rsid w:val="002B4159"/>
    <w:rsid w:val="002B49E2"/>
    <w:rsid w:val="002B7135"/>
    <w:rsid w:val="002B7B00"/>
    <w:rsid w:val="002B7C44"/>
    <w:rsid w:val="002C2B17"/>
    <w:rsid w:val="002C486B"/>
    <w:rsid w:val="002D1B33"/>
    <w:rsid w:val="002D24B4"/>
    <w:rsid w:val="002D36C8"/>
    <w:rsid w:val="002D3DD0"/>
    <w:rsid w:val="002E1F3A"/>
    <w:rsid w:val="002E298A"/>
    <w:rsid w:val="002F468E"/>
    <w:rsid w:val="002F677F"/>
    <w:rsid w:val="002F6A84"/>
    <w:rsid w:val="00301978"/>
    <w:rsid w:val="00301A3E"/>
    <w:rsid w:val="0030332C"/>
    <w:rsid w:val="003051C2"/>
    <w:rsid w:val="003105DA"/>
    <w:rsid w:val="00312296"/>
    <w:rsid w:val="00314F0E"/>
    <w:rsid w:val="003200F4"/>
    <w:rsid w:val="00320F8F"/>
    <w:rsid w:val="00321AC6"/>
    <w:rsid w:val="00321D8E"/>
    <w:rsid w:val="00325928"/>
    <w:rsid w:val="00332863"/>
    <w:rsid w:val="00332A3D"/>
    <w:rsid w:val="0033684D"/>
    <w:rsid w:val="00336FF9"/>
    <w:rsid w:val="00337B42"/>
    <w:rsid w:val="00340DA9"/>
    <w:rsid w:val="00341B42"/>
    <w:rsid w:val="0034348F"/>
    <w:rsid w:val="00351F64"/>
    <w:rsid w:val="00354BF1"/>
    <w:rsid w:val="00356653"/>
    <w:rsid w:val="003568FE"/>
    <w:rsid w:val="0035743F"/>
    <w:rsid w:val="00357647"/>
    <w:rsid w:val="00357BE2"/>
    <w:rsid w:val="00357C21"/>
    <w:rsid w:val="0036170C"/>
    <w:rsid w:val="003629A3"/>
    <w:rsid w:val="00366E0F"/>
    <w:rsid w:val="00371C4D"/>
    <w:rsid w:val="00375248"/>
    <w:rsid w:val="00376344"/>
    <w:rsid w:val="00376AEF"/>
    <w:rsid w:val="00377DA9"/>
    <w:rsid w:val="00381040"/>
    <w:rsid w:val="0038152B"/>
    <w:rsid w:val="00381A72"/>
    <w:rsid w:val="00383579"/>
    <w:rsid w:val="00384676"/>
    <w:rsid w:val="00386D64"/>
    <w:rsid w:val="00390857"/>
    <w:rsid w:val="003954FA"/>
    <w:rsid w:val="003971F9"/>
    <w:rsid w:val="00397C02"/>
    <w:rsid w:val="003A0C4E"/>
    <w:rsid w:val="003A4BF3"/>
    <w:rsid w:val="003A6D3A"/>
    <w:rsid w:val="003B1284"/>
    <w:rsid w:val="003B2260"/>
    <w:rsid w:val="003B420D"/>
    <w:rsid w:val="003B46BE"/>
    <w:rsid w:val="003C2F0A"/>
    <w:rsid w:val="003C335B"/>
    <w:rsid w:val="003C5606"/>
    <w:rsid w:val="003C6C16"/>
    <w:rsid w:val="003C6E78"/>
    <w:rsid w:val="003D27CC"/>
    <w:rsid w:val="003D476F"/>
    <w:rsid w:val="003D6C52"/>
    <w:rsid w:val="003D794D"/>
    <w:rsid w:val="003E3058"/>
    <w:rsid w:val="003E30EE"/>
    <w:rsid w:val="003E76A9"/>
    <w:rsid w:val="003F0809"/>
    <w:rsid w:val="003F24B7"/>
    <w:rsid w:val="003F6A8C"/>
    <w:rsid w:val="003F755C"/>
    <w:rsid w:val="003F75FD"/>
    <w:rsid w:val="004007F4"/>
    <w:rsid w:val="00403E9E"/>
    <w:rsid w:val="00406F01"/>
    <w:rsid w:val="0041430D"/>
    <w:rsid w:val="00415C4F"/>
    <w:rsid w:val="004163AF"/>
    <w:rsid w:val="004165E4"/>
    <w:rsid w:val="00416721"/>
    <w:rsid w:val="00416D50"/>
    <w:rsid w:val="00416FD5"/>
    <w:rsid w:val="00417772"/>
    <w:rsid w:val="00420E6A"/>
    <w:rsid w:val="004214B1"/>
    <w:rsid w:val="0042178A"/>
    <w:rsid w:val="00424290"/>
    <w:rsid w:val="00425697"/>
    <w:rsid w:val="00425A9E"/>
    <w:rsid w:val="00426D6B"/>
    <w:rsid w:val="00427601"/>
    <w:rsid w:val="00427737"/>
    <w:rsid w:val="00431E6C"/>
    <w:rsid w:val="00433CE7"/>
    <w:rsid w:val="00434CCC"/>
    <w:rsid w:val="00442F7A"/>
    <w:rsid w:val="0044384E"/>
    <w:rsid w:val="00452738"/>
    <w:rsid w:val="00452EB2"/>
    <w:rsid w:val="0045494B"/>
    <w:rsid w:val="00455C13"/>
    <w:rsid w:val="00456091"/>
    <w:rsid w:val="00460877"/>
    <w:rsid w:val="00464233"/>
    <w:rsid w:val="00465D27"/>
    <w:rsid w:val="00466321"/>
    <w:rsid w:val="00471427"/>
    <w:rsid w:val="00480B81"/>
    <w:rsid w:val="004826E8"/>
    <w:rsid w:val="00484B9B"/>
    <w:rsid w:val="004855F6"/>
    <w:rsid w:val="0048661E"/>
    <w:rsid w:val="004930FE"/>
    <w:rsid w:val="0049347D"/>
    <w:rsid w:val="00494670"/>
    <w:rsid w:val="004957F7"/>
    <w:rsid w:val="004977A7"/>
    <w:rsid w:val="004A22C0"/>
    <w:rsid w:val="004A3823"/>
    <w:rsid w:val="004B072F"/>
    <w:rsid w:val="004B4C3D"/>
    <w:rsid w:val="004C0992"/>
    <w:rsid w:val="004C24B9"/>
    <w:rsid w:val="004D03BC"/>
    <w:rsid w:val="004D1DEA"/>
    <w:rsid w:val="004D53C0"/>
    <w:rsid w:val="004D7269"/>
    <w:rsid w:val="004E6946"/>
    <w:rsid w:val="004F1301"/>
    <w:rsid w:val="004F1AB3"/>
    <w:rsid w:val="004F1AD8"/>
    <w:rsid w:val="004F7EF0"/>
    <w:rsid w:val="00501CB7"/>
    <w:rsid w:val="005039CB"/>
    <w:rsid w:val="0050558F"/>
    <w:rsid w:val="00506286"/>
    <w:rsid w:val="00510813"/>
    <w:rsid w:val="00511990"/>
    <w:rsid w:val="00511DE0"/>
    <w:rsid w:val="00514090"/>
    <w:rsid w:val="00514870"/>
    <w:rsid w:val="00514B9B"/>
    <w:rsid w:val="005155CE"/>
    <w:rsid w:val="005166DA"/>
    <w:rsid w:val="0051690D"/>
    <w:rsid w:val="00517F02"/>
    <w:rsid w:val="0052098F"/>
    <w:rsid w:val="00523E89"/>
    <w:rsid w:val="00524283"/>
    <w:rsid w:val="00524303"/>
    <w:rsid w:val="005252E8"/>
    <w:rsid w:val="005258A2"/>
    <w:rsid w:val="00530161"/>
    <w:rsid w:val="005332E5"/>
    <w:rsid w:val="005401AE"/>
    <w:rsid w:val="00540D9F"/>
    <w:rsid w:val="00541FBC"/>
    <w:rsid w:val="00542A31"/>
    <w:rsid w:val="00542E07"/>
    <w:rsid w:val="005441EE"/>
    <w:rsid w:val="00544E42"/>
    <w:rsid w:val="00545424"/>
    <w:rsid w:val="0055192A"/>
    <w:rsid w:val="005524AB"/>
    <w:rsid w:val="005539A0"/>
    <w:rsid w:val="00554A7B"/>
    <w:rsid w:val="00554A98"/>
    <w:rsid w:val="0055572C"/>
    <w:rsid w:val="0056081F"/>
    <w:rsid w:val="0056106A"/>
    <w:rsid w:val="00562308"/>
    <w:rsid w:val="00562804"/>
    <w:rsid w:val="005630B8"/>
    <w:rsid w:val="00564EAF"/>
    <w:rsid w:val="00566256"/>
    <w:rsid w:val="00571A06"/>
    <w:rsid w:val="005720AE"/>
    <w:rsid w:val="00574266"/>
    <w:rsid w:val="00577718"/>
    <w:rsid w:val="00577855"/>
    <w:rsid w:val="00580EB8"/>
    <w:rsid w:val="00583880"/>
    <w:rsid w:val="00593870"/>
    <w:rsid w:val="00593C6F"/>
    <w:rsid w:val="00594D77"/>
    <w:rsid w:val="005969E4"/>
    <w:rsid w:val="00596E55"/>
    <w:rsid w:val="005A06B7"/>
    <w:rsid w:val="005A1759"/>
    <w:rsid w:val="005A23BB"/>
    <w:rsid w:val="005A611C"/>
    <w:rsid w:val="005A68A7"/>
    <w:rsid w:val="005B7084"/>
    <w:rsid w:val="005B7E0B"/>
    <w:rsid w:val="005C4544"/>
    <w:rsid w:val="005C5557"/>
    <w:rsid w:val="005C6079"/>
    <w:rsid w:val="005C6B61"/>
    <w:rsid w:val="005C6E58"/>
    <w:rsid w:val="005C6F05"/>
    <w:rsid w:val="005D143F"/>
    <w:rsid w:val="005D2AD3"/>
    <w:rsid w:val="005D36AB"/>
    <w:rsid w:val="005D42D4"/>
    <w:rsid w:val="005D6A8F"/>
    <w:rsid w:val="005E0E91"/>
    <w:rsid w:val="005E45AA"/>
    <w:rsid w:val="005E5417"/>
    <w:rsid w:val="005E6D12"/>
    <w:rsid w:val="005F32A7"/>
    <w:rsid w:val="005F65CD"/>
    <w:rsid w:val="005F678A"/>
    <w:rsid w:val="005F7DA6"/>
    <w:rsid w:val="00612E39"/>
    <w:rsid w:val="00614091"/>
    <w:rsid w:val="00617CC3"/>
    <w:rsid w:val="00620B0A"/>
    <w:rsid w:val="00621FB3"/>
    <w:rsid w:val="0062376A"/>
    <w:rsid w:val="006241B4"/>
    <w:rsid w:val="00626B64"/>
    <w:rsid w:val="006272DC"/>
    <w:rsid w:val="006309E7"/>
    <w:rsid w:val="00630EAA"/>
    <w:rsid w:val="00632DD4"/>
    <w:rsid w:val="00635A2C"/>
    <w:rsid w:val="006377A6"/>
    <w:rsid w:val="00637A3D"/>
    <w:rsid w:val="006411EF"/>
    <w:rsid w:val="00641E35"/>
    <w:rsid w:val="00650286"/>
    <w:rsid w:val="00656DE9"/>
    <w:rsid w:val="006572DD"/>
    <w:rsid w:val="00657F1A"/>
    <w:rsid w:val="00661F6F"/>
    <w:rsid w:val="006622C5"/>
    <w:rsid w:val="006672D3"/>
    <w:rsid w:val="00673BEF"/>
    <w:rsid w:val="006748B8"/>
    <w:rsid w:val="006775C3"/>
    <w:rsid w:val="006803E7"/>
    <w:rsid w:val="006821CB"/>
    <w:rsid w:val="00685593"/>
    <w:rsid w:val="006861A9"/>
    <w:rsid w:val="0069290A"/>
    <w:rsid w:val="00692B71"/>
    <w:rsid w:val="00694CDA"/>
    <w:rsid w:val="0069529F"/>
    <w:rsid w:val="0069775A"/>
    <w:rsid w:val="00697813"/>
    <w:rsid w:val="006A05C5"/>
    <w:rsid w:val="006A2F9F"/>
    <w:rsid w:val="006A3EE8"/>
    <w:rsid w:val="006A4002"/>
    <w:rsid w:val="006A6A7D"/>
    <w:rsid w:val="006A6A99"/>
    <w:rsid w:val="006A6F1A"/>
    <w:rsid w:val="006A72BF"/>
    <w:rsid w:val="006B03F2"/>
    <w:rsid w:val="006B1885"/>
    <w:rsid w:val="006B197D"/>
    <w:rsid w:val="006B37DC"/>
    <w:rsid w:val="006B4F68"/>
    <w:rsid w:val="006B5689"/>
    <w:rsid w:val="006C0592"/>
    <w:rsid w:val="006C272E"/>
    <w:rsid w:val="006C2DF8"/>
    <w:rsid w:val="006C3D18"/>
    <w:rsid w:val="006C52BF"/>
    <w:rsid w:val="006C5479"/>
    <w:rsid w:val="006C7F54"/>
    <w:rsid w:val="006D13B5"/>
    <w:rsid w:val="006D1B7A"/>
    <w:rsid w:val="006E12FF"/>
    <w:rsid w:val="006E1E7B"/>
    <w:rsid w:val="006E1FE5"/>
    <w:rsid w:val="006E2B7C"/>
    <w:rsid w:val="006E3839"/>
    <w:rsid w:val="006E4E7D"/>
    <w:rsid w:val="006E607E"/>
    <w:rsid w:val="006E6121"/>
    <w:rsid w:val="006E6229"/>
    <w:rsid w:val="006E68E5"/>
    <w:rsid w:val="006F4235"/>
    <w:rsid w:val="006F4B3C"/>
    <w:rsid w:val="006F67EF"/>
    <w:rsid w:val="00700434"/>
    <w:rsid w:val="007013BB"/>
    <w:rsid w:val="00706C5D"/>
    <w:rsid w:val="00711ABB"/>
    <w:rsid w:val="00712365"/>
    <w:rsid w:val="00712379"/>
    <w:rsid w:val="00713A0F"/>
    <w:rsid w:val="0071464A"/>
    <w:rsid w:val="007155D2"/>
    <w:rsid w:val="00715E44"/>
    <w:rsid w:val="007206CA"/>
    <w:rsid w:val="0072149F"/>
    <w:rsid w:val="0072691E"/>
    <w:rsid w:val="007270A1"/>
    <w:rsid w:val="00732922"/>
    <w:rsid w:val="0073444E"/>
    <w:rsid w:val="00744027"/>
    <w:rsid w:val="0074513C"/>
    <w:rsid w:val="00750323"/>
    <w:rsid w:val="0075162E"/>
    <w:rsid w:val="00754034"/>
    <w:rsid w:val="00756556"/>
    <w:rsid w:val="007570A8"/>
    <w:rsid w:val="0076052D"/>
    <w:rsid w:val="00761479"/>
    <w:rsid w:val="007618C4"/>
    <w:rsid w:val="007630CE"/>
    <w:rsid w:val="0076455E"/>
    <w:rsid w:val="007662BD"/>
    <w:rsid w:val="00767980"/>
    <w:rsid w:val="00770B19"/>
    <w:rsid w:val="007712CE"/>
    <w:rsid w:val="0077463F"/>
    <w:rsid w:val="00775B08"/>
    <w:rsid w:val="00780C6F"/>
    <w:rsid w:val="00781478"/>
    <w:rsid w:val="007836EA"/>
    <w:rsid w:val="00784CDA"/>
    <w:rsid w:val="007906C4"/>
    <w:rsid w:val="007940EA"/>
    <w:rsid w:val="00796411"/>
    <w:rsid w:val="007967E8"/>
    <w:rsid w:val="00796F67"/>
    <w:rsid w:val="007A2170"/>
    <w:rsid w:val="007A22BF"/>
    <w:rsid w:val="007A3323"/>
    <w:rsid w:val="007A6B91"/>
    <w:rsid w:val="007B3760"/>
    <w:rsid w:val="007B4B49"/>
    <w:rsid w:val="007B506A"/>
    <w:rsid w:val="007B72B8"/>
    <w:rsid w:val="007B7A58"/>
    <w:rsid w:val="007C0F2D"/>
    <w:rsid w:val="007C1109"/>
    <w:rsid w:val="007C21B5"/>
    <w:rsid w:val="007C21CE"/>
    <w:rsid w:val="007C39C9"/>
    <w:rsid w:val="007C453B"/>
    <w:rsid w:val="007D28A2"/>
    <w:rsid w:val="007E05AA"/>
    <w:rsid w:val="007E0EFD"/>
    <w:rsid w:val="007E11D2"/>
    <w:rsid w:val="007E49E5"/>
    <w:rsid w:val="007E4BD2"/>
    <w:rsid w:val="007E58F5"/>
    <w:rsid w:val="007E5A7E"/>
    <w:rsid w:val="007F0743"/>
    <w:rsid w:val="007F1787"/>
    <w:rsid w:val="007F1A14"/>
    <w:rsid w:val="007F5D15"/>
    <w:rsid w:val="00801393"/>
    <w:rsid w:val="00802F88"/>
    <w:rsid w:val="0080332F"/>
    <w:rsid w:val="008056A7"/>
    <w:rsid w:val="008109AB"/>
    <w:rsid w:val="0081293E"/>
    <w:rsid w:val="00812A66"/>
    <w:rsid w:val="00815465"/>
    <w:rsid w:val="00816122"/>
    <w:rsid w:val="00817E9A"/>
    <w:rsid w:val="00820597"/>
    <w:rsid w:val="00820F8F"/>
    <w:rsid w:val="008306BD"/>
    <w:rsid w:val="00831A80"/>
    <w:rsid w:val="00833743"/>
    <w:rsid w:val="00833CC0"/>
    <w:rsid w:val="008340A4"/>
    <w:rsid w:val="008342B6"/>
    <w:rsid w:val="008347C4"/>
    <w:rsid w:val="00834D1D"/>
    <w:rsid w:val="00837E78"/>
    <w:rsid w:val="00844986"/>
    <w:rsid w:val="0084520B"/>
    <w:rsid w:val="00846175"/>
    <w:rsid w:val="00856472"/>
    <w:rsid w:val="00860591"/>
    <w:rsid w:val="0086140A"/>
    <w:rsid w:val="008646BA"/>
    <w:rsid w:val="00866C83"/>
    <w:rsid w:val="0087131C"/>
    <w:rsid w:val="0087135F"/>
    <w:rsid w:val="00872D94"/>
    <w:rsid w:val="008741C4"/>
    <w:rsid w:val="00877FCF"/>
    <w:rsid w:val="00880364"/>
    <w:rsid w:val="008815CB"/>
    <w:rsid w:val="00883579"/>
    <w:rsid w:val="00885337"/>
    <w:rsid w:val="00885689"/>
    <w:rsid w:val="00886DC7"/>
    <w:rsid w:val="00891592"/>
    <w:rsid w:val="00891E9E"/>
    <w:rsid w:val="00893553"/>
    <w:rsid w:val="00893D06"/>
    <w:rsid w:val="00895C9A"/>
    <w:rsid w:val="008A2F68"/>
    <w:rsid w:val="008A3083"/>
    <w:rsid w:val="008A63FF"/>
    <w:rsid w:val="008B17A5"/>
    <w:rsid w:val="008B4FA6"/>
    <w:rsid w:val="008B5282"/>
    <w:rsid w:val="008B5446"/>
    <w:rsid w:val="008B6924"/>
    <w:rsid w:val="008B7C17"/>
    <w:rsid w:val="008C1E6E"/>
    <w:rsid w:val="008C2D01"/>
    <w:rsid w:val="008C40E6"/>
    <w:rsid w:val="008C689E"/>
    <w:rsid w:val="008D0F7A"/>
    <w:rsid w:val="008D1EB4"/>
    <w:rsid w:val="008D68E4"/>
    <w:rsid w:val="008E0506"/>
    <w:rsid w:val="008E0CFF"/>
    <w:rsid w:val="008E169E"/>
    <w:rsid w:val="008E28BC"/>
    <w:rsid w:val="008E34A0"/>
    <w:rsid w:val="008E5D6B"/>
    <w:rsid w:val="008E76F0"/>
    <w:rsid w:val="008F158B"/>
    <w:rsid w:val="008F15FE"/>
    <w:rsid w:val="008F2D29"/>
    <w:rsid w:val="008F3EFD"/>
    <w:rsid w:val="008F5187"/>
    <w:rsid w:val="008F60D8"/>
    <w:rsid w:val="008F6E35"/>
    <w:rsid w:val="008F6EB2"/>
    <w:rsid w:val="00902727"/>
    <w:rsid w:val="00902C2A"/>
    <w:rsid w:val="0090312B"/>
    <w:rsid w:val="009034FB"/>
    <w:rsid w:val="00903F6B"/>
    <w:rsid w:val="00905DCF"/>
    <w:rsid w:val="00906786"/>
    <w:rsid w:val="009110C4"/>
    <w:rsid w:val="0091186E"/>
    <w:rsid w:val="00912D18"/>
    <w:rsid w:val="0091736D"/>
    <w:rsid w:val="009268D1"/>
    <w:rsid w:val="00927ACB"/>
    <w:rsid w:val="0093037A"/>
    <w:rsid w:val="00930AD3"/>
    <w:rsid w:val="00931EEF"/>
    <w:rsid w:val="00934F08"/>
    <w:rsid w:val="0094154D"/>
    <w:rsid w:val="0094579C"/>
    <w:rsid w:val="00946ED7"/>
    <w:rsid w:val="00950F53"/>
    <w:rsid w:val="009513D1"/>
    <w:rsid w:val="00951439"/>
    <w:rsid w:val="0095155F"/>
    <w:rsid w:val="00954429"/>
    <w:rsid w:val="009563CE"/>
    <w:rsid w:val="00962D9D"/>
    <w:rsid w:val="00963589"/>
    <w:rsid w:val="00973F93"/>
    <w:rsid w:val="00973FCE"/>
    <w:rsid w:val="009760F1"/>
    <w:rsid w:val="00976328"/>
    <w:rsid w:val="0097680D"/>
    <w:rsid w:val="00977EAC"/>
    <w:rsid w:val="00980ACF"/>
    <w:rsid w:val="00982438"/>
    <w:rsid w:val="0098256A"/>
    <w:rsid w:val="009837A2"/>
    <w:rsid w:val="0098404C"/>
    <w:rsid w:val="00984EFB"/>
    <w:rsid w:val="00985283"/>
    <w:rsid w:val="00993133"/>
    <w:rsid w:val="00993585"/>
    <w:rsid w:val="00993935"/>
    <w:rsid w:val="00995992"/>
    <w:rsid w:val="0099731D"/>
    <w:rsid w:val="009A0241"/>
    <w:rsid w:val="009A03E5"/>
    <w:rsid w:val="009A0F3B"/>
    <w:rsid w:val="009A1BB4"/>
    <w:rsid w:val="009A1F39"/>
    <w:rsid w:val="009A2628"/>
    <w:rsid w:val="009A3200"/>
    <w:rsid w:val="009A3379"/>
    <w:rsid w:val="009A45BE"/>
    <w:rsid w:val="009A7CFB"/>
    <w:rsid w:val="009B0897"/>
    <w:rsid w:val="009B4AD9"/>
    <w:rsid w:val="009B5609"/>
    <w:rsid w:val="009B7BD9"/>
    <w:rsid w:val="009C7DD5"/>
    <w:rsid w:val="009D0FEE"/>
    <w:rsid w:val="009D1A93"/>
    <w:rsid w:val="009D2748"/>
    <w:rsid w:val="009D4E2B"/>
    <w:rsid w:val="009D77B2"/>
    <w:rsid w:val="009D79D6"/>
    <w:rsid w:val="009E18E4"/>
    <w:rsid w:val="009E227D"/>
    <w:rsid w:val="009E5019"/>
    <w:rsid w:val="009E5253"/>
    <w:rsid w:val="009E623D"/>
    <w:rsid w:val="009F2204"/>
    <w:rsid w:val="009F58F9"/>
    <w:rsid w:val="00A01AC5"/>
    <w:rsid w:val="00A04E90"/>
    <w:rsid w:val="00A04F1B"/>
    <w:rsid w:val="00A0501B"/>
    <w:rsid w:val="00A069FC"/>
    <w:rsid w:val="00A1108E"/>
    <w:rsid w:val="00A14947"/>
    <w:rsid w:val="00A16D19"/>
    <w:rsid w:val="00A20D6F"/>
    <w:rsid w:val="00A216F9"/>
    <w:rsid w:val="00A22342"/>
    <w:rsid w:val="00A2703B"/>
    <w:rsid w:val="00A27D49"/>
    <w:rsid w:val="00A322B4"/>
    <w:rsid w:val="00A32A83"/>
    <w:rsid w:val="00A3572D"/>
    <w:rsid w:val="00A368DB"/>
    <w:rsid w:val="00A41EB4"/>
    <w:rsid w:val="00A42273"/>
    <w:rsid w:val="00A423AA"/>
    <w:rsid w:val="00A444A9"/>
    <w:rsid w:val="00A44F0A"/>
    <w:rsid w:val="00A53220"/>
    <w:rsid w:val="00A53A1C"/>
    <w:rsid w:val="00A53EC6"/>
    <w:rsid w:val="00A54E5B"/>
    <w:rsid w:val="00A5520C"/>
    <w:rsid w:val="00A55C0F"/>
    <w:rsid w:val="00A5655A"/>
    <w:rsid w:val="00A56967"/>
    <w:rsid w:val="00A576C9"/>
    <w:rsid w:val="00A6159F"/>
    <w:rsid w:val="00A61FB3"/>
    <w:rsid w:val="00A703E5"/>
    <w:rsid w:val="00A72FBE"/>
    <w:rsid w:val="00A740FC"/>
    <w:rsid w:val="00A76CFF"/>
    <w:rsid w:val="00A80215"/>
    <w:rsid w:val="00A8386F"/>
    <w:rsid w:val="00A843C5"/>
    <w:rsid w:val="00A85B5B"/>
    <w:rsid w:val="00A8713F"/>
    <w:rsid w:val="00A87252"/>
    <w:rsid w:val="00A90BA1"/>
    <w:rsid w:val="00A90DCD"/>
    <w:rsid w:val="00A97846"/>
    <w:rsid w:val="00A97A9A"/>
    <w:rsid w:val="00A97F0F"/>
    <w:rsid w:val="00AA0417"/>
    <w:rsid w:val="00AA0671"/>
    <w:rsid w:val="00AA21DA"/>
    <w:rsid w:val="00AA2531"/>
    <w:rsid w:val="00AA3A21"/>
    <w:rsid w:val="00AA751B"/>
    <w:rsid w:val="00AB1E09"/>
    <w:rsid w:val="00AB2627"/>
    <w:rsid w:val="00AB5330"/>
    <w:rsid w:val="00AB7747"/>
    <w:rsid w:val="00AB7874"/>
    <w:rsid w:val="00AC017F"/>
    <w:rsid w:val="00AC14CE"/>
    <w:rsid w:val="00AC2A56"/>
    <w:rsid w:val="00AC49F5"/>
    <w:rsid w:val="00AC4D7A"/>
    <w:rsid w:val="00AD055E"/>
    <w:rsid w:val="00AD198C"/>
    <w:rsid w:val="00AD2054"/>
    <w:rsid w:val="00AD43D6"/>
    <w:rsid w:val="00AD47A7"/>
    <w:rsid w:val="00AD575B"/>
    <w:rsid w:val="00AD7338"/>
    <w:rsid w:val="00AE291D"/>
    <w:rsid w:val="00AE2BAC"/>
    <w:rsid w:val="00AE4E5E"/>
    <w:rsid w:val="00AE4FE1"/>
    <w:rsid w:val="00AE6A4E"/>
    <w:rsid w:val="00AF003F"/>
    <w:rsid w:val="00AF0CBF"/>
    <w:rsid w:val="00AF2082"/>
    <w:rsid w:val="00AF257F"/>
    <w:rsid w:val="00AF33CF"/>
    <w:rsid w:val="00AF4D50"/>
    <w:rsid w:val="00AF56FB"/>
    <w:rsid w:val="00AF6179"/>
    <w:rsid w:val="00AF754F"/>
    <w:rsid w:val="00B00D28"/>
    <w:rsid w:val="00B017EA"/>
    <w:rsid w:val="00B0330C"/>
    <w:rsid w:val="00B04662"/>
    <w:rsid w:val="00B07B3D"/>
    <w:rsid w:val="00B12080"/>
    <w:rsid w:val="00B128DD"/>
    <w:rsid w:val="00B1295A"/>
    <w:rsid w:val="00B12E88"/>
    <w:rsid w:val="00B16519"/>
    <w:rsid w:val="00B17FB0"/>
    <w:rsid w:val="00B2009E"/>
    <w:rsid w:val="00B20A45"/>
    <w:rsid w:val="00B22BFD"/>
    <w:rsid w:val="00B22C5C"/>
    <w:rsid w:val="00B24F30"/>
    <w:rsid w:val="00B253F3"/>
    <w:rsid w:val="00B30462"/>
    <w:rsid w:val="00B31ABF"/>
    <w:rsid w:val="00B3380D"/>
    <w:rsid w:val="00B33BE3"/>
    <w:rsid w:val="00B40BF0"/>
    <w:rsid w:val="00B43428"/>
    <w:rsid w:val="00B44183"/>
    <w:rsid w:val="00B4648B"/>
    <w:rsid w:val="00B47BC1"/>
    <w:rsid w:val="00B52557"/>
    <w:rsid w:val="00B531FE"/>
    <w:rsid w:val="00B535D5"/>
    <w:rsid w:val="00B53B5D"/>
    <w:rsid w:val="00B57FDE"/>
    <w:rsid w:val="00B6055E"/>
    <w:rsid w:val="00B60DDB"/>
    <w:rsid w:val="00B62049"/>
    <w:rsid w:val="00B6317D"/>
    <w:rsid w:val="00B63B6F"/>
    <w:rsid w:val="00B659A7"/>
    <w:rsid w:val="00B70EBE"/>
    <w:rsid w:val="00B71018"/>
    <w:rsid w:val="00B7144D"/>
    <w:rsid w:val="00B7723F"/>
    <w:rsid w:val="00B775C1"/>
    <w:rsid w:val="00B801AF"/>
    <w:rsid w:val="00B80534"/>
    <w:rsid w:val="00B8180B"/>
    <w:rsid w:val="00B8377A"/>
    <w:rsid w:val="00B8390D"/>
    <w:rsid w:val="00B839FB"/>
    <w:rsid w:val="00B8433C"/>
    <w:rsid w:val="00B87491"/>
    <w:rsid w:val="00B91147"/>
    <w:rsid w:val="00B95AAA"/>
    <w:rsid w:val="00B96EB4"/>
    <w:rsid w:val="00B9774A"/>
    <w:rsid w:val="00BA1F3E"/>
    <w:rsid w:val="00BA29E9"/>
    <w:rsid w:val="00BA7142"/>
    <w:rsid w:val="00BB1443"/>
    <w:rsid w:val="00BB237C"/>
    <w:rsid w:val="00BB2492"/>
    <w:rsid w:val="00BB41A3"/>
    <w:rsid w:val="00BB4E23"/>
    <w:rsid w:val="00BB7890"/>
    <w:rsid w:val="00BC32DC"/>
    <w:rsid w:val="00BC35B6"/>
    <w:rsid w:val="00BC6C7A"/>
    <w:rsid w:val="00BC7D6F"/>
    <w:rsid w:val="00BD1B51"/>
    <w:rsid w:val="00BD4596"/>
    <w:rsid w:val="00BE1405"/>
    <w:rsid w:val="00BE312D"/>
    <w:rsid w:val="00BE32F3"/>
    <w:rsid w:val="00BE4601"/>
    <w:rsid w:val="00BE7E86"/>
    <w:rsid w:val="00BF1C20"/>
    <w:rsid w:val="00C04FC1"/>
    <w:rsid w:val="00C0619C"/>
    <w:rsid w:val="00C10578"/>
    <w:rsid w:val="00C12D62"/>
    <w:rsid w:val="00C135BC"/>
    <w:rsid w:val="00C15C95"/>
    <w:rsid w:val="00C20E6A"/>
    <w:rsid w:val="00C211BC"/>
    <w:rsid w:val="00C24F0D"/>
    <w:rsid w:val="00C2596A"/>
    <w:rsid w:val="00C27537"/>
    <w:rsid w:val="00C328FE"/>
    <w:rsid w:val="00C33507"/>
    <w:rsid w:val="00C336C7"/>
    <w:rsid w:val="00C37C6E"/>
    <w:rsid w:val="00C4409D"/>
    <w:rsid w:val="00C44E72"/>
    <w:rsid w:val="00C45A06"/>
    <w:rsid w:val="00C4762A"/>
    <w:rsid w:val="00C47E5B"/>
    <w:rsid w:val="00C52DD6"/>
    <w:rsid w:val="00C572CE"/>
    <w:rsid w:val="00C61DEB"/>
    <w:rsid w:val="00C61E4B"/>
    <w:rsid w:val="00C621A8"/>
    <w:rsid w:val="00C64BFF"/>
    <w:rsid w:val="00C652B5"/>
    <w:rsid w:val="00C65AD9"/>
    <w:rsid w:val="00C65D27"/>
    <w:rsid w:val="00C67C87"/>
    <w:rsid w:val="00C67F8B"/>
    <w:rsid w:val="00C704E9"/>
    <w:rsid w:val="00C72ACE"/>
    <w:rsid w:val="00C763C9"/>
    <w:rsid w:val="00C77D12"/>
    <w:rsid w:val="00C80057"/>
    <w:rsid w:val="00C806E5"/>
    <w:rsid w:val="00C81FE5"/>
    <w:rsid w:val="00C82232"/>
    <w:rsid w:val="00C82913"/>
    <w:rsid w:val="00C906D8"/>
    <w:rsid w:val="00C91E1A"/>
    <w:rsid w:val="00C94135"/>
    <w:rsid w:val="00C972B1"/>
    <w:rsid w:val="00C978A8"/>
    <w:rsid w:val="00CA23ED"/>
    <w:rsid w:val="00CA2CCE"/>
    <w:rsid w:val="00CA43FD"/>
    <w:rsid w:val="00CA7EF8"/>
    <w:rsid w:val="00CB09CE"/>
    <w:rsid w:val="00CB184A"/>
    <w:rsid w:val="00CB5002"/>
    <w:rsid w:val="00CC152F"/>
    <w:rsid w:val="00CC2C19"/>
    <w:rsid w:val="00CC489B"/>
    <w:rsid w:val="00CC5CDD"/>
    <w:rsid w:val="00CC7B59"/>
    <w:rsid w:val="00CC7C9E"/>
    <w:rsid w:val="00CD0E6D"/>
    <w:rsid w:val="00CD2A33"/>
    <w:rsid w:val="00CD2BCD"/>
    <w:rsid w:val="00CD3A4C"/>
    <w:rsid w:val="00CE10E9"/>
    <w:rsid w:val="00CE2910"/>
    <w:rsid w:val="00CE5393"/>
    <w:rsid w:val="00CE6CD5"/>
    <w:rsid w:val="00CE7177"/>
    <w:rsid w:val="00CF2259"/>
    <w:rsid w:val="00CF3194"/>
    <w:rsid w:val="00CF36BE"/>
    <w:rsid w:val="00CF50BA"/>
    <w:rsid w:val="00CF6000"/>
    <w:rsid w:val="00CF78AF"/>
    <w:rsid w:val="00CF7E73"/>
    <w:rsid w:val="00D003F3"/>
    <w:rsid w:val="00D008F3"/>
    <w:rsid w:val="00D01B9C"/>
    <w:rsid w:val="00D0364F"/>
    <w:rsid w:val="00D038CB"/>
    <w:rsid w:val="00D06834"/>
    <w:rsid w:val="00D14F57"/>
    <w:rsid w:val="00D15112"/>
    <w:rsid w:val="00D15E6A"/>
    <w:rsid w:val="00D21454"/>
    <w:rsid w:val="00D2416B"/>
    <w:rsid w:val="00D245A4"/>
    <w:rsid w:val="00D2732C"/>
    <w:rsid w:val="00D308ED"/>
    <w:rsid w:val="00D31571"/>
    <w:rsid w:val="00D326AC"/>
    <w:rsid w:val="00D36D86"/>
    <w:rsid w:val="00D428AA"/>
    <w:rsid w:val="00D42B17"/>
    <w:rsid w:val="00D451A1"/>
    <w:rsid w:val="00D45BBF"/>
    <w:rsid w:val="00D50A34"/>
    <w:rsid w:val="00D525B9"/>
    <w:rsid w:val="00D53EFA"/>
    <w:rsid w:val="00D621AE"/>
    <w:rsid w:val="00D743B5"/>
    <w:rsid w:val="00D84242"/>
    <w:rsid w:val="00D86FB1"/>
    <w:rsid w:val="00D877C8"/>
    <w:rsid w:val="00D94A7C"/>
    <w:rsid w:val="00D95896"/>
    <w:rsid w:val="00D96B3D"/>
    <w:rsid w:val="00D97760"/>
    <w:rsid w:val="00D979F1"/>
    <w:rsid w:val="00DA3073"/>
    <w:rsid w:val="00DA38D9"/>
    <w:rsid w:val="00DB032D"/>
    <w:rsid w:val="00DB145B"/>
    <w:rsid w:val="00DB18E6"/>
    <w:rsid w:val="00DB2983"/>
    <w:rsid w:val="00DB3425"/>
    <w:rsid w:val="00DC1257"/>
    <w:rsid w:val="00DC38A6"/>
    <w:rsid w:val="00DC3A55"/>
    <w:rsid w:val="00DC3DC0"/>
    <w:rsid w:val="00DC5B2B"/>
    <w:rsid w:val="00DC6AB1"/>
    <w:rsid w:val="00DD318D"/>
    <w:rsid w:val="00DD6B72"/>
    <w:rsid w:val="00DD7536"/>
    <w:rsid w:val="00DE19EB"/>
    <w:rsid w:val="00DE5CB4"/>
    <w:rsid w:val="00DF217B"/>
    <w:rsid w:val="00DF2E12"/>
    <w:rsid w:val="00DF3633"/>
    <w:rsid w:val="00DF43B0"/>
    <w:rsid w:val="00DF514A"/>
    <w:rsid w:val="00DF6690"/>
    <w:rsid w:val="00DF6804"/>
    <w:rsid w:val="00E01990"/>
    <w:rsid w:val="00E02630"/>
    <w:rsid w:val="00E02C89"/>
    <w:rsid w:val="00E0358D"/>
    <w:rsid w:val="00E04323"/>
    <w:rsid w:val="00E070A2"/>
    <w:rsid w:val="00E1323E"/>
    <w:rsid w:val="00E16FEF"/>
    <w:rsid w:val="00E17158"/>
    <w:rsid w:val="00E17FF8"/>
    <w:rsid w:val="00E21B57"/>
    <w:rsid w:val="00E23E53"/>
    <w:rsid w:val="00E25546"/>
    <w:rsid w:val="00E2656A"/>
    <w:rsid w:val="00E2752D"/>
    <w:rsid w:val="00E2758C"/>
    <w:rsid w:val="00E330DA"/>
    <w:rsid w:val="00E36010"/>
    <w:rsid w:val="00E37E55"/>
    <w:rsid w:val="00E412D0"/>
    <w:rsid w:val="00E51F01"/>
    <w:rsid w:val="00E56322"/>
    <w:rsid w:val="00E60982"/>
    <w:rsid w:val="00E61CFA"/>
    <w:rsid w:val="00E62C62"/>
    <w:rsid w:val="00E62C94"/>
    <w:rsid w:val="00E654C1"/>
    <w:rsid w:val="00E65D97"/>
    <w:rsid w:val="00E71EEB"/>
    <w:rsid w:val="00E727E4"/>
    <w:rsid w:val="00E72A5A"/>
    <w:rsid w:val="00E73141"/>
    <w:rsid w:val="00E73354"/>
    <w:rsid w:val="00E7523A"/>
    <w:rsid w:val="00E8018A"/>
    <w:rsid w:val="00E82E20"/>
    <w:rsid w:val="00E843F0"/>
    <w:rsid w:val="00E86578"/>
    <w:rsid w:val="00E865C2"/>
    <w:rsid w:val="00E9242D"/>
    <w:rsid w:val="00E96BDF"/>
    <w:rsid w:val="00EA1BCE"/>
    <w:rsid w:val="00EA3264"/>
    <w:rsid w:val="00EA7761"/>
    <w:rsid w:val="00EB5255"/>
    <w:rsid w:val="00EB5C47"/>
    <w:rsid w:val="00EC0730"/>
    <w:rsid w:val="00EC2429"/>
    <w:rsid w:val="00EC332E"/>
    <w:rsid w:val="00ED0639"/>
    <w:rsid w:val="00ED20AB"/>
    <w:rsid w:val="00ED2FA8"/>
    <w:rsid w:val="00ED64CA"/>
    <w:rsid w:val="00EE0251"/>
    <w:rsid w:val="00EF2649"/>
    <w:rsid w:val="00EF3297"/>
    <w:rsid w:val="00EF380F"/>
    <w:rsid w:val="00EF4755"/>
    <w:rsid w:val="00EF5BA2"/>
    <w:rsid w:val="00EF7135"/>
    <w:rsid w:val="00F01B06"/>
    <w:rsid w:val="00F027DB"/>
    <w:rsid w:val="00F06167"/>
    <w:rsid w:val="00F06E9A"/>
    <w:rsid w:val="00F10742"/>
    <w:rsid w:val="00F14A7A"/>
    <w:rsid w:val="00F15CEA"/>
    <w:rsid w:val="00F16279"/>
    <w:rsid w:val="00F22985"/>
    <w:rsid w:val="00F2389E"/>
    <w:rsid w:val="00F26AB1"/>
    <w:rsid w:val="00F271E2"/>
    <w:rsid w:val="00F32FF8"/>
    <w:rsid w:val="00F33347"/>
    <w:rsid w:val="00F3383E"/>
    <w:rsid w:val="00F37BE6"/>
    <w:rsid w:val="00F40357"/>
    <w:rsid w:val="00F4099A"/>
    <w:rsid w:val="00F44E64"/>
    <w:rsid w:val="00F465A7"/>
    <w:rsid w:val="00F4666D"/>
    <w:rsid w:val="00F46F8E"/>
    <w:rsid w:val="00F50B7C"/>
    <w:rsid w:val="00F51ED4"/>
    <w:rsid w:val="00F52A8D"/>
    <w:rsid w:val="00F53303"/>
    <w:rsid w:val="00F550E6"/>
    <w:rsid w:val="00F575A4"/>
    <w:rsid w:val="00F5782B"/>
    <w:rsid w:val="00F63C0C"/>
    <w:rsid w:val="00F6462F"/>
    <w:rsid w:val="00F66529"/>
    <w:rsid w:val="00F70C59"/>
    <w:rsid w:val="00F72660"/>
    <w:rsid w:val="00F74345"/>
    <w:rsid w:val="00F755E6"/>
    <w:rsid w:val="00F759F3"/>
    <w:rsid w:val="00F75B94"/>
    <w:rsid w:val="00F80A0A"/>
    <w:rsid w:val="00F82B19"/>
    <w:rsid w:val="00F84D59"/>
    <w:rsid w:val="00F878E7"/>
    <w:rsid w:val="00F9212D"/>
    <w:rsid w:val="00F965DA"/>
    <w:rsid w:val="00F96819"/>
    <w:rsid w:val="00FA2391"/>
    <w:rsid w:val="00FA406A"/>
    <w:rsid w:val="00FB503A"/>
    <w:rsid w:val="00FB516C"/>
    <w:rsid w:val="00FB5674"/>
    <w:rsid w:val="00FB5F7E"/>
    <w:rsid w:val="00FB76CA"/>
    <w:rsid w:val="00FC24AD"/>
    <w:rsid w:val="00FC3895"/>
    <w:rsid w:val="00FC6A10"/>
    <w:rsid w:val="00FC79CB"/>
    <w:rsid w:val="00FD0236"/>
    <w:rsid w:val="00FD18F4"/>
    <w:rsid w:val="00FD26EE"/>
    <w:rsid w:val="00FD54DB"/>
    <w:rsid w:val="00FD619F"/>
    <w:rsid w:val="00FE1B8B"/>
    <w:rsid w:val="00FE2C4F"/>
    <w:rsid w:val="00FE532C"/>
    <w:rsid w:val="00FE5D81"/>
    <w:rsid w:val="00FE754F"/>
    <w:rsid w:val="00FE764F"/>
    <w:rsid w:val="00FF0CC8"/>
    <w:rsid w:val="00FF5B8C"/>
    <w:rsid w:val="01031C21"/>
    <w:rsid w:val="010B03A2"/>
    <w:rsid w:val="011473B7"/>
    <w:rsid w:val="011C4005"/>
    <w:rsid w:val="011F3044"/>
    <w:rsid w:val="01221997"/>
    <w:rsid w:val="01284C10"/>
    <w:rsid w:val="01290F7E"/>
    <w:rsid w:val="01312193"/>
    <w:rsid w:val="013159A7"/>
    <w:rsid w:val="01331812"/>
    <w:rsid w:val="01351B14"/>
    <w:rsid w:val="013637D1"/>
    <w:rsid w:val="01366D4C"/>
    <w:rsid w:val="01381965"/>
    <w:rsid w:val="013E4434"/>
    <w:rsid w:val="013F7DD9"/>
    <w:rsid w:val="01431A4A"/>
    <w:rsid w:val="01435C42"/>
    <w:rsid w:val="014741DA"/>
    <w:rsid w:val="01503F3D"/>
    <w:rsid w:val="01514167"/>
    <w:rsid w:val="01533DD0"/>
    <w:rsid w:val="01534D67"/>
    <w:rsid w:val="01570B0A"/>
    <w:rsid w:val="015772A4"/>
    <w:rsid w:val="0159126E"/>
    <w:rsid w:val="015D1E09"/>
    <w:rsid w:val="015D36C0"/>
    <w:rsid w:val="01626374"/>
    <w:rsid w:val="01663DA5"/>
    <w:rsid w:val="0169049A"/>
    <w:rsid w:val="016C257C"/>
    <w:rsid w:val="016D6AC7"/>
    <w:rsid w:val="017642C4"/>
    <w:rsid w:val="01795324"/>
    <w:rsid w:val="01822C60"/>
    <w:rsid w:val="018B4D7A"/>
    <w:rsid w:val="018E7169"/>
    <w:rsid w:val="019404F8"/>
    <w:rsid w:val="01994A5B"/>
    <w:rsid w:val="019978BC"/>
    <w:rsid w:val="019B0C01"/>
    <w:rsid w:val="01A249C3"/>
    <w:rsid w:val="01AA7D1B"/>
    <w:rsid w:val="01B14C06"/>
    <w:rsid w:val="01B711E2"/>
    <w:rsid w:val="01BA61B0"/>
    <w:rsid w:val="01BD17FD"/>
    <w:rsid w:val="01BD4C9A"/>
    <w:rsid w:val="01BF0BDA"/>
    <w:rsid w:val="01C963F3"/>
    <w:rsid w:val="01CC3FA0"/>
    <w:rsid w:val="01CC7C92"/>
    <w:rsid w:val="01D32DCE"/>
    <w:rsid w:val="01D81E3B"/>
    <w:rsid w:val="01D83D26"/>
    <w:rsid w:val="01DE3E81"/>
    <w:rsid w:val="01DE6CE9"/>
    <w:rsid w:val="01E11BC6"/>
    <w:rsid w:val="01E30724"/>
    <w:rsid w:val="01E32192"/>
    <w:rsid w:val="01E7050A"/>
    <w:rsid w:val="01E90844"/>
    <w:rsid w:val="01F27B47"/>
    <w:rsid w:val="01F32EBA"/>
    <w:rsid w:val="01FB408B"/>
    <w:rsid w:val="01FD42EF"/>
    <w:rsid w:val="01FF44CB"/>
    <w:rsid w:val="02005A7B"/>
    <w:rsid w:val="02005B8D"/>
    <w:rsid w:val="020C62E0"/>
    <w:rsid w:val="02160F0D"/>
    <w:rsid w:val="021876EC"/>
    <w:rsid w:val="021B4775"/>
    <w:rsid w:val="021D3D2C"/>
    <w:rsid w:val="02284DF1"/>
    <w:rsid w:val="02290C40"/>
    <w:rsid w:val="022D6017"/>
    <w:rsid w:val="022E6257"/>
    <w:rsid w:val="022F7E4F"/>
    <w:rsid w:val="02304CB8"/>
    <w:rsid w:val="02340733"/>
    <w:rsid w:val="02353375"/>
    <w:rsid w:val="02436CFA"/>
    <w:rsid w:val="02532161"/>
    <w:rsid w:val="02532473"/>
    <w:rsid w:val="02570038"/>
    <w:rsid w:val="02570457"/>
    <w:rsid w:val="025A6E7A"/>
    <w:rsid w:val="025B3F76"/>
    <w:rsid w:val="026115F0"/>
    <w:rsid w:val="026659F0"/>
    <w:rsid w:val="02666686"/>
    <w:rsid w:val="02697903"/>
    <w:rsid w:val="026B1259"/>
    <w:rsid w:val="027A5940"/>
    <w:rsid w:val="027D47AD"/>
    <w:rsid w:val="02801D3F"/>
    <w:rsid w:val="028B583D"/>
    <w:rsid w:val="028E4DFF"/>
    <w:rsid w:val="029167E5"/>
    <w:rsid w:val="0293255D"/>
    <w:rsid w:val="029562D6"/>
    <w:rsid w:val="029E1F6C"/>
    <w:rsid w:val="029F53A6"/>
    <w:rsid w:val="02AE4C2A"/>
    <w:rsid w:val="02B0310F"/>
    <w:rsid w:val="02B153BE"/>
    <w:rsid w:val="02B55F34"/>
    <w:rsid w:val="02BB1EF3"/>
    <w:rsid w:val="02BF1304"/>
    <w:rsid w:val="02C170CB"/>
    <w:rsid w:val="02C26B15"/>
    <w:rsid w:val="02C82F21"/>
    <w:rsid w:val="02C8425D"/>
    <w:rsid w:val="02CD28BB"/>
    <w:rsid w:val="02D069A1"/>
    <w:rsid w:val="02D2318C"/>
    <w:rsid w:val="02D52B76"/>
    <w:rsid w:val="02D54924"/>
    <w:rsid w:val="02DB3646"/>
    <w:rsid w:val="02E81F09"/>
    <w:rsid w:val="02EC75E1"/>
    <w:rsid w:val="02ED10F0"/>
    <w:rsid w:val="02ED12BC"/>
    <w:rsid w:val="02F0175E"/>
    <w:rsid w:val="02F23728"/>
    <w:rsid w:val="02F54220"/>
    <w:rsid w:val="02F73C38"/>
    <w:rsid w:val="02F84D75"/>
    <w:rsid w:val="02F96569"/>
    <w:rsid w:val="02FF5E45"/>
    <w:rsid w:val="02FF7C6D"/>
    <w:rsid w:val="03035935"/>
    <w:rsid w:val="030560C6"/>
    <w:rsid w:val="030627CB"/>
    <w:rsid w:val="03065425"/>
    <w:rsid w:val="03074C27"/>
    <w:rsid w:val="03082EFC"/>
    <w:rsid w:val="030D604F"/>
    <w:rsid w:val="031418F0"/>
    <w:rsid w:val="031724F6"/>
    <w:rsid w:val="0317318F"/>
    <w:rsid w:val="031C2553"/>
    <w:rsid w:val="031C644F"/>
    <w:rsid w:val="03237D85"/>
    <w:rsid w:val="03265180"/>
    <w:rsid w:val="032A4C70"/>
    <w:rsid w:val="033112EF"/>
    <w:rsid w:val="03343D40"/>
    <w:rsid w:val="03345AEF"/>
    <w:rsid w:val="0337738D"/>
    <w:rsid w:val="03411FB9"/>
    <w:rsid w:val="03457CFC"/>
    <w:rsid w:val="03465822"/>
    <w:rsid w:val="034B38FA"/>
    <w:rsid w:val="03504809"/>
    <w:rsid w:val="03575C81"/>
    <w:rsid w:val="035D6367"/>
    <w:rsid w:val="035F4F1E"/>
    <w:rsid w:val="036D1E15"/>
    <w:rsid w:val="036F2B61"/>
    <w:rsid w:val="036F61FC"/>
    <w:rsid w:val="0371289F"/>
    <w:rsid w:val="037B371D"/>
    <w:rsid w:val="037F58E9"/>
    <w:rsid w:val="0382266C"/>
    <w:rsid w:val="0385748B"/>
    <w:rsid w:val="038756BD"/>
    <w:rsid w:val="038B270C"/>
    <w:rsid w:val="03925E4A"/>
    <w:rsid w:val="03926793"/>
    <w:rsid w:val="03991DF6"/>
    <w:rsid w:val="03993BA4"/>
    <w:rsid w:val="039A70F6"/>
    <w:rsid w:val="039D18E6"/>
    <w:rsid w:val="03A54299"/>
    <w:rsid w:val="03A74512"/>
    <w:rsid w:val="03A762C0"/>
    <w:rsid w:val="03A826E5"/>
    <w:rsid w:val="03B0291E"/>
    <w:rsid w:val="03B078E4"/>
    <w:rsid w:val="03B3086D"/>
    <w:rsid w:val="03B94246"/>
    <w:rsid w:val="03BB4C97"/>
    <w:rsid w:val="03C54999"/>
    <w:rsid w:val="03CF3A69"/>
    <w:rsid w:val="03D96696"/>
    <w:rsid w:val="03DC2C52"/>
    <w:rsid w:val="03DD6566"/>
    <w:rsid w:val="03E11877"/>
    <w:rsid w:val="03E71595"/>
    <w:rsid w:val="03E9062E"/>
    <w:rsid w:val="03E95DBD"/>
    <w:rsid w:val="03EA7B21"/>
    <w:rsid w:val="03EE34DF"/>
    <w:rsid w:val="03EE3EEF"/>
    <w:rsid w:val="03F90F5B"/>
    <w:rsid w:val="03F91619"/>
    <w:rsid w:val="03FA7FA9"/>
    <w:rsid w:val="03FF6831"/>
    <w:rsid w:val="0402799B"/>
    <w:rsid w:val="04042F63"/>
    <w:rsid w:val="04060002"/>
    <w:rsid w:val="04086A8E"/>
    <w:rsid w:val="040A58BD"/>
    <w:rsid w:val="040C0819"/>
    <w:rsid w:val="04115E30"/>
    <w:rsid w:val="041312FA"/>
    <w:rsid w:val="041548EB"/>
    <w:rsid w:val="04163DA0"/>
    <w:rsid w:val="04177026"/>
    <w:rsid w:val="041A2F36"/>
    <w:rsid w:val="042079B1"/>
    <w:rsid w:val="04253689"/>
    <w:rsid w:val="0426181E"/>
    <w:rsid w:val="042A2A20"/>
    <w:rsid w:val="04322347"/>
    <w:rsid w:val="04390EE3"/>
    <w:rsid w:val="043F474B"/>
    <w:rsid w:val="044624FA"/>
    <w:rsid w:val="04463D2B"/>
    <w:rsid w:val="044B1342"/>
    <w:rsid w:val="04541040"/>
    <w:rsid w:val="04541A21"/>
    <w:rsid w:val="045803CB"/>
    <w:rsid w:val="04581CB1"/>
    <w:rsid w:val="045A531B"/>
    <w:rsid w:val="045D1075"/>
    <w:rsid w:val="04674EF8"/>
    <w:rsid w:val="0467675D"/>
    <w:rsid w:val="046C3066"/>
    <w:rsid w:val="047069DC"/>
    <w:rsid w:val="047405BC"/>
    <w:rsid w:val="0478072F"/>
    <w:rsid w:val="0483664D"/>
    <w:rsid w:val="04893C18"/>
    <w:rsid w:val="048E317B"/>
    <w:rsid w:val="049525BD"/>
    <w:rsid w:val="0495629B"/>
    <w:rsid w:val="04992B5B"/>
    <w:rsid w:val="049C7160"/>
    <w:rsid w:val="049E533B"/>
    <w:rsid w:val="04A0376C"/>
    <w:rsid w:val="04A24703"/>
    <w:rsid w:val="04A24E62"/>
    <w:rsid w:val="04A37004"/>
    <w:rsid w:val="04A86794"/>
    <w:rsid w:val="04B3747D"/>
    <w:rsid w:val="04B844FD"/>
    <w:rsid w:val="04BA0275"/>
    <w:rsid w:val="04BC5CE3"/>
    <w:rsid w:val="04BD1B14"/>
    <w:rsid w:val="04C2712A"/>
    <w:rsid w:val="04C6380B"/>
    <w:rsid w:val="04CB5FDF"/>
    <w:rsid w:val="04D23E5A"/>
    <w:rsid w:val="04D806FC"/>
    <w:rsid w:val="04DB187B"/>
    <w:rsid w:val="04DD1649"/>
    <w:rsid w:val="04E2452E"/>
    <w:rsid w:val="04EE6171"/>
    <w:rsid w:val="04F574FF"/>
    <w:rsid w:val="04F95358"/>
    <w:rsid w:val="04F96FF0"/>
    <w:rsid w:val="04FC263C"/>
    <w:rsid w:val="05065269"/>
    <w:rsid w:val="050E236F"/>
    <w:rsid w:val="050F6813"/>
    <w:rsid w:val="051239A1"/>
    <w:rsid w:val="052E47BF"/>
    <w:rsid w:val="053E2C54"/>
    <w:rsid w:val="0548762F"/>
    <w:rsid w:val="054B711F"/>
    <w:rsid w:val="0550438A"/>
    <w:rsid w:val="0553688F"/>
    <w:rsid w:val="05551E3C"/>
    <w:rsid w:val="05592C3C"/>
    <w:rsid w:val="055E3FA0"/>
    <w:rsid w:val="056401E1"/>
    <w:rsid w:val="05654D72"/>
    <w:rsid w:val="05663F59"/>
    <w:rsid w:val="05685F23"/>
    <w:rsid w:val="056961A2"/>
    <w:rsid w:val="056A3A4A"/>
    <w:rsid w:val="056A57F8"/>
    <w:rsid w:val="056A6DF1"/>
    <w:rsid w:val="056D52E8"/>
    <w:rsid w:val="057C19CF"/>
    <w:rsid w:val="05816655"/>
    <w:rsid w:val="05835E44"/>
    <w:rsid w:val="058C785F"/>
    <w:rsid w:val="058F48A0"/>
    <w:rsid w:val="05900FAE"/>
    <w:rsid w:val="05973D2B"/>
    <w:rsid w:val="059A343D"/>
    <w:rsid w:val="059B00A7"/>
    <w:rsid w:val="059C5085"/>
    <w:rsid w:val="059C5BCD"/>
    <w:rsid w:val="059D2164"/>
    <w:rsid w:val="05A031FE"/>
    <w:rsid w:val="05AC3D16"/>
    <w:rsid w:val="05AF5900"/>
    <w:rsid w:val="05B22460"/>
    <w:rsid w:val="05B75BEB"/>
    <w:rsid w:val="05B9052D"/>
    <w:rsid w:val="05BC001D"/>
    <w:rsid w:val="05BD1DD8"/>
    <w:rsid w:val="05BD26FC"/>
    <w:rsid w:val="05BF5D55"/>
    <w:rsid w:val="05BF60C0"/>
    <w:rsid w:val="05C173E2"/>
    <w:rsid w:val="05C82AA8"/>
    <w:rsid w:val="05D9472B"/>
    <w:rsid w:val="05DE1D42"/>
    <w:rsid w:val="05E55DA7"/>
    <w:rsid w:val="05EA4E20"/>
    <w:rsid w:val="05F20AC9"/>
    <w:rsid w:val="05F51EB9"/>
    <w:rsid w:val="05F577E4"/>
    <w:rsid w:val="05F61781"/>
    <w:rsid w:val="05F83EAE"/>
    <w:rsid w:val="05FB02F8"/>
    <w:rsid w:val="06043E9E"/>
    <w:rsid w:val="060A6FDB"/>
    <w:rsid w:val="0619625D"/>
    <w:rsid w:val="061E65E2"/>
    <w:rsid w:val="061F452A"/>
    <w:rsid w:val="0620235A"/>
    <w:rsid w:val="06233BF8"/>
    <w:rsid w:val="062E385C"/>
    <w:rsid w:val="062E734D"/>
    <w:rsid w:val="063577E2"/>
    <w:rsid w:val="063E7D85"/>
    <w:rsid w:val="064222D0"/>
    <w:rsid w:val="06426774"/>
    <w:rsid w:val="0644429B"/>
    <w:rsid w:val="06455DC2"/>
    <w:rsid w:val="06473D8B"/>
    <w:rsid w:val="06482387"/>
    <w:rsid w:val="06562815"/>
    <w:rsid w:val="0659586C"/>
    <w:rsid w:val="0662414E"/>
    <w:rsid w:val="06640499"/>
    <w:rsid w:val="066F0D8B"/>
    <w:rsid w:val="0673273B"/>
    <w:rsid w:val="06772656"/>
    <w:rsid w:val="06776FF6"/>
    <w:rsid w:val="06783F44"/>
    <w:rsid w:val="06787497"/>
    <w:rsid w:val="0680104B"/>
    <w:rsid w:val="06893E96"/>
    <w:rsid w:val="06950A28"/>
    <w:rsid w:val="06952D48"/>
    <w:rsid w:val="069550F6"/>
    <w:rsid w:val="0696086E"/>
    <w:rsid w:val="069A3EBB"/>
    <w:rsid w:val="069F7723"/>
    <w:rsid w:val="06A42F8B"/>
    <w:rsid w:val="06AC1E40"/>
    <w:rsid w:val="06B17456"/>
    <w:rsid w:val="06B66178"/>
    <w:rsid w:val="06B7530D"/>
    <w:rsid w:val="06B84C89"/>
    <w:rsid w:val="06C23411"/>
    <w:rsid w:val="06C471B8"/>
    <w:rsid w:val="06C9640A"/>
    <w:rsid w:val="06D53145"/>
    <w:rsid w:val="06D54CA5"/>
    <w:rsid w:val="06DF1E00"/>
    <w:rsid w:val="06E43569"/>
    <w:rsid w:val="06E710CA"/>
    <w:rsid w:val="06EE2458"/>
    <w:rsid w:val="06F04422"/>
    <w:rsid w:val="06F54C0E"/>
    <w:rsid w:val="06FC5AD8"/>
    <w:rsid w:val="06FD0C16"/>
    <w:rsid w:val="06FD4B00"/>
    <w:rsid w:val="07010901"/>
    <w:rsid w:val="07100621"/>
    <w:rsid w:val="07140111"/>
    <w:rsid w:val="071A6247"/>
    <w:rsid w:val="07264BFD"/>
    <w:rsid w:val="07265555"/>
    <w:rsid w:val="07267E44"/>
    <w:rsid w:val="07293586"/>
    <w:rsid w:val="07295285"/>
    <w:rsid w:val="072D35EB"/>
    <w:rsid w:val="073A744C"/>
    <w:rsid w:val="073B3F7A"/>
    <w:rsid w:val="073F54F1"/>
    <w:rsid w:val="07480E14"/>
    <w:rsid w:val="07550729"/>
    <w:rsid w:val="07571191"/>
    <w:rsid w:val="075C154C"/>
    <w:rsid w:val="07636392"/>
    <w:rsid w:val="076D7821"/>
    <w:rsid w:val="077000C1"/>
    <w:rsid w:val="077027BF"/>
    <w:rsid w:val="07740BAF"/>
    <w:rsid w:val="07770C56"/>
    <w:rsid w:val="077F1302"/>
    <w:rsid w:val="0781507A"/>
    <w:rsid w:val="07841615"/>
    <w:rsid w:val="07871073"/>
    <w:rsid w:val="078E5C48"/>
    <w:rsid w:val="07941252"/>
    <w:rsid w:val="07985E68"/>
    <w:rsid w:val="079E3E7E"/>
    <w:rsid w:val="07A322FF"/>
    <w:rsid w:val="07AB405C"/>
    <w:rsid w:val="07AC2B56"/>
    <w:rsid w:val="07AC4B4A"/>
    <w:rsid w:val="07AE4AEA"/>
    <w:rsid w:val="07B67872"/>
    <w:rsid w:val="07B90CB8"/>
    <w:rsid w:val="07BA3CB6"/>
    <w:rsid w:val="07BC60B3"/>
    <w:rsid w:val="07BD4AFA"/>
    <w:rsid w:val="07C531B9"/>
    <w:rsid w:val="07D04AFD"/>
    <w:rsid w:val="07D20941"/>
    <w:rsid w:val="07DF2BAA"/>
    <w:rsid w:val="07E42167"/>
    <w:rsid w:val="07E421F5"/>
    <w:rsid w:val="07E436C5"/>
    <w:rsid w:val="07EC5935"/>
    <w:rsid w:val="07FC35D5"/>
    <w:rsid w:val="07FE065A"/>
    <w:rsid w:val="07FE491D"/>
    <w:rsid w:val="07FE66CB"/>
    <w:rsid w:val="07FF70D4"/>
    <w:rsid w:val="08023599"/>
    <w:rsid w:val="08031F33"/>
    <w:rsid w:val="08057A5A"/>
    <w:rsid w:val="08177E0E"/>
    <w:rsid w:val="08224729"/>
    <w:rsid w:val="0822685D"/>
    <w:rsid w:val="082A3964"/>
    <w:rsid w:val="082D0D5E"/>
    <w:rsid w:val="0836736F"/>
    <w:rsid w:val="08393BA7"/>
    <w:rsid w:val="084367D4"/>
    <w:rsid w:val="08485B98"/>
    <w:rsid w:val="08491082"/>
    <w:rsid w:val="084A5733"/>
    <w:rsid w:val="084C7436"/>
    <w:rsid w:val="085F46B4"/>
    <w:rsid w:val="086C1887"/>
    <w:rsid w:val="086E23EC"/>
    <w:rsid w:val="086E3851"/>
    <w:rsid w:val="087A0447"/>
    <w:rsid w:val="08860018"/>
    <w:rsid w:val="0886648E"/>
    <w:rsid w:val="08872B64"/>
    <w:rsid w:val="088766C0"/>
    <w:rsid w:val="088E13EE"/>
    <w:rsid w:val="088F37C7"/>
    <w:rsid w:val="08924756"/>
    <w:rsid w:val="08927A28"/>
    <w:rsid w:val="08975A73"/>
    <w:rsid w:val="08976A82"/>
    <w:rsid w:val="089B216C"/>
    <w:rsid w:val="08AC25CB"/>
    <w:rsid w:val="08AE1E9F"/>
    <w:rsid w:val="08B17BE1"/>
    <w:rsid w:val="08B4633C"/>
    <w:rsid w:val="08B562F5"/>
    <w:rsid w:val="08B97F61"/>
    <w:rsid w:val="08BC2855"/>
    <w:rsid w:val="08BD6586"/>
    <w:rsid w:val="08C1646C"/>
    <w:rsid w:val="08C7739B"/>
    <w:rsid w:val="08D86F1C"/>
    <w:rsid w:val="08DE690B"/>
    <w:rsid w:val="08ED686D"/>
    <w:rsid w:val="08EE0192"/>
    <w:rsid w:val="08EE4992"/>
    <w:rsid w:val="08F33D56"/>
    <w:rsid w:val="08F55D20"/>
    <w:rsid w:val="09061CDB"/>
    <w:rsid w:val="09095327"/>
    <w:rsid w:val="0910671C"/>
    <w:rsid w:val="091270F8"/>
    <w:rsid w:val="09137CAF"/>
    <w:rsid w:val="091508CA"/>
    <w:rsid w:val="0917056E"/>
    <w:rsid w:val="091E602A"/>
    <w:rsid w:val="092217DD"/>
    <w:rsid w:val="09271EEA"/>
    <w:rsid w:val="09306D58"/>
    <w:rsid w:val="09336848"/>
    <w:rsid w:val="093A7294"/>
    <w:rsid w:val="093E197F"/>
    <w:rsid w:val="093F343F"/>
    <w:rsid w:val="0946032A"/>
    <w:rsid w:val="094E763E"/>
    <w:rsid w:val="09516776"/>
    <w:rsid w:val="0955056D"/>
    <w:rsid w:val="09650D30"/>
    <w:rsid w:val="0974300E"/>
    <w:rsid w:val="09784CC1"/>
    <w:rsid w:val="097B3C16"/>
    <w:rsid w:val="097D7547"/>
    <w:rsid w:val="097F55EA"/>
    <w:rsid w:val="0983157E"/>
    <w:rsid w:val="098350DA"/>
    <w:rsid w:val="0984499B"/>
    <w:rsid w:val="098451E2"/>
    <w:rsid w:val="09862E1C"/>
    <w:rsid w:val="098D18E2"/>
    <w:rsid w:val="09903C9B"/>
    <w:rsid w:val="09971C3C"/>
    <w:rsid w:val="09972933"/>
    <w:rsid w:val="09976F5B"/>
    <w:rsid w:val="099872E7"/>
    <w:rsid w:val="09A67019"/>
    <w:rsid w:val="09B4439A"/>
    <w:rsid w:val="09C2764F"/>
    <w:rsid w:val="09C33728"/>
    <w:rsid w:val="09C347D2"/>
    <w:rsid w:val="09C51AEE"/>
    <w:rsid w:val="09CD45A7"/>
    <w:rsid w:val="09DF0151"/>
    <w:rsid w:val="09DF6712"/>
    <w:rsid w:val="09EC6316"/>
    <w:rsid w:val="09F00295"/>
    <w:rsid w:val="09F0752D"/>
    <w:rsid w:val="09F10707"/>
    <w:rsid w:val="09F14739"/>
    <w:rsid w:val="09F215F6"/>
    <w:rsid w:val="09F63AFE"/>
    <w:rsid w:val="09F7191B"/>
    <w:rsid w:val="09F73401"/>
    <w:rsid w:val="09F775B4"/>
    <w:rsid w:val="0A0023A1"/>
    <w:rsid w:val="0A0077B9"/>
    <w:rsid w:val="0A0148F0"/>
    <w:rsid w:val="0A032F38"/>
    <w:rsid w:val="0A090190"/>
    <w:rsid w:val="0A0D78C6"/>
    <w:rsid w:val="0A122902"/>
    <w:rsid w:val="0A1246B0"/>
    <w:rsid w:val="0A1B3564"/>
    <w:rsid w:val="0A1C0257"/>
    <w:rsid w:val="0A21224E"/>
    <w:rsid w:val="0A263993"/>
    <w:rsid w:val="0A2A37A7"/>
    <w:rsid w:val="0A2C39C3"/>
    <w:rsid w:val="0A2D3AC2"/>
    <w:rsid w:val="0A2E773B"/>
    <w:rsid w:val="0A301556"/>
    <w:rsid w:val="0A3C1312"/>
    <w:rsid w:val="0A407F4A"/>
    <w:rsid w:val="0A454492"/>
    <w:rsid w:val="0A481E7F"/>
    <w:rsid w:val="0A49242C"/>
    <w:rsid w:val="0A516F86"/>
    <w:rsid w:val="0A5258D9"/>
    <w:rsid w:val="0A6740A8"/>
    <w:rsid w:val="0A6767AA"/>
    <w:rsid w:val="0A7274CC"/>
    <w:rsid w:val="0A784193"/>
    <w:rsid w:val="0A8259B1"/>
    <w:rsid w:val="0A884A60"/>
    <w:rsid w:val="0A886720"/>
    <w:rsid w:val="0A907017"/>
    <w:rsid w:val="0A981335"/>
    <w:rsid w:val="0A9817DB"/>
    <w:rsid w:val="0A984BB5"/>
    <w:rsid w:val="0A9C4C1B"/>
    <w:rsid w:val="0AA33AA0"/>
    <w:rsid w:val="0AA55524"/>
    <w:rsid w:val="0AA755DF"/>
    <w:rsid w:val="0AA856C0"/>
    <w:rsid w:val="0ABB1630"/>
    <w:rsid w:val="0ACA6D38"/>
    <w:rsid w:val="0ACC485F"/>
    <w:rsid w:val="0AD169DA"/>
    <w:rsid w:val="0AD772DE"/>
    <w:rsid w:val="0AE24082"/>
    <w:rsid w:val="0AE4604C"/>
    <w:rsid w:val="0AE61DC4"/>
    <w:rsid w:val="0AEE2A27"/>
    <w:rsid w:val="0AF53DB5"/>
    <w:rsid w:val="0AF73FD1"/>
    <w:rsid w:val="0AFA5870"/>
    <w:rsid w:val="0B09160F"/>
    <w:rsid w:val="0B0C10FF"/>
    <w:rsid w:val="0B0E7932"/>
    <w:rsid w:val="0B120D44"/>
    <w:rsid w:val="0B1676E4"/>
    <w:rsid w:val="0B1D330C"/>
    <w:rsid w:val="0B260413"/>
    <w:rsid w:val="0B2E5519"/>
    <w:rsid w:val="0B30290D"/>
    <w:rsid w:val="0B347497"/>
    <w:rsid w:val="0B357B6B"/>
    <w:rsid w:val="0B376726"/>
    <w:rsid w:val="0B3820A2"/>
    <w:rsid w:val="0B3F3282"/>
    <w:rsid w:val="0B41524D"/>
    <w:rsid w:val="0B440899"/>
    <w:rsid w:val="0B444D3D"/>
    <w:rsid w:val="0B492353"/>
    <w:rsid w:val="0B497A74"/>
    <w:rsid w:val="0B4F3EE4"/>
    <w:rsid w:val="0B580CA0"/>
    <w:rsid w:val="0B5A00BC"/>
    <w:rsid w:val="0B5D5CE3"/>
    <w:rsid w:val="0B61144B"/>
    <w:rsid w:val="0B6B3E24"/>
    <w:rsid w:val="0B6C6BC1"/>
    <w:rsid w:val="0B6D4294"/>
    <w:rsid w:val="0B6E3B68"/>
    <w:rsid w:val="0B6F27AF"/>
    <w:rsid w:val="0B736D54"/>
    <w:rsid w:val="0B7F172C"/>
    <w:rsid w:val="0B854B0F"/>
    <w:rsid w:val="0B882E7B"/>
    <w:rsid w:val="0B887641"/>
    <w:rsid w:val="0B892750"/>
    <w:rsid w:val="0B8A42B3"/>
    <w:rsid w:val="0B901D30"/>
    <w:rsid w:val="0B9335CE"/>
    <w:rsid w:val="0B9428A2"/>
    <w:rsid w:val="0B9A2502"/>
    <w:rsid w:val="0BA6715E"/>
    <w:rsid w:val="0BA837F1"/>
    <w:rsid w:val="0BAB0918"/>
    <w:rsid w:val="0BB43C70"/>
    <w:rsid w:val="0BB71B42"/>
    <w:rsid w:val="0BBB4168"/>
    <w:rsid w:val="0BBF24FF"/>
    <w:rsid w:val="0BC65752"/>
    <w:rsid w:val="0BC67500"/>
    <w:rsid w:val="0BC7515D"/>
    <w:rsid w:val="0BC948B1"/>
    <w:rsid w:val="0BCA561A"/>
    <w:rsid w:val="0BD240F7"/>
    <w:rsid w:val="0BD27BF6"/>
    <w:rsid w:val="0BDD5322"/>
    <w:rsid w:val="0BE34248"/>
    <w:rsid w:val="0BE5207C"/>
    <w:rsid w:val="0BE539E8"/>
    <w:rsid w:val="0BF6421D"/>
    <w:rsid w:val="0BF95B27"/>
    <w:rsid w:val="0BFC73C5"/>
    <w:rsid w:val="0BFF537C"/>
    <w:rsid w:val="0C03314E"/>
    <w:rsid w:val="0C0A1AE2"/>
    <w:rsid w:val="0C175FAD"/>
    <w:rsid w:val="0C177116"/>
    <w:rsid w:val="0C1907D5"/>
    <w:rsid w:val="0C194C0B"/>
    <w:rsid w:val="0C1B5C6F"/>
    <w:rsid w:val="0C1E04B1"/>
    <w:rsid w:val="0C210BDA"/>
    <w:rsid w:val="0C24583E"/>
    <w:rsid w:val="0C2562F9"/>
    <w:rsid w:val="0C264F49"/>
    <w:rsid w:val="0C26538B"/>
    <w:rsid w:val="0C30706F"/>
    <w:rsid w:val="0C375EA8"/>
    <w:rsid w:val="0C3974BF"/>
    <w:rsid w:val="0C3B3C7D"/>
    <w:rsid w:val="0C3C492C"/>
    <w:rsid w:val="0C405504"/>
    <w:rsid w:val="0C47331D"/>
    <w:rsid w:val="0C475BCF"/>
    <w:rsid w:val="0C4D5B93"/>
    <w:rsid w:val="0C5A6B62"/>
    <w:rsid w:val="0C5D60B6"/>
    <w:rsid w:val="0C633433"/>
    <w:rsid w:val="0C6F07CA"/>
    <w:rsid w:val="0C707DF8"/>
    <w:rsid w:val="0C750F4B"/>
    <w:rsid w:val="0C752FB1"/>
    <w:rsid w:val="0C7927C4"/>
    <w:rsid w:val="0C796C68"/>
    <w:rsid w:val="0C7A1C57"/>
    <w:rsid w:val="0C7B1859"/>
    <w:rsid w:val="0C7B478E"/>
    <w:rsid w:val="0C7C270A"/>
    <w:rsid w:val="0C7E727A"/>
    <w:rsid w:val="0C807FF6"/>
    <w:rsid w:val="0C833643"/>
    <w:rsid w:val="0C871034"/>
    <w:rsid w:val="0C907472"/>
    <w:rsid w:val="0C965124"/>
    <w:rsid w:val="0C9F66CF"/>
    <w:rsid w:val="0CA10AFC"/>
    <w:rsid w:val="0CA32D23"/>
    <w:rsid w:val="0CAB2EAE"/>
    <w:rsid w:val="0CB5460A"/>
    <w:rsid w:val="0CB61638"/>
    <w:rsid w:val="0CB96281"/>
    <w:rsid w:val="0CBD6427"/>
    <w:rsid w:val="0CCB7DB3"/>
    <w:rsid w:val="0CCD7495"/>
    <w:rsid w:val="0CD46235"/>
    <w:rsid w:val="0CDC06BB"/>
    <w:rsid w:val="0CDF2F6F"/>
    <w:rsid w:val="0CE328FF"/>
    <w:rsid w:val="0CED10CD"/>
    <w:rsid w:val="0CF26929"/>
    <w:rsid w:val="0D004C93"/>
    <w:rsid w:val="0D031982"/>
    <w:rsid w:val="0D0A78C0"/>
    <w:rsid w:val="0D1129FD"/>
    <w:rsid w:val="0D1150F2"/>
    <w:rsid w:val="0D1424ED"/>
    <w:rsid w:val="0D145F83"/>
    <w:rsid w:val="0D1522B7"/>
    <w:rsid w:val="0D1653D3"/>
    <w:rsid w:val="0D1B16BD"/>
    <w:rsid w:val="0D1C0526"/>
    <w:rsid w:val="0D1F0294"/>
    <w:rsid w:val="0D2210AE"/>
    <w:rsid w:val="0D2414F5"/>
    <w:rsid w:val="0D256754"/>
    <w:rsid w:val="0D297801"/>
    <w:rsid w:val="0D2C79FD"/>
    <w:rsid w:val="0D2F1884"/>
    <w:rsid w:val="0D33458A"/>
    <w:rsid w:val="0D3606B5"/>
    <w:rsid w:val="0D3B3F1D"/>
    <w:rsid w:val="0D3D37F2"/>
    <w:rsid w:val="0D431422"/>
    <w:rsid w:val="0D473A32"/>
    <w:rsid w:val="0D51729D"/>
    <w:rsid w:val="0D5A25F6"/>
    <w:rsid w:val="0D5B011C"/>
    <w:rsid w:val="0D5E339D"/>
    <w:rsid w:val="0D613984"/>
    <w:rsid w:val="0D6214AA"/>
    <w:rsid w:val="0D621C7D"/>
    <w:rsid w:val="0D624BAF"/>
    <w:rsid w:val="0D6B3773"/>
    <w:rsid w:val="0D755FFE"/>
    <w:rsid w:val="0D7A3989"/>
    <w:rsid w:val="0D7A7EA4"/>
    <w:rsid w:val="0D7B1B27"/>
    <w:rsid w:val="0D7B39BE"/>
    <w:rsid w:val="0D8060B9"/>
    <w:rsid w:val="0D8A61D3"/>
    <w:rsid w:val="0D9172AB"/>
    <w:rsid w:val="0D961154"/>
    <w:rsid w:val="0D9A1F6D"/>
    <w:rsid w:val="0DA0092E"/>
    <w:rsid w:val="0DA6583B"/>
    <w:rsid w:val="0DBA12E6"/>
    <w:rsid w:val="0DBA7538"/>
    <w:rsid w:val="0DC27315"/>
    <w:rsid w:val="0DC65EBE"/>
    <w:rsid w:val="0DC65EDD"/>
    <w:rsid w:val="0DCE08EE"/>
    <w:rsid w:val="0DCF4D92"/>
    <w:rsid w:val="0DD24882"/>
    <w:rsid w:val="0DD759F4"/>
    <w:rsid w:val="0DD8176C"/>
    <w:rsid w:val="0DDE6877"/>
    <w:rsid w:val="0DE2767D"/>
    <w:rsid w:val="0DED346A"/>
    <w:rsid w:val="0DF5231E"/>
    <w:rsid w:val="0DF5338E"/>
    <w:rsid w:val="0DFD4F28"/>
    <w:rsid w:val="0E0019BA"/>
    <w:rsid w:val="0E0367E9"/>
    <w:rsid w:val="0E0C69F8"/>
    <w:rsid w:val="0E0E371C"/>
    <w:rsid w:val="0E0F3672"/>
    <w:rsid w:val="0E115619"/>
    <w:rsid w:val="0E1327A4"/>
    <w:rsid w:val="0E1529C0"/>
    <w:rsid w:val="0E1B7FD7"/>
    <w:rsid w:val="0E213113"/>
    <w:rsid w:val="0E26072A"/>
    <w:rsid w:val="0E303DCA"/>
    <w:rsid w:val="0E356BBF"/>
    <w:rsid w:val="0E3746E5"/>
    <w:rsid w:val="0E39295C"/>
    <w:rsid w:val="0E3F5557"/>
    <w:rsid w:val="0E4669CF"/>
    <w:rsid w:val="0E4A3AEE"/>
    <w:rsid w:val="0E4B34AC"/>
    <w:rsid w:val="0E4C2056"/>
    <w:rsid w:val="0E507888"/>
    <w:rsid w:val="0E5E6115"/>
    <w:rsid w:val="0E654F27"/>
    <w:rsid w:val="0E666D78"/>
    <w:rsid w:val="0E673D73"/>
    <w:rsid w:val="0E6D762C"/>
    <w:rsid w:val="0E73034D"/>
    <w:rsid w:val="0E7771D7"/>
    <w:rsid w:val="0E793B97"/>
    <w:rsid w:val="0E7C2DCE"/>
    <w:rsid w:val="0E83018A"/>
    <w:rsid w:val="0E96765D"/>
    <w:rsid w:val="0E99714E"/>
    <w:rsid w:val="0E9D2B11"/>
    <w:rsid w:val="0E9D6C3E"/>
    <w:rsid w:val="0EA0228A"/>
    <w:rsid w:val="0EA33EF7"/>
    <w:rsid w:val="0EA74990"/>
    <w:rsid w:val="0EAA05FC"/>
    <w:rsid w:val="0EAB6D84"/>
    <w:rsid w:val="0EB67D00"/>
    <w:rsid w:val="0EB77E38"/>
    <w:rsid w:val="0EC07097"/>
    <w:rsid w:val="0ECC2D59"/>
    <w:rsid w:val="0ED10695"/>
    <w:rsid w:val="0ED1069F"/>
    <w:rsid w:val="0ED10E76"/>
    <w:rsid w:val="0ED75FF3"/>
    <w:rsid w:val="0ED76E18"/>
    <w:rsid w:val="0ED92472"/>
    <w:rsid w:val="0EDB32C2"/>
    <w:rsid w:val="0EDD346A"/>
    <w:rsid w:val="0EDE591C"/>
    <w:rsid w:val="0EE228A3"/>
    <w:rsid w:val="0EE25041"/>
    <w:rsid w:val="0EE51585"/>
    <w:rsid w:val="0EE52393"/>
    <w:rsid w:val="0EE654DD"/>
    <w:rsid w:val="0EE71826"/>
    <w:rsid w:val="0EEA5BFB"/>
    <w:rsid w:val="0EF41053"/>
    <w:rsid w:val="0EF600FC"/>
    <w:rsid w:val="0EF80318"/>
    <w:rsid w:val="0EF86860"/>
    <w:rsid w:val="0EFE0513"/>
    <w:rsid w:val="0EFE6510"/>
    <w:rsid w:val="0F0547E3"/>
    <w:rsid w:val="0F0A1DF9"/>
    <w:rsid w:val="0F0A4F36"/>
    <w:rsid w:val="0F0C3DC3"/>
    <w:rsid w:val="0F0E604F"/>
    <w:rsid w:val="0F13775A"/>
    <w:rsid w:val="0F1D21B0"/>
    <w:rsid w:val="0F1D38DB"/>
    <w:rsid w:val="0F2509E1"/>
    <w:rsid w:val="0F2E5AE8"/>
    <w:rsid w:val="0F3763CB"/>
    <w:rsid w:val="0F3A2647"/>
    <w:rsid w:val="0F3D21CF"/>
    <w:rsid w:val="0F4027BC"/>
    <w:rsid w:val="0F40581B"/>
    <w:rsid w:val="0F410892"/>
    <w:rsid w:val="0F4D4849"/>
    <w:rsid w:val="0F504D75"/>
    <w:rsid w:val="0F56503F"/>
    <w:rsid w:val="0F580DB7"/>
    <w:rsid w:val="0F5F45FE"/>
    <w:rsid w:val="0F5F7650"/>
    <w:rsid w:val="0F6045F2"/>
    <w:rsid w:val="0F6459AD"/>
    <w:rsid w:val="0F696B20"/>
    <w:rsid w:val="0F6B6D3C"/>
    <w:rsid w:val="0F6E05DA"/>
    <w:rsid w:val="0F706100"/>
    <w:rsid w:val="0F786D63"/>
    <w:rsid w:val="0F803E6A"/>
    <w:rsid w:val="0F843812"/>
    <w:rsid w:val="0F87344A"/>
    <w:rsid w:val="0F8A3E81"/>
    <w:rsid w:val="0F917E25"/>
    <w:rsid w:val="0F924F7F"/>
    <w:rsid w:val="0F9470FA"/>
    <w:rsid w:val="0F9638D0"/>
    <w:rsid w:val="0F97684E"/>
    <w:rsid w:val="0F9A112B"/>
    <w:rsid w:val="0FAB538A"/>
    <w:rsid w:val="0FAF0CB0"/>
    <w:rsid w:val="0FB51D65"/>
    <w:rsid w:val="0FBE2C88"/>
    <w:rsid w:val="0FBF4992"/>
    <w:rsid w:val="0FC05FDF"/>
    <w:rsid w:val="0FC65D20"/>
    <w:rsid w:val="0FC91CB4"/>
    <w:rsid w:val="0FC93A62"/>
    <w:rsid w:val="0FCD3553"/>
    <w:rsid w:val="0FD07339"/>
    <w:rsid w:val="0FD146C5"/>
    <w:rsid w:val="0FDA5C70"/>
    <w:rsid w:val="0FDD51C2"/>
    <w:rsid w:val="0FEB39D9"/>
    <w:rsid w:val="0FF60BFB"/>
    <w:rsid w:val="0FF91F75"/>
    <w:rsid w:val="0FFC0386"/>
    <w:rsid w:val="0FFC1742"/>
    <w:rsid w:val="100625C1"/>
    <w:rsid w:val="1013011B"/>
    <w:rsid w:val="10214329"/>
    <w:rsid w:val="10234F21"/>
    <w:rsid w:val="102A03A0"/>
    <w:rsid w:val="102E2AE3"/>
    <w:rsid w:val="10421006"/>
    <w:rsid w:val="10432474"/>
    <w:rsid w:val="10477DE2"/>
    <w:rsid w:val="10484987"/>
    <w:rsid w:val="10525806"/>
    <w:rsid w:val="1057025C"/>
    <w:rsid w:val="10586CA8"/>
    <w:rsid w:val="106169ED"/>
    <w:rsid w:val="1066305F"/>
    <w:rsid w:val="106B4B1A"/>
    <w:rsid w:val="106D2F64"/>
    <w:rsid w:val="10702130"/>
    <w:rsid w:val="10725EEA"/>
    <w:rsid w:val="10727C56"/>
    <w:rsid w:val="107647A0"/>
    <w:rsid w:val="10835914"/>
    <w:rsid w:val="108C1CE2"/>
    <w:rsid w:val="108C615E"/>
    <w:rsid w:val="108E4198"/>
    <w:rsid w:val="108F6F4D"/>
    <w:rsid w:val="10976D85"/>
    <w:rsid w:val="109B089C"/>
    <w:rsid w:val="10A36062"/>
    <w:rsid w:val="10B224C7"/>
    <w:rsid w:val="10B36533"/>
    <w:rsid w:val="10B62239"/>
    <w:rsid w:val="10B62EE4"/>
    <w:rsid w:val="10B63710"/>
    <w:rsid w:val="10B63FE7"/>
    <w:rsid w:val="10B65D95"/>
    <w:rsid w:val="10C078BD"/>
    <w:rsid w:val="10C336E4"/>
    <w:rsid w:val="10C34956"/>
    <w:rsid w:val="10C85AC8"/>
    <w:rsid w:val="10CD7582"/>
    <w:rsid w:val="10D43D2C"/>
    <w:rsid w:val="10D62C4F"/>
    <w:rsid w:val="10D80401"/>
    <w:rsid w:val="10D872D0"/>
    <w:rsid w:val="10DB5880"/>
    <w:rsid w:val="10E10521"/>
    <w:rsid w:val="10E13D97"/>
    <w:rsid w:val="10F10820"/>
    <w:rsid w:val="10F13271"/>
    <w:rsid w:val="10F26EA5"/>
    <w:rsid w:val="10F90377"/>
    <w:rsid w:val="10F95750"/>
    <w:rsid w:val="10FC5772"/>
    <w:rsid w:val="10FD1F0A"/>
    <w:rsid w:val="11016E0F"/>
    <w:rsid w:val="110472BA"/>
    <w:rsid w:val="11065765"/>
    <w:rsid w:val="110F6D61"/>
    <w:rsid w:val="111927C8"/>
    <w:rsid w:val="111C2F7A"/>
    <w:rsid w:val="112847B9"/>
    <w:rsid w:val="112C6B8F"/>
    <w:rsid w:val="112C7AF5"/>
    <w:rsid w:val="112C7CAB"/>
    <w:rsid w:val="1133021E"/>
    <w:rsid w:val="11337C03"/>
    <w:rsid w:val="11351DE6"/>
    <w:rsid w:val="1139527B"/>
    <w:rsid w:val="113C4CD1"/>
    <w:rsid w:val="113D2012"/>
    <w:rsid w:val="113D6807"/>
    <w:rsid w:val="113F5854"/>
    <w:rsid w:val="114026B7"/>
    <w:rsid w:val="11405448"/>
    <w:rsid w:val="11407FD1"/>
    <w:rsid w:val="11486486"/>
    <w:rsid w:val="11497CF6"/>
    <w:rsid w:val="114B3686"/>
    <w:rsid w:val="114C04A7"/>
    <w:rsid w:val="11506D23"/>
    <w:rsid w:val="115074B9"/>
    <w:rsid w:val="115B693C"/>
    <w:rsid w:val="115E1DEE"/>
    <w:rsid w:val="116432A2"/>
    <w:rsid w:val="11643A43"/>
    <w:rsid w:val="11665CA1"/>
    <w:rsid w:val="116D479C"/>
    <w:rsid w:val="116E4122"/>
    <w:rsid w:val="1172671C"/>
    <w:rsid w:val="1176761B"/>
    <w:rsid w:val="11801A2F"/>
    <w:rsid w:val="118045F5"/>
    <w:rsid w:val="118C21B4"/>
    <w:rsid w:val="118E6D12"/>
    <w:rsid w:val="11912563"/>
    <w:rsid w:val="11940F05"/>
    <w:rsid w:val="11951E4E"/>
    <w:rsid w:val="119610D6"/>
    <w:rsid w:val="11973C1D"/>
    <w:rsid w:val="119F4A7B"/>
    <w:rsid w:val="11AB1672"/>
    <w:rsid w:val="11AD072E"/>
    <w:rsid w:val="11AE4CBE"/>
    <w:rsid w:val="11B524F0"/>
    <w:rsid w:val="11B9125B"/>
    <w:rsid w:val="11BA3663"/>
    <w:rsid w:val="11BD1AE3"/>
    <w:rsid w:val="11BF336F"/>
    <w:rsid w:val="11C1549D"/>
    <w:rsid w:val="11C27375"/>
    <w:rsid w:val="11C30D95"/>
    <w:rsid w:val="11C66D88"/>
    <w:rsid w:val="11CD727D"/>
    <w:rsid w:val="11D50FAE"/>
    <w:rsid w:val="11D81D3B"/>
    <w:rsid w:val="11D84431"/>
    <w:rsid w:val="11E06E41"/>
    <w:rsid w:val="11E32BE3"/>
    <w:rsid w:val="11E37E0A"/>
    <w:rsid w:val="11E7673F"/>
    <w:rsid w:val="11EC3A38"/>
    <w:rsid w:val="12025774"/>
    <w:rsid w:val="120312C4"/>
    <w:rsid w:val="12042B30"/>
    <w:rsid w:val="120B496E"/>
    <w:rsid w:val="120C4D1D"/>
    <w:rsid w:val="121277D8"/>
    <w:rsid w:val="12166C60"/>
    <w:rsid w:val="12173DEA"/>
    <w:rsid w:val="121E5269"/>
    <w:rsid w:val="122371C4"/>
    <w:rsid w:val="12260B76"/>
    <w:rsid w:val="12367933"/>
    <w:rsid w:val="124037F5"/>
    <w:rsid w:val="12415B32"/>
    <w:rsid w:val="12423479"/>
    <w:rsid w:val="124B4C03"/>
    <w:rsid w:val="124F64A1"/>
    <w:rsid w:val="12502B3B"/>
    <w:rsid w:val="12584CB9"/>
    <w:rsid w:val="125D0492"/>
    <w:rsid w:val="125D2D63"/>
    <w:rsid w:val="126857B5"/>
    <w:rsid w:val="126B2BAF"/>
    <w:rsid w:val="127001C5"/>
    <w:rsid w:val="127203E1"/>
    <w:rsid w:val="12791770"/>
    <w:rsid w:val="12812F7B"/>
    <w:rsid w:val="1283614B"/>
    <w:rsid w:val="12847522"/>
    <w:rsid w:val="128B3915"/>
    <w:rsid w:val="128C1201"/>
    <w:rsid w:val="128E14A8"/>
    <w:rsid w:val="128E2FDB"/>
    <w:rsid w:val="12916AA6"/>
    <w:rsid w:val="129C545E"/>
    <w:rsid w:val="129E7212"/>
    <w:rsid w:val="12A8795F"/>
    <w:rsid w:val="12B37A9B"/>
    <w:rsid w:val="12B71B99"/>
    <w:rsid w:val="12C0286C"/>
    <w:rsid w:val="12C16C73"/>
    <w:rsid w:val="12D57132"/>
    <w:rsid w:val="12DC585B"/>
    <w:rsid w:val="12E04FE4"/>
    <w:rsid w:val="12F232D0"/>
    <w:rsid w:val="12F30695"/>
    <w:rsid w:val="12F4756B"/>
    <w:rsid w:val="12FB6FCB"/>
    <w:rsid w:val="12FC5EFD"/>
    <w:rsid w:val="130649E5"/>
    <w:rsid w:val="130725B8"/>
    <w:rsid w:val="13091A27"/>
    <w:rsid w:val="130A686C"/>
    <w:rsid w:val="130D57ED"/>
    <w:rsid w:val="131256EE"/>
    <w:rsid w:val="13147D53"/>
    <w:rsid w:val="1319085D"/>
    <w:rsid w:val="131B58EC"/>
    <w:rsid w:val="13250612"/>
    <w:rsid w:val="13252B32"/>
    <w:rsid w:val="13263708"/>
    <w:rsid w:val="132C233E"/>
    <w:rsid w:val="13337B71"/>
    <w:rsid w:val="133E106E"/>
    <w:rsid w:val="134168FD"/>
    <w:rsid w:val="134A4EBA"/>
    <w:rsid w:val="134B3EA6"/>
    <w:rsid w:val="134F24D1"/>
    <w:rsid w:val="13516249"/>
    <w:rsid w:val="13566748"/>
    <w:rsid w:val="13596E11"/>
    <w:rsid w:val="136476FE"/>
    <w:rsid w:val="13685097"/>
    <w:rsid w:val="136F4C00"/>
    <w:rsid w:val="13710699"/>
    <w:rsid w:val="137633A8"/>
    <w:rsid w:val="13812988"/>
    <w:rsid w:val="13841D40"/>
    <w:rsid w:val="13875453"/>
    <w:rsid w:val="13884F5B"/>
    <w:rsid w:val="138C102F"/>
    <w:rsid w:val="139300F1"/>
    <w:rsid w:val="13951726"/>
    <w:rsid w:val="139630E6"/>
    <w:rsid w:val="139B74C4"/>
    <w:rsid w:val="13A51DF8"/>
    <w:rsid w:val="13A66473"/>
    <w:rsid w:val="13A90FB1"/>
    <w:rsid w:val="13A97E33"/>
    <w:rsid w:val="13AA53E8"/>
    <w:rsid w:val="13AD2810"/>
    <w:rsid w:val="13B6042B"/>
    <w:rsid w:val="13B8757C"/>
    <w:rsid w:val="13BD7245"/>
    <w:rsid w:val="13C35E4E"/>
    <w:rsid w:val="13DA207F"/>
    <w:rsid w:val="13DA623E"/>
    <w:rsid w:val="13DA7FEC"/>
    <w:rsid w:val="13DE5507"/>
    <w:rsid w:val="13E1581F"/>
    <w:rsid w:val="13E16790"/>
    <w:rsid w:val="13E42C19"/>
    <w:rsid w:val="13E9022F"/>
    <w:rsid w:val="13ED1715"/>
    <w:rsid w:val="13EE5846"/>
    <w:rsid w:val="13EE708C"/>
    <w:rsid w:val="13F366E5"/>
    <w:rsid w:val="13F72D89"/>
    <w:rsid w:val="13F85EAD"/>
    <w:rsid w:val="13FA068E"/>
    <w:rsid w:val="13FA0EB0"/>
    <w:rsid w:val="13FD09D7"/>
    <w:rsid w:val="140831E2"/>
    <w:rsid w:val="140F69EF"/>
    <w:rsid w:val="141334FE"/>
    <w:rsid w:val="14137D1C"/>
    <w:rsid w:val="141E7449"/>
    <w:rsid w:val="141F4656"/>
    <w:rsid w:val="142474B9"/>
    <w:rsid w:val="14257900"/>
    <w:rsid w:val="142E37AA"/>
    <w:rsid w:val="14305E5E"/>
    <w:rsid w:val="14356565"/>
    <w:rsid w:val="14396509"/>
    <w:rsid w:val="143B6AC6"/>
    <w:rsid w:val="143C0390"/>
    <w:rsid w:val="1441006B"/>
    <w:rsid w:val="14496F20"/>
    <w:rsid w:val="144B3CAB"/>
    <w:rsid w:val="144E2788"/>
    <w:rsid w:val="145204CA"/>
    <w:rsid w:val="14531B4D"/>
    <w:rsid w:val="145C2705"/>
    <w:rsid w:val="14634486"/>
    <w:rsid w:val="14673E8A"/>
    <w:rsid w:val="1468329B"/>
    <w:rsid w:val="146F280C"/>
    <w:rsid w:val="147F2942"/>
    <w:rsid w:val="14814211"/>
    <w:rsid w:val="14904B4F"/>
    <w:rsid w:val="149363ED"/>
    <w:rsid w:val="14991C55"/>
    <w:rsid w:val="149E1A09"/>
    <w:rsid w:val="149E53A8"/>
    <w:rsid w:val="149E726C"/>
    <w:rsid w:val="14A779A2"/>
    <w:rsid w:val="14AB6958"/>
    <w:rsid w:val="14AC691B"/>
    <w:rsid w:val="14AE207C"/>
    <w:rsid w:val="14B60A59"/>
    <w:rsid w:val="14BA1BCC"/>
    <w:rsid w:val="14BB3567"/>
    <w:rsid w:val="14C276A9"/>
    <w:rsid w:val="14C50E0E"/>
    <w:rsid w:val="14C52A4A"/>
    <w:rsid w:val="14DD2C3C"/>
    <w:rsid w:val="14DF1632"/>
    <w:rsid w:val="14E60C13"/>
    <w:rsid w:val="14ED1FA1"/>
    <w:rsid w:val="14F96B98"/>
    <w:rsid w:val="14FE7D0A"/>
    <w:rsid w:val="150317C5"/>
    <w:rsid w:val="15062A62"/>
    <w:rsid w:val="150A5D36"/>
    <w:rsid w:val="150D1602"/>
    <w:rsid w:val="150F3CC6"/>
    <w:rsid w:val="15104ED0"/>
    <w:rsid w:val="1514752E"/>
    <w:rsid w:val="151632A6"/>
    <w:rsid w:val="151C0AB6"/>
    <w:rsid w:val="151C1D06"/>
    <w:rsid w:val="152010FA"/>
    <w:rsid w:val="15211C2B"/>
    <w:rsid w:val="15225EAA"/>
    <w:rsid w:val="15273705"/>
    <w:rsid w:val="15273F9C"/>
    <w:rsid w:val="15280A08"/>
    <w:rsid w:val="152B494E"/>
    <w:rsid w:val="152C0D1B"/>
    <w:rsid w:val="152D21D3"/>
    <w:rsid w:val="1536685F"/>
    <w:rsid w:val="153800CF"/>
    <w:rsid w:val="1539337C"/>
    <w:rsid w:val="154047C7"/>
    <w:rsid w:val="1540687E"/>
    <w:rsid w:val="154F4A0A"/>
    <w:rsid w:val="15542020"/>
    <w:rsid w:val="155B515D"/>
    <w:rsid w:val="155D0ED5"/>
    <w:rsid w:val="155D7127"/>
    <w:rsid w:val="156009C5"/>
    <w:rsid w:val="15604521"/>
    <w:rsid w:val="15610299"/>
    <w:rsid w:val="1569600E"/>
    <w:rsid w:val="156B2D54"/>
    <w:rsid w:val="156C0FD0"/>
    <w:rsid w:val="1571358E"/>
    <w:rsid w:val="157C0F10"/>
    <w:rsid w:val="157F5AE9"/>
    <w:rsid w:val="158B1366"/>
    <w:rsid w:val="158C17BA"/>
    <w:rsid w:val="15933FC9"/>
    <w:rsid w:val="15945BD8"/>
    <w:rsid w:val="15A46B04"/>
    <w:rsid w:val="15A765F4"/>
    <w:rsid w:val="15AE34DE"/>
    <w:rsid w:val="15AE7982"/>
    <w:rsid w:val="15AF7257"/>
    <w:rsid w:val="15B27C83"/>
    <w:rsid w:val="15B4298A"/>
    <w:rsid w:val="15C076B6"/>
    <w:rsid w:val="15C2342E"/>
    <w:rsid w:val="15C86F27"/>
    <w:rsid w:val="15C90318"/>
    <w:rsid w:val="15C965B4"/>
    <w:rsid w:val="15D11219"/>
    <w:rsid w:val="15D23CCD"/>
    <w:rsid w:val="15D47330"/>
    <w:rsid w:val="15D6261D"/>
    <w:rsid w:val="15E16159"/>
    <w:rsid w:val="15E44D75"/>
    <w:rsid w:val="15E52C78"/>
    <w:rsid w:val="15E55653"/>
    <w:rsid w:val="15EA5BD2"/>
    <w:rsid w:val="15ED4C0D"/>
    <w:rsid w:val="15F1161D"/>
    <w:rsid w:val="15F31284"/>
    <w:rsid w:val="15F34558"/>
    <w:rsid w:val="15F8662E"/>
    <w:rsid w:val="15FD4107"/>
    <w:rsid w:val="15FE1933"/>
    <w:rsid w:val="1602382A"/>
    <w:rsid w:val="16087E1D"/>
    <w:rsid w:val="16100520"/>
    <w:rsid w:val="16104199"/>
    <w:rsid w:val="161720CF"/>
    <w:rsid w:val="16193209"/>
    <w:rsid w:val="161A7D77"/>
    <w:rsid w:val="16221331"/>
    <w:rsid w:val="16226BBD"/>
    <w:rsid w:val="162714E3"/>
    <w:rsid w:val="164215E6"/>
    <w:rsid w:val="164C0F14"/>
    <w:rsid w:val="16525639"/>
    <w:rsid w:val="16552777"/>
    <w:rsid w:val="165D6CB3"/>
    <w:rsid w:val="16671013"/>
    <w:rsid w:val="167214D2"/>
    <w:rsid w:val="167A2A3F"/>
    <w:rsid w:val="167A7865"/>
    <w:rsid w:val="167E337C"/>
    <w:rsid w:val="167F12F4"/>
    <w:rsid w:val="16824E45"/>
    <w:rsid w:val="16866209"/>
    <w:rsid w:val="16870995"/>
    <w:rsid w:val="168801D3"/>
    <w:rsid w:val="168C6CAB"/>
    <w:rsid w:val="169104A3"/>
    <w:rsid w:val="16930926"/>
    <w:rsid w:val="169E17A5"/>
    <w:rsid w:val="16A17133"/>
    <w:rsid w:val="16A239F0"/>
    <w:rsid w:val="16A65C05"/>
    <w:rsid w:val="16A947D3"/>
    <w:rsid w:val="16A95FB0"/>
    <w:rsid w:val="16A97EE1"/>
    <w:rsid w:val="16AA3D7D"/>
    <w:rsid w:val="16AA5385"/>
    <w:rsid w:val="16AB2114"/>
    <w:rsid w:val="16B0772A"/>
    <w:rsid w:val="16B311A4"/>
    <w:rsid w:val="16B8519F"/>
    <w:rsid w:val="16BC3FE0"/>
    <w:rsid w:val="16BE6656"/>
    <w:rsid w:val="16C7125F"/>
    <w:rsid w:val="16C848EF"/>
    <w:rsid w:val="16CA07EC"/>
    <w:rsid w:val="16CA259A"/>
    <w:rsid w:val="16CC200A"/>
    <w:rsid w:val="16D37283"/>
    <w:rsid w:val="16D52CED"/>
    <w:rsid w:val="16D849B0"/>
    <w:rsid w:val="16DF7733"/>
    <w:rsid w:val="16E01DBD"/>
    <w:rsid w:val="16E77551"/>
    <w:rsid w:val="16EA0415"/>
    <w:rsid w:val="17041A51"/>
    <w:rsid w:val="17050E64"/>
    <w:rsid w:val="1706559C"/>
    <w:rsid w:val="170961D4"/>
    <w:rsid w:val="170A508C"/>
    <w:rsid w:val="171001C9"/>
    <w:rsid w:val="17123F41"/>
    <w:rsid w:val="17141A67"/>
    <w:rsid w:val="171D6F79"/>
    <w:rsid w:val="172311CA"/>
    <w:rsid w:val="1728765F"/>
    <w:rsid w:val="172E1F8A"/>
    <w:rsid w:val="173079FD"/>
    <w:rsid w:val="173C10D1"/>
    <w:rsid w:val="173D7ECA"/>
    <w:rsid w:val="17430B04"/>
    <w:rsid w:val="174312CB"/>
    <w:rsid w:val="17444901"/>
    <w:rsid w:val="174E0C78"/>
    <w:rsid w:val="174F1B03"/>
    <w:rsid w:val="17540E4C"/>
    <w:rsid w:val="17556BAC"/>
    <w:rsid w:val="176302F9"/>
    <w:rsid w:val="1767428D"/>
    <w:rsid w:val="176C34D8"/>
    <w:rsid w:val="17701D14"/>
    <w:rsid w:val="17735226"/>
    <w:rsid w:val="1773582D"/>
    <w:rsid w:val="17740758"/>
    <w:rsid w:val="17763DC2"/>
    <w:rsid w:val="1779567C"/>
    <w:rsid w:val="177B5642"/>
    <w:rsid w:val="178065ED"/>
    <w:rsid w:val="17813E0E"/>
    <w:rsid w:val="17817AC7"/>
    <w:rsid w:val="17860A7E"/>
    <w:rsid w:val="1787048B"/>
    <w:rsid w:val="178C784F"/>
    <w:rsid w:val="17914E66"/>
    <w:rsid w:val="179E26DB"/>
    <w:rsid w:val="17A032FB"/>
    <w:rsid w:val="17A10E21"/>
    <w:rsid w:val="17A821AF"/>
    <w:rsid w:val="17AB51FB"/>
    <w:rsid w:val="17AE3CDD"/>
    <w:rsid w:val="17B1375A"/>
    <w:rsid w:val="17B7090E"/>
    <w:rsid w:val="17B76721"/>
    <w:rsid w:val="17BD027B"/>
    <w:rsid w:val="17C90AA4"/>
    <w:rsid w:val="17CB2112"/>
    <w:rsid w:val="17CC6F89"/>
    <w:rsid w:val="17CE4184"/>
    <w:rsid w:val="17D564E4"/>
    <w:rsid w:val="17D734C7"/>
    <w:rsid w:val="17D75D7F"/>
    <w:rsid w:val="17DB2585"/>
    <w:rsid w:val="17DD454F"/>
    <w:rsid w:val="17E30D6D"/>
    <w:rsid w:val="17E94CA2"/>
    <w:rsid w:val="17EB07C7"/>
    <w:rsid w:val="17EB6C6C"/>
    <w:rsid w:val="17ED7AA9"/>
    <w:rsid w:val="17EE78BD"/>
    <w:rsid w:val="17F1593F"/>
    <w:rsid w:val="17F17FFA"/>
    <w:rsid w:val="18016469"/>
    <w:rsid w:val="18027B12"/>
    <w:rsid w:val="18027D54"/>
    <w:rsid w:val="18090EA0"/>
    <w:rsid w:val="180D4CD7"/>
    <w:rsid w:val="180F222F"/>
    <w:rsid w:val="1812011E"/>
    <w:rsid w:val="18136C2D"/>
    <w:rsid w:val="18147845"/>
    <w:rsid w:val="18185587"/>
    <w:rsid w:val="181F0AA9"/>
    <w:rsid w:val="18216A70"/>
    <w:rsid w:val="18250A27"/>
    <w:rsid w:val="18306AB5"/>
    <w:rsid w:val="18421907"/>
    <w:rsid w:val="18422604"/>
    <w:rsid w:val="18455C50"/>
    <w:rsid w:val="18475E6C"/>
    <w:rsid w:val="185D11EC"/>
    <w:rsid w:val="18624A54"/>
    <w:rsid w:val="186A0E96"/>
    <w:rsid w:val="18732EE3"/>
    <w:rsid w:val="187C3D68"/>
    <w:rsid w:val="188622FA"/>
    <w:rsid w:val="1887378A"/>
    <w:rsid w:val="188B7B07"/>
    <w:rsid w:val="188C3A80"/>
    <w:rsid w:val="188C7154"/>
    <w:rsid w:val="189440E7"/>
    <w:rsid w:val="189A30ED"/>
    <w:rsid w:val="189B0F62"/>
    <w:rsid w:val="189F624C"/>
    <w:rsid w:val="18AD3F21"/>
    <w:rsid w:val="18AD58E7"/>
    <w:rsid w:val="18B2778A"/>
    <w:rsid w:val="18B40068"/>
    <w:rsid w:val="18B43325"/>
    <w:rsid w:val="18BC1226"/>
    <w:rsid w:val="18C80D5B"/>
    <w:rsid w:val="18C96E4C"/>
    <w:rsid w:val="18CD45C3"/>
    <w:rsid w:val="18D07816"/>
    <w:rsid w:val="18D45952"/>
    <w:rsid w:val="18D771F0"/>
    <w:rsid w:val="18E454B9"/>
    <w:rsid w:val="18E91412"/>
    <w:rsid w:val="18F356AC"/>
    <w:rsid w:val="18F470D3"/>
    <w:rsid w:val="18F720F3"/>
    <w:rsid w:val="18FE6837"/>
    <w:rsid w:val="18FF4051"/>
    <w:rsid w:val="190E2D74"/>
    <w:rsid w:val="190F158D"/>
    <w:rsid w:val="191061F1"/>
    <w:rsid w:val="19140BA8"/>
    <w:rsid w:val="19155A3E"/>
    <w:rsid w:val="19175E02"/>
    <w:rsid w:val="191B35D0"/>
    <w:rsid w:val="191E2F8B"/>
    <w:rsid w:val="19212BB3"/>
    <w:rsid w:val="192252A0"/>
    <w:rsid w:val="192F4E41"/>
    <w:rsid w:val="19306658"/>
    <w:rsid w:val="1932246C"/>
    <w:rsid w:val="19334B3D"/>
    <w:rsid w:val="1934019F"/>
    <w:rsid w:val="19352849"/>
    <w:rsid w:val="193622D8"/>
    <w:rsid w:val="193B39B3"/>
    <w:rsid w:val="193B6B04"/>
    <w:rsid w:val="193C1CDB"/>
    <w:rsid w:val="19432476"/>
    <w:rsid w:val="19457133"/>
    <w:rsid w:val="195070AB"/>
    <w:rsid w:val="19526C77"/>
    <w:rsid w:val="19545BF2"/>
    <w:rsid w:val="195645B9"/>
    <w:rsid w:val="19573E8D"/>
    <w:rsid w:val="195846A8"/>
    <w:rsid w:val="195A572B"/>
    <w:rsid w:val="19616685"/>
    <w:rsid w:val="19622F5E"/>
    <w:rsid w:val="19762565"/>
    <w:rsid w:val="1977008B"/>
    <w:rsid w:val="1977321F"/>
    <w:rsid w:val="197D38E3"/>
    <w:rsid w:val="19802744"/>
    <w:rsid w:val="19814DA7"/>
    <w:rsid w:val="198937BC"/>
    <w:rsid w:val="198B6D5B"/>
    <w:rsid w:val="198D3D53"/>
    <w:rsid w:val="198F49A9"/>
    <w:rsid w:val="199332F6"/>
    <w:rsid w:val="199926F8"/>
    <w:rsid w:val="19A90B8D"/>
    <w:rsid w:val="19A93778"/>
    <w:rsid w:val="19AC1C8E"/>
    <w:rsid w:val="19AC5F87"/>
    <w:rsid w:val="19AF7825"/>
    <w:rsid w:val="19B24CE4"/>
    <w:rsid w:val="19B46E78"/>
    <w:rsid w:val="19BE3F0C"/>
    <w:rsid w:val="19CB7118"/>
    <w:rsid w:val="19CF6119"/>
    <w:rsid w:val="19CF6B1C"/>
    <w:rsid w:val="19D12263"/>
    <w:rsid w:val="19D76D7C"/>
    <w:rsid w:val="19DB686C"/>
    <w:rsid w:val="19DE3827"/>
    <w:rsid w:val="19DE56BA"/>
    <w:rsid w:val="19E21F67"/>
    <w:rsid w:val="19E60D5F"/>
    <w:rsid w:val="19EA1DF8"/>
    <w:rsid w:val="19EC0A79"/>
    <w:rsid w:val="19ED66F3"/>
    <w:rsid w:val="19EF5A99"/>
    <w:rsid w:val="19F77872"/>
    <w:rsid w:val="19FD1A2C"/>
    <w:rsid w:val="19FE07AD"/>
    <w:rsid w:val="19FF1D60"/>
    <w:rsid w:val="1A004B69"/>
    <w:rsid w:val="1A044015"/>
    <w:rsid w:val="1A057015"/>
    <w:rsid w:val="1A0A53A3"/>
    <w:rsid w:val="1A0A5C1B"/>
    <w:rsid w:val="1A0C14D1"/>
    <w:rsid w:val="1A136006"/>
    <w:rsid w:val="1A1678A4"/>
    <w:rsid w:val="1A1A7675"/>
    <w:rsid w:val="1A1C66C0"/>
    <w:rsid w:val="1A253F8B"/>
    <w:rsid w:val="1A2C531A"/>
    <w:rsid w:val="1A2D7AAA"/>
    <w:rsid w:val="1A3E0932"/>
    <w:rsid w:val="1A3E4845"/>
    <w:rsid w:val="1A42393B"/>
    <w:rsid w:val="1A4239CB"/>
    <w:rsid w:val="1A4D6898"/>
    <w:rsid w:val="1A50725A"/>
    <w:rsid w:val="1A582E70"/>
    <w:rsid w:val="1A5A2DE1"/>
    <w:rsid w:val="1A5F6A15"/>
    <w:rsid w:val="1A6C1BBA"/>
    <w:rsid w:val="1A6E7F98"/>
    <w:rsid w:val="1A710E2A"/>
    <w:rsid w:val="1A714D3D"/>
    <w:rsid w:val="1A7A7E33"/>
    <w:rsid w:val="1A7B0F93"/>
    <w:rsid w:val="1A826D31"/>
    <w:rsid w:val="1A8962C8"/>
    <w:rsid w:val="1A8A3DEE"/>
    <w:rsid w:val="1A8B60F3"/>
    <w:rsid w:val="1A905843"/>
    <w:rsid w:val="1A96061B"/>
    <w:rsid w:val="1A995465"/>
    <w:rsid w:val="1A9A4026"/>
    <w:rsid w:val="1A9C647F"/>
    <w:rsid w:val="1A9F5AEC"/>
    <w:rsid w:val="1AA0767C"/>
    <w:rsid w:val="1AA1138B"/>
    <w:rsid w:val="1AAD45DE"/>
    <w:rsid w:val="1AB8095B"/>
    <w:rsid w:val="1ABA46D4"/>
    <w:rsid w:val="1ABC412F"/>
    <w:rsid w:val="1ABF7180"/>
    <w:rsid w:val="1ABF7F3C"/>
    <w:rsid w:val="1AC75042"/>
    <w:rsid w:val="1ACB4A8B"/>
    <w:rsid w:val="1ACB4B33"/>
    <w:rsid w:val="1ACF421E"/>
    <w:rsid w:val="1ACF4EEE"/>
    <w:rsid w:val="1AE532C2"/>
    <w:rsid w:val="1AE6371B"/>
    <w:rsid w:val="1AE75AAF"/>
    <w:rsid w:val="1AE87493"/>
    <w:rsid w:val="1AE92581"/>
    <w:rsid w:val="1AED4AA9"/>
    <w:rsid w:val="1AFA2B88"/>
    <w:rsid w:val="1AFA63AD"/>
    <w:rsid w:val="1AFC4CEC"/>
    <w:rsid w:val="1B046F80"/>
    <w:rsid w:val="1B0523FF"/>
    <w:rsid w:val="1B0B4F2F"/>
    <w:rsid w:val="1B0D6EF9"/>
    <w:rsid w:val="1B0E67CD"/>
    <w:rsid w:val="1B1436F0"/>
    <w:rsid w:val="1B234C9B"/>
    <w:rsid w:val="1B276DCF"/>
    <w:rsid w:val="1B2840D9"/>
    <w:rsid w:val="1B2A7C8E"/>
    <w:rsid w:val="1B2B737F"/>
    <w:rsid w:val="1B3267B5"/>
    <w:rsid w:val="1B3A6F73"/>
    <w:rsid w:val="1B3E7FE4"/>
    <w:rsid w:val="1B40161D"/>
    <w:rsid w:val="1B410951"/>
    <w:rsid w:val="1B441859"/>
    <w:rsid w:val="1B45265B"/>
    <w:rsid w:val="1B4747B6"/>
    <w:rsid w:val="1B490E98"/>
    <w:rsid w:val="1B4D553A"/>
    <w:rsid w:val="1B4F12C0"/>
    <w:rsid w:val="1B522B5E"/>
    <w:rsid w:val="1B544B28"/>
    <w:rsid w:val="1B5508A0"/>
    <w:rsid w:val="1B5563F0"/>
    <w:rsid w:val="1B5565C8"/>
    <w:rsid w:val="1B5C1C2F"/>
    <w:rsid w:val="1B6606B1"/>
    <w:rsid w:val="1B682381"/>
    <w:rsid w:val="1B695789"/>
    <w:rsid w:val="1B732BA1"/>
    <w:rsid w:val="1B762CF0"/>
    <w:rsid w:val="1B7658E2"/>
    <w:rsid w:val="1B7D6BEA"/>
    <w:rsid w:val="1B8120B5"/>
    <w:rsid w:val="1B87021B"/>
    <w:rsid w:val="1B9F38C9"/>
    <w:rsid w:val="1BA20491"/>
    <w:rsid w:val="1BAA0AF2"/>
    <w:rsid w:val="1BAA0BEC"/>
    <w:rsid w:val="1BAC3E4E"/>
    <w:rsid w:val="1BB14E59"/>
    <w:rsid w:val="1BBB416A"/>
    <w:rsid w:val="1BBD01E0"/>
    <w:rsid w:val="1BC83936"/>
    <w:rsid w:val="1BCF4B8C"/>
    <w:rsid w:val="1BD14514"/>
    <w:rsid w:val="1BD417C5"/>
    <w:rsid w:val="1BD619E1"/>
    <w:rsid w:val="1BDC68CC"/>
    <w:rsid w:val="1BDE124D"/>
    <w:rsid w:val="1BE3033D"/>
    <w:rsid w:val="1BE7774A"/>
    <w:rsid w:val="1BEC092D"/>
    <w:rsid w:val="1BF30ADC"/>
    <w:rsid w:val="1BFB31F6"/>
    <w:rsid w:val="1BFC7309"/>
    <w:rsid w:val="1C0C4C1E"/>
    <w:rsid w:val="1C0C71B1"/>
    <w:rsid w:val="1C18299F"/>
    <w:rsid w:val="1C1E6EE4"/>
    <w:rsid w:val="1C250273"/>
    <w:rsid w:val="1C253471"/>
    <w:rsid w:val="1C38518D"/>
    <w:rsid w:val="1C3C426C"/>
    <w:rsid w:val="1C3E1334"/>
    <w:rsid w:val="1C4306F9"/>
    <w:rsid w:val="1C451E8D"/>
    <w:rsid w:val="1C4A101B"/>
    <w:rsid w:val="1C4E0858"/>
    <w:rsid w:val="1C4F52EF"/>
    <w:rsid w:val="1C592FF9"/>
    <w:rsid w:val="1C5D6CE6"/>
    <w:rsid w:val="1C5E7925"/>
    <w:rsid w:val="1C67332C"/>
    <w:rsid w:val="1C6D688A"/>
    <w:rsid w:val="1C6E7E6B"/>
    <w:rsid w:val="1C6F417C"/>
    <w:rsid w:val="1C71317B"/>
    <w:rsid w:val="1C751B4D"/>
    <w:rsid w:val="1C783E1E"/>
    <w:rsid w:val="1C796CC0"/>
    <w:rsid w:val="1C7D5C81"/>
    <w:rsid w:val="1C8165C7"/>
    <w:rsid w:val="1C827766"/>
    <w:rsid w:val="1C8925AF"/>
    <w:rsid w:val="1C8B186A"/>
    <w:rsid w:val="1C96041C"/>
    <w:rsid w:val="1C9E08E0"/>
    <w:rsid w:val="1CA34F4C"/>
    <w:rsid w:val="1CAA0778"/>
    <w:rsid w:val="1CAD4631"/>
    <w:rsid w:val="1CB17D58"/>
    <w:rsid w:val="1CB841CA"/>
    <w:rsid w:val="1CBD0BF0"/>
    <w:rsid w:val="1CC11027"/>
    <w:rsid w:val="1CC1746F"/>
    <w:rsid w:val="1CC31F3D"/>
    <w:rsid w:val="1CC45CDD"/>
    <w:rsid w:val="1CCA6B98"/>
    <w:rsid w:val="1CCE5D2E"/>
    <w:rsid w:val="1CCF6669"/>
    <w:rsid w:val="1CDA72AF"/>
    <w:rsid w:val="1CE04199"/>
    <w:rsid w:val="1CE161F5"/>
    <w:rsid w:val="1CE27781"/>
    <w:rsid w:val="1CE42735"/>
    <w:rsid w:val="1CE72814"/>
    <w:rsid w:val="1CE82086"/>
    <w:rsid w:val="1CEB326A"/>
    <w:rsid w:val="1CEB65DF"/>
    <w:rsid w:val="1CEC2B3E"/>
    <w:rsid w:val="1CF33784"/>
    <w:rsid w:val="1CF617BC"/>
    <w:rsid w:val="1CF917A7"/>
    <w:rsid w:val="1CFB15A0"/>
    <w:rsid w:val="1CFD070F"/>
    <w:rsid w:val="1D0600A4"/>
    <w:rsid w:val="1D076D5E"/>
    <w:rsid w:val="1D084214"/>
    <w:rsid w:val="1D0E0D07"/>
    <w:rsid w:val="1D126D38"/>
    <w:rsid w:val="1D152095"/>
    <w:rsid w:val="1D225A6E"/>
    <w:rsid w:val="1D270E9D"/>
    <w:rsid w:val="1D273A22"/>
    <w:rsid w:val="1D3342DB"/>
    <w:rsid w:val="1D36584D"/>
    <w:rsid w:val="1D4E4115"/>
    <w:rsid w:val="1D552DD9"/>
    <w:rsid w:val="1D571E02"/>
    <w:rsid w:val="1D5B4DC6"/>
    <w:rsid w:val="1D5F6196"/>
    <w:rsid w:val="1D6132A5"/>
    <w:rsid w:val="1D7165FD"/>
    <w:rsid w:val="1D794860"/>
    <w:rsid w:val="1D7B4A10"/>
    <w:rsid w:val="1D7B65A1"/>
    <w:rsid w:val="1D7C1643"/>
    <w:rsid w:val="1D7D4F81"/>
    <w:rsid w:val="1D7F16EB"/>
    <w:rsid w:val="1D814DB7"/>
    <w:rsid w:val="1D816DBF"/>
    <w:rsid w:val="1D862F93"/>
    <w:rsid w:val="1D8B05A9"/>
    <w:rsid w:val="1D8E56D5"/>
    <w:rsid w:val="1D8F38EF"/>
    <w:rsid w:val="1D90796E"/>
    <w:rsid w:val="1D917260"/>
    <w:rsid w:val="1D963C5A"/>
    <w:rsid w:val="1D9873A5"/>
    <w:rsid w:val="1D9A259A"/>
    <w:rsid w:val="1D9B34A2"/>
    <w:rsid w:val="1DA70300"/>
    <w:rsid w:val="1DAF315C"/>
    <w:rsid w:val="1DB25B36"/>
    <w:rsid w:val="1DB751AC"/>
    <w:rsid w:val="1DBC69B5"/>
    <w:rsid w:val="1DBD61A7"/>
    <w:rsid w:val="1DC31D56"/>
    <w:rsid w:val="1DC35F95"/>
    <w:rsid w:val="1DC37D43"/>
    <w:rsid w:val="1DC6338F"/>
    <w:rsid w:val="1DCB7E93"/>
    <w:rsid w:val="1DD31078"/>
    <w:rsid w:val="1DD91315"/>
    <w:rsid w:val="1DD957B9"/>
    <w:rsid w:val="1DD979BE"/>
    <w:rsid w:val="1DE047C6"/>
    <w:rsid w:val="1DE877AA"/>
    <w:rsid w:val="1DE93768"/>
    <w:rsid w:val="1DF75C3F"/>
    <w:rsid w:val="1DF84CBF"/>
    <w:rsid w:val="1DFB5164"/>
    <w:rsid w:val="1E036392"/>
    <w:rsid w:val="1E054CC9"/>
    <w:rsid w:val="1E067C30"/>
    <w:rsid w:val="1E0A3BC4"/>
    <w:rsid w:val="1E0C0B57"/>
    <w:rsid w:val="1E0C16EA"/>
    <w:rsid w:val="1E0D5462"/>
    <w:rsid w:val="1E115081"/>
    <w:rsid w:val="1E195BB5"/>
    <w:rsid w:val="1E1F222A"/>
    <w:rsid w:val="1E220F0E"/>
    <w:rsid w:val="1E2419AF"/>
    <w:rsid w:val="1E262080"/>
    <w:rsid w:val="1E2B113A"/>
    <w:rsid w:val="1E326C0D"/>
    <w:rsid w:val="1E342A1C"/>
    <w:rsid w:val="1E34479D"/>
    <w:rsid w:val="1E380731"/>
    <w:rsid w:val="1E392745"/>
    <w:rsid w:val="1E393859"/>
    <w:rsid w:val="1E3B1FCF"/>
    <w:rsid w:val="1E3D2E33"/>
    <w:rsid w:val="1E4221DE"/>
    <w:rsid w:val="1E52011B"/>
    <w:rsid w:val="1E526701"/>
    <w:rsid w:val="1E535688"/>
    <w:rsid w:val="1E537319"/>
    <w:rsid w:val="1E634270"/>
    <w:rsid w:val="1E6428E0"/>
    <w:rsid w:val="1E664002"/>
    <w:rsid w:val="1E674B72"/>
    <w:rsid w:val="1E727739"/>
    <w:rsid w:val="1E7A4110"/>
    <w:rsid w:val="1E7A43DA"/>
    <w:rsid w:val="1E7B6870"/>
    <w:rsid w:val="1E7E1EBC"/>
    <w:rsid w:val="1E7E3C6A"/>
    <w:rsid w:val="1E806D8A"/>
    <w:rsid w:val="1E831280"/>
    <w:rsid w:val="1E8759F3"/>
    <w:rsid w:val="1E8A260F"/>
    <w:rsid w:val="1E950C29"/>
    <w:rsid w:val="1E965B18"/>
    <w:rsid w:val="1E983954"/>
    <w:rsid w:val="1E9C1F92"/>
    <w:rsid w:val="1E9C767B"/>
    <w:rsid w:val="1E9D139F"/>
    <w:rsid w:val="1EA27A4D"/>
    <w:rsid w:val="1EA41923"/>
    <w:rsid w:val="1EA825AB"/>
    <w:rsid w:val="1EAE2DD9"/>
    <w:rsid w:val="1EB57234"/>
    <w:rsid w:val="1EC43D73"/>
    <w:rsid w:val="1EC54878"/>
    <w:rsid w:val="1ECA1DD5"/>
    <w:rsid w:val="1ECA5FEF"/>
    <w:rsid w:val="1ED0096A"/>
    <w:rsid w:val="1EDB2E6A"/>
    <w:rsid w:val="1EDD1822"/>
    <w:rsid w:val="1EDE67E5"/>
    <w:rsid w:val="1EE2069D"/>
    <w:rsid w:val="1EE30CEA"/>
    <w:rsid w:val="1EEF72D8"/>
    <w:rsid w:val="1EF1354B"/>
    <w:rsid w:val="1EF13911"/>
    <w:rsid w:val="1EF5217E"/>
    <w:rsid w:val="1EFC175F"/>
    <w:rsid w:val="1EFF07F4"/>
    <w:rsid w:val="1F017D5D"/>
    <w:rsid w:val="1F081BD7"/>
    <w:rsid w:val="1F10520A"/>
    <w:rsid w:val="1F152820"/>
    <w:rsid w:val="1F196E7F"/>
    <w:rsid w:val="1F204D21"/>
    <w:rsid w:val="1F244811"/>
    <w:rsid w:val="1F2C5F1E"/>
    <w:rsid w:val="1F2D4DD8"/>
    <w:rsid w:val="1F30765A"/>
    <w:rsid w:val="1F310441"/>
    <w:rsid w:val="1F354072"/>
    <w:rsid w:val="1F3A5DE3"/>
    <w:rsid w:val="1F3F164B"/>
    <w:rsid w:val="1F4B6242"/>
    <w:rsid w:val="1F4E5D32"/>
    <w:rsid w:val="1F502710"/>
    <w:rsid w:val="1F511F82"/>
    <w:rsid w:val="1F51492C"/>
    <w:rsid w:val="1F63002C"/>
    <w:rsid w:val="1F64288F"/>
    <w:rsid w:val="1F7A63FD"/>
    <w:rsid w:val="1F7B1B7C"/>
    <w:rsid w:val="1F802E8E"/>
    <w:rsid w:val="1F817EB6"/>
    <w:rsid w:val="1F841754"/>
    <w:rsid w:val="1F8800CF"/>
    <w:rsid w:val="1F8A5DA8"/>
    <w:rsid w:val="1F8B1FA7"/>
    <w:rsid w:val="1F903C55"/>
    <w:rsid w:val="1F9C5E34"/>
    <w:rsid w:val="1F9D69FC"/>
    <w:rsid w:val="1F9E4E56"/>
    <w:rsid w:val="1FA47700"/>
    <w:rsid w:val="1FAF67D1"/>
    <w:rsid w:val="1FB2006F"/>
    <w:rsid w:val="1FB77434"/>
    <w:rsid w:val="1FB9734B"/>
    <w:rsid w:val="1FBB4BD6"/>
    <w:rsid w:val="1FC61FBB"/>
    <w:rsid w:val="1FCD4EA9"/>
    <w:rsid w:val="1FD10527"/>
    <w:rsid w:val="1FD47FE6"/>
    <w:rsid w:val="1FD9384E"/>
    <w:rsid w:val="1FDB3B0B"/>
    <w:rsid w:val="1FE548C7"/>
    <w:rsid w:val="1FE70AFA"/>
    <w:rsid w:val="1FE7539E"/>
    <w:rsid w:val="1FF97A4C"/>
    <w:rsid w:val="1FFB1A16"/>
    <w:rsid w:val="20052895"/>
    <w:rsid w:val="200B5F1D"/>
    <w:rsid w:val="201B3E66"/>
    <w:rsid w:val="201E3957"/>
    <w:rsid w:val="201F4F8C"/>
    <w:rsid w:val="20250841"/>
    <w:rsid w:val="202C4C92"/>
    <w:rsid w:val="20322F5E"/>
    <w:rsid w:val="20347C60"/>
    <w:rsid w:val="20365F39"/>
    <w:rsid w:val="2037160E"/>
    <w:rsid w:val="20450EE3"/>
    <w:rsid w:val="20466E53"/>
    <w:rsid w:val="204D5FEA"/>
    <w:rsid w:val="204E53F7"/>
    <w:rsid w:val="205245F4"/>
    <w:rsid w:val="20601879"/>
    <w:rsid w:val="20621A95"/>
    <w:rsid w:val="206524E5"/>
    <w:rsid w:val="20671BE0"/>
    <w:rsid w:val="20673EB8"/>
    <w:rsid w:val="206A26F8"/>
    <w:rsid w:val="206D3F96"/>
    <w:rsid w:val="206E6121"/>
    <w:rsid w:val="20775413"/>
    <w:rsid w:val="207B2B57"/>
    <w:rsid w:val="207B4905"/>
    <w:rsid w:val="208631DE"/>
    <w:rsid w:val="20947775"/>
    <w:rsid w:val="20963CB8"/>
    <w:rsid w:val="20A235B8"/>
    <w:rsid w:val="20A51982"/>
    <w:rsid w:val="20A65B06"/>
    <w:rsid w:val="20A7715D"/>
    <w:rsid w:val="20A81A1B"/>
    <w:rsid w:val="20AF683C"/>
    <w:rsid w:val="20B06D0A"/>
    <w:rsid w:val="20B07FB6"/>
    <w:rsid w:val="20B646FB"/>
    <w:rsid w:val="20B6593D"/>
    <w:rsid w:val="20B70619"/>
    <w:rsid w:val="20C473D6"/>
    <w:rsid w:val="20C53DD2"/>
    <w:rsid w:val="20C61E70"/>
    <w:rsid w:val="20CB083F"/>
    <w:rsid w:val="20CF69FF"/>
    <w:rsid w:val="20D504B9"/>
    <w:rsid w:val="20D93FCC"/>
    <w:rsid w:val="20DB53A4"/>
    <w:rsid w:val="20DC7CCA"/>
    <w:rsid w:val="20DD736E"/>
    <w:rsid w:val="20E41F8D"/>
    <w:rsid w:val="20E83BDD"/>
    <w:rsid w:val="20EE157B"/>
    <w:rsid w:val="20EE50D7"/>
    <w:rsid w:val="20F11D81"/>
    <w:rsid w:val="20F14BC7"/>
    <w:rsid w:val="20F51A7A"/>
    <w:rsid w:val="20F6042F"/>
    <w:rsid w:val="20F956A3"/>
    <w:rsid w:val="20FD6F5D"/>
    <w:rsid w:val="210668C5"/>
    <w:rsid w:val="210C783E"/>
    <w:rsid w:val="210F504D"/>
    <w:rsid w:val="21107C54"/>
    <w:rsid w:val="21154D5A"/>
    <w:rsid w:val="21155E4F"/>
    <w:rsid w:val="21166A94"/>
    <w:rsid w:val="21167D9E"/>
    <w:rsid w:val="211846B7"/>
    <w:rsid w:val="21275C65"/>
    <w:rsid w:val="212C128C"/>
    <w:rsid w:val="212E5E1B"/>
    <w:rsid w:val="21303453"/>
    <w:rsid w:val="21303941"/>
    <w:rsid w:val="2136082C"/>
    <w:rsid w:val="213B74B1"/>
    <w:rsid w:val="213D54C1"/>
    <w:rsid w:val="213F5933"/>
    <w:rsid w:val="21435E4B"/>
    <w:rsid w:val="21442F49"/>
    <w:rsid w:val="21457588"/>
    <w:rsid w:val="214815A8"/>
    <w:rsid w:val="21486EDD"/>
    <w:rsid w:val="214B2529"/>
    <w:rsid w:val="215319AD"/>
    <w:rsid w:val="2153584A"/>
    <w:rsid w:val="21582E98"/>
    <w:rsid w:val="2159704D"/>
    <w:rsid w:val="215A2310"/>
    <w:rsid w:val="215C4736"/>
    <w:rsid w:val="215E639F"/>
    <w:rsid w:val="216B497A"/>
    <w:rsid w:val="216E7FC6"/>
    <w:rsid w:val="21702385"/>
    <w:rsid w:val="217575A6"/>
    <w:rsid w:val="21787096"/>
    <w:rsid w:val="217A775E"/>
    <w:rsid w:val="21845A3B"/>
    <w:rsid w:val="21863561"/>
    <w:rsid w:val="21871088"/>
    <w:rsid w:val="218839EC"/>
    <w:rsid w:val="21921F06"/>
    <w:rsid w:val="21957C48"/>
    <w:rsid w:val="219A6A7B"/>
    <w:rsid w:val="219C2F65"/>
    <w:rsid w:val="219C6421"/>
    <w:rsid w:val="21A43E37"/>
    <w:rsid w:val="21A97250"/>
    <w:rsid w:val="21AA2DB3"/>
    <w:rsid w:val="21AD6D40"/>
    <w:rsid w:val="21B24356"/>
    <w:rsid w:val="21B70496"/>
    <w:rsid w:val="21BA76AF"/>
    <w:rsid w:val="21BC576A"/>
    <w:rsid w:val="21BF0821"/>
    <w:rsid w:val="21C010A5"/>
    <w:rsid w:val="21D01DDA"/>
    <w:rsid w:val="21D172DC"/>
    <w:rsid w:val="21D4251F"/>
    <w:rsid w:val="21D47F5E"/>
    <w:rsid w:val="21D534C8"/>
    <w:rsid w:val="21D9264D"/>
    <w:rsid w:val="21DE318A"/>
    <w:rsid w:val="21E14C3C"/>
    <w:rsid w:val="21E169EA"/>
    <w:rsid w:val="21E87D78"/>
    <w:rsid w:val="21E93AF0"/>
    <w:rsid w:val="21E95CE4"/>
    <w:rsid w:val="21EA27D2"/>
    <w:rsid w:val="21EC4122"/>
    <w:rsid w:val="21EF5B80"/>
    <w:rsid w:val="21F26B5D"/>
    <w:rsid w:val="21F73A2D"/>
    <w:rsid w:val="21F872EB"/>
    <w:rsid w:val="22023A3F"/>
    <w:rsid w:val="220A5F40"/>
    <w:rsid w:val="220C2FA2"/>
    <w:rsid w:val="22106C59"/>
    <w:rsid w:val="221072CF"/>
    <w:rsid w:val="22171248"/>
    <w:rsid w:val="2217240B"/>
    <w:rsid w:val="221F7512"/>
    <w:rsid w:val="222248DF"/>
    <w:rsid w:val="22230DB0"/>
    <w:rsid w:val="222D4B7C"/>
    <w:rsid w:val="22357465"/>
    <w:rsid w:val="223A511A"/>
    <w:rsid w:val="223B0D62"/>
    <w:rsid w:val="223B259E"/>
    <w:rsid w:val="224A27E1"/>
    <w:rsid w:val="224C6559"/>
    <w:rsid w:val="224D1A5F"/>
    <w:rsid w:val="224E784D"/>
    <w:rsid w:val="22525502"/>
    <w:rsid w:val="22525B39"/>
    <w:rsid w:val="22532A8E"/>
    <w:rsid w:val="2254426B"/>
    <w:rsid w:val="22576990"/>
    <w:rsid w:val="225777EA"/>
    <w:rsid w:val="225B679C"/>
    <w:rsid w:val="225C34E1"/>
    <w:rsid w:val="2265175A"/>
    <w:rsid w:val="226A4C31"/>
    <w:rsid w:val="226D64CF"/>
    <w:rsid w:val="226E1036"/>
    <w:rsid w:val="227D2BB6"/>
    <w:rsid w:val="227F4D69"/>
    <w:rsid w:val="228757AF"/>
    <w:rsid w:val="22885820"/>
    <w:rsid w:val="228D0B2B"/>
    <w:rsid w:val="229E781B"/>
    <w:rsid w:val="22A0050B"/>
    <w:rsid w:val="22A13A6D"/>
    <w:rsid w:val="22A46395"/>
    <w:rsid w:val="22AB1C1C"/>
    <w:rsid w:val="22B365D8"/>
    <w:rsid w:val="22B660C8"/>
    <w:rsid w:val="22B9432E"/>
    <w:rsid w:val="22BB548D"/>
    <w:rsid w:val="22C205C9"/>
    <w:rsid w:val="22C32F28"/>
    <w:rsid w:val="22C34341"/>
    <w:rsid w:val="22CA56D0"/>
    <w:rsid w:val="22D121FB"/>
    <w:rsid w:val="22D12F89"/>
    <w:rsid w:val="22D9192F"/>
    <w:rsid w:val="22DA41CE"/>
    <w:rsid w:val="22DB78DD"/>
    <w:rsid w:val="22E83DA8"/>
    <w:rsid w:val="22E973C1"/>
    <w:rsid w:val="22EC5646"/>
    <w:rsid w:val="22ED71CD"/>
    <w:rsid w:val="22F0540B"/>
    <w:rsid w:val="22F46501"/>
    <w:rsid w:val="22F47480"/>
    <w:rsid w:val="22FC32BB"/>
    <w:rsid w:val="22FD4884"/>
    <w:rsid w:val="23010E45"/>
    <w:rsid w:val="2302130E"/>
    <w:rsid w:val="230339DB"/>
    <w:rsid w:val="23042C3F"/>
    <w:rsid w:val="23052BAC"/>
    <w:rsid w:val="230722D5"/>
    <w:rsid w:val="23093BF2"/>
    <w:rsid w:val="23151041"/>
    <w:rsid w:val="2318643B"/>
    <w:rsid w:val="23270F67"/>
    <w:rsid w:val="232B2612"/>
    <w:rsid w:val="23353491"/>
    <w:rsid w:val="23386ADD"/>
    <w:rsid w:val="23403BE4"/>
    <w:rsid w:val="23451001"/>
    <w:rsid w:val="234C2589"/>
    <w:rsid w:val="234D4382"/>
    <w:rsid w:val="234D5002"/>
    <w:rsid w:val="23502079"/>
    <w:rsid w:val="23580F2E"/>
    <w:rsid w:val="235C0A1E"/>
    <w:rsid w:val="235D4796"/>
    <w:rsid w:val="235E3DED"/>
    <w:rsid w:val="23624DB5"/>
    <w:rsid w:val="236E3309"/>
    <w:rsid w:val="237377C7"/>
    <w:rsid w:val="23753F06"/>
    <w:rsid w:val="237C2E6E"/>
    <w:rsid w:val="238345EB"/>
    <w:rsid w:val="23867849"/>
    <w:rsid w:val="2398654C"/>
    <w:rsid w:val="239B2269"/>
    <w:rsid w:val="239E6529"/>
    <w:rsid w:val="239F08A1"/>
    <w:rsid w:val="23A260EE"/>
    <w:rsid w:val="23A756FE"/>
    <w:rsid w:val="23A92B1C"/>
    <w:rsid w:val="23AD2A56"/>
    <w:rsid w:val="23AF3E8B"/>
    <w:rsid w:val="23AF726E"/>
    <w:rsid w:val="23B02B18"/>
    <w:rsid w:val="23B27A99"/>
    <w:rsid w:val="23B60FC1"/>
    <w:rsid w:val="23C43527"/>
    <w:rsid w:val="23C74E66"/>
    <w:rsid w:val="23D06D16"/>
    <w:rsid w:val="23DA1B50"/>
    <w:rsid w:val="23DE1C48"/>
    <w:rsid w:val="23E05F11"/>
    <w:rsid w:val="23E87C34"/>
    <w:rsid w:val="23EC65F4"/>
    <w:rsid w:val="23ED3D6C"/>
    <w:rsid w:val="23FC3FAF"/>
    <w:rsid w:val="23FE6BEB"/>
    <w:rsid w:val="23FF584D"/>
    <w:rsid w:val="240074B3"/>
    <w:rsid w:val="240210CD"/>
    <w:rsid w:val="240A1454"/>
    <w:rsid w:val="240E783E"/>
    <w:rsid w:val="2416517D"/>
    <w:rsid w:val="241C09BC"/>
    <w:rsid w:val="2426751B"/>
    <w:rsid w:val="24280900"/>
    <w:rsid w:val="242B1A8A"/>
    <w:rsid w:val="242F3360"/>
    <w:rsid w:val="24302E90"/>
    <w:rsid w:val="24305A06"/>
    <w:rsid w:val="24311EAA"/>
    <w:rsid w:val="24324FC7"/>
    <w:rsid w:val="24364169"/>
    <w:rsid w:val="24375129"/>
    <w:rsid w:val="243A62E1"/>
    <w:rsid w:val="24466FD8"/>
    <w:rsid w:val="244A2F6C"/>
    <w:rsid w:val="244D65B8"/>
    <w:rsid w:val="244D6BB4"/>
    <w:rsid w:val="24510B78"/>
    <w:rsid w:val="245636BF"/>
    <w:rsid w:val="24574D2F"/>
    <w:rsid w:val="24612064"/>
    <w:rsid w:val="24651B54"/>
    <w:rsid w:val="246B0A5C"/>
    <w:rsid w:val="246B2680"/>
    <w:rsid w:val="246F29D3"/>
    <w:rsid w:val="247213BB"/>
    <w:rsid w:val="247955FF"/>
    <w:rsid w:val="247A3BCF"/>
    <w:rsid w:val="247A4C9D"/>
    <w:rsid w:val="247D0F86"/>
    <w:rsid w:val="248C70E1"/>
    <w:rsid w:val="24901B57"/>
    <w:rsid w:val="24990604"/>
    <w:rsid w:val="249A18B6"/>
    <w:rsid w:val="249C4E4A"/>
    <w:rsid w:val="24A020FD"/>
    <w:rsid w:val="24A14A8B"/>
    <w:rsid w:val="24A55F24"/>
    <w:rsid w:val="24A972A7"/>
    <w:rsid w:val="24AA677E"/>
    <w:rsid w:val="24AC1531"/>
    <w:rsid w:val="24AF7273"/>
    <w:rsid w:val="24B01BD1"/>
    <w:rsid w:val="24B403E6"/>
    <w:rsid w:val="24BB0C9B"/>
    <w:rsid w:val="24BF09F7"/>
    <w:rsid w:val="24BF727F"/>
    <w:rsid w:val="24C26858"/>
    <w:rsid w:val="24C26FA6"/>
    <w:rsid w:val="24C51723"/>
    <w:rsid w:val="24C56B78"/>
    <w:rsid w:val="24C7636B"/>
    <w:rsid w:val="24CC1BD3"/>
    <w:rsid w:val="24D23759"/>
    <w:rsid w:val="24DE3A8A"/>
    <w:rsid w:val="24E16D01"/>
    <w:rsid w:val="24E4622E"/>
    <w:rsid w:val="24E83D02"/>
    <w:rsid w:val="24E842A0"/>
    <w:rsid w:val="24EF35A7"/>
    <w:rsid w:val="24F627AC"/>
    <w:rsid w:val="24F84776"/>
    <w:rsid w:val="24F86524"/>
    <w:rsid w:val="25012AC9"/>
    <w:rsid w:val="25023740"/>
    <w:rsid w:val="250E0B9D"/>
    <w:rsid w:val="25145328"/>
    <w:rsid w:val="25186BC6"/>
    <w:rsid w:val="251A0B90"/>
    <w:rsid w:val="251A395F"/>
    <w:rsid w:val="251B0465"/>
    <w:rsid w:val="252206FC"/>
    <w:rsid w:val="252375A1"/>
    <w:rsid w:val="25266D60"/>
    <w:rsid w:val="25292B82"/>
    <w:rsid w:val="252D53FE"/>
    <w:rsid w:val="2530657B"/>
    <w:rsid w:val="25322AEC"/>
    <w:rsid w:val="25355754"/>
    <w:rsid w:val="25384F68"/>
    <w:rsid w:val="25421E95"/>
    <w:rsid w:val="254701D7"/>
    <w:rsid w:val="254A0D4A"/>
    <w:rsid w:val="25506DE7"/>
    <w:rsid w:val="255B2F57"/>
    <w:rsid w:val="255F2A47"/>
    <w:rsid w:val="25642B1A"/>
    <w:rsid w:val="256718FC"/>
    <w:rsid w:val="256E2C8A"/>
    <w:rsid w:val="2575265A"/>
    <w:rsid w:val="25777D91"/>
    <w:rsid w:val="25792AA5"/>
    <w:rsid w:val="2579618A"/>
    <w:rsid w:val="257D111F"/>
    <w:rsid w:val="257F27A2"/>
    <w:rsid w:val="2580476C"/>
    <w:rsid w:val="2581437A"/>
    <w:rsid w:val="25826736"/>
    <w:rsid w:val="25867FD4"/>
    <w:rsid w:val="25884E57"/>
    <w:rsid w:val="25896B32"/>
    <w:rsid w:val="258B383C"/>
    <w:rsid w:val="259049AF"/>
    <w:rsid w:val="2593449F"/>
    <w:rsid w:val="259A582D"/>
    <w:rsid w:val="25A93CC2"/>
    <w:rsid w:val="25AC432A"/>
    <w:rsid w:val="25AF7C37"/>
    <w:rsid w:val="25BC7FE5"/>
    <w:rsid w:val="25C74149"/>
    <w:rsid w:val="25CA6327"/>
    <w:rsid w:val="25D23219"/>
    <w:rsid w:val="25D32AED"/>
    <w:rsid w:val="25D532F5"/>
    <w:rsid w:val="25D7082F"/>
    <w:rsid w:val="25D91447"/>
    <w:rsid w:val="25E14378"/>
    <w:rsid w:val="25EC2D81"/>
    <w:rsid w:val="25EC3BAF"/>
    <w:rsid w:val="25ED78CC"/>
    <w:rsid w:val="25EE406E"/>
    <w:rsid w:val="25EE5B79"/>
    <w:rsid w:val="25EF6C49"/>
    <w:rsid w:val="25F80363"/>
    <w:rsid w:val="25FA33D7"/>
    <w:rsid w:val="25FA451E"/>
    <w:rsid w:val="25FB7DFA"/>
    <w:rsid w:val="25FC570B"/>
    <w:rsid w:val="25FD157D"/>
    <w:rsid w:val="26061115"/>
    <w:rsid w:val="260C1366"/>
    <w:rsid w:val="260C3BF8"/>
    <w:rsid w:val="26105AEF"/>
    <w:rsid w:val="261A696E"/>
    <w:rsid w:val="261D5164"/>
    <w:rsid w:val="261D5C26"/>
    <w:rsid w:val="261F1582"/>
    <w:rsid w:val="262275D1"/>
    <w:rsid w:val="26233A75"/>
    <w:rsid w:val="26290526"/>
    <w:rsid w:val="262923F6"/>
    <w:rsid w:val="262A010B"/>
    <w:rsid w:val="26326399"/>
    <w:rsid w:val="26345C82"/>
    <w:rsid w:val="26355556"/>
    <w:rsid w:val="26461511"/>
    <w:rsid w:val="26490757"/>
    <w:rsid w:val="264D0B0B"/>
    <w:rsid w:val="26527EB6"/>
    <w:rsid w:val="265500DB"/>
    <w:rsid w:val="26554BA2"/>
    <w:rsid w:val="26575089"/>
    <w:rsid w:val="265F23FB"/>
    <w:rsid w:val="26675339"/>
    <w:rsid w:val="266801EC"/>
    <w:rsid w:val="26707BFD"/>
    <w:rsid w:val="26730B70"/>
    <w:rsid w:val="267728FE"/>
    <w:rsid w:val="26773A40"/>
    <w:rsid w:val="26774667"/>
    <w:rsid w:val="26782D8B"/>
    <w:rsid w:val="267B4ABE"/>
    <w:rsid w:val="26802413"/>
    <w:rsid w:val="26881B2A"/>
    <w:rsid w:val="268868C6"/>
    <w:rsid w:val="268A3AF3"/>
    <w:rsid w:val="26937070"/>
    <w:rsid w:val="26993BB7"/>
    <w:rsid w:val="269A068B"/>
    <w:rsid w:val="26A01315"/>
    <w:rsid w:val="26A7372A"/>
    <w:rsid w:val="26AF70B6"/>
    <w:rsid w:val="26B0669F"/>
    <w:rsid w:val="26B172D2"/>
    <w:rsid w:val="26B25CB6"/>
    <w:rsid w:val="26C02C7C"/>
    <w:rsid w:val="26C2719B"/>
    <w:rsid w:val="26C32B62"/>
    <w:rsid w:val="26C95C8A"/>
    <w:rsid w:val="26CD7731"/>
    <w:rsid w:val="26D37A9A"/>
    <w:rsid w:val="26D42FC1"/>
    <w:rsid w:val="26D751C9"/>
    <w:rsid w:val="26DD4469"/>
    <w:rsid w:val="26DD68A6"/>
    <w:rsid w:val="26DE174A"/>
    <w:rsid w:val="26DE799C"/>
    <w:rsid w:val="26E1252E"/>
    <w:rsid w:val="26E52AD8"/>
    <w:rsid w:val="26E72CF4"/>
    <w:rsid w:val="26E8614E"/>
    <w:rsid w:val="26EF1BA9"/>
    <w:rsid w:val="26F36771"/>
    <w:rsid w:val="26F6667B"/>
    <w:rsid w:val="26F75FB5"/>
    <w:rsid w:val="2702368A"/>
    <w:rsid w:val="27026F7D"/>
    <w:rsid w:val="270365B6"/>
    <w:rsid w:val="270D4219"/>
    <w:rsid w:val="27107C76"/>
    <w:rsid w:val="27182E78"/>
    <w:rsid w:val="271B0BF0"/>
    <w:rsid w:val="27201D62"/>
    <w:rsid w:val="272950BB"/>
    <w:rsid w:val="272C2E7E"/>
    <w:rsid w:val="2736379E"/>
    <w:rsid w:val="27364CD2"/>
    <w:rsid w:val="2738300C"/>
    <w:rsid w:val="2753038A"/>
    <w:rsid w:val="275E5EB1"/>
    <w:rsid w:val="2762425F"/>
    <w:rsid w:val="27645958"/>
    <w:rsid w:val="276A122F"/>
    <w:rsid w:val="276A6AC7"/>
    <w:rsid w:val="276E51C4"/>
    <w:rsid w:val="277057A2"/>
    <w:rsid w:val="27734588"/>
    <w:rsid w:val="277463FD"/>
    <w:rsid w:val="277C5005"/>
    <w:rsid w:val="277C6476"/>
    <w:rsid w:val="277D0F63"/>
    <w:rsid w:val="277F117F"/>
    <w:rsid w:val="27811702"/>
    <w:rsid w:val="27871429"/>
    <w:rsid w:val="27894A00"/>
    <w:rsid w:val="278F0C96"/>
    <w:rsid w:val="27906EE8"/>
    <w:rsid w:val="2797250D"/>
    <w:rsid w:val="279F537D"/>
    <w:rsid w:val="279F712B"/>
    <w:rsid w:val="27A02EA3"/>
    <w:rsid w:val="27A50616"/>
    <w:rsid w:val="27A961FC"/>
    <w:rsid w:val="27B01338"/>
    <w:rsid w:val="27B349B0"/>
    <w:rsid w:val="27BA4E27"/>
    <w:rsid w:val="27BB69CA"/>
    <w:rsid w:val="27BC5F2F"/>
    <w:rsid w:val="27C052F3"/>
    <w:rsid w:val="27C528E9"/>
    <w:rsid w:val="27C83FC7"/>
    <w:rsid w:val="27CA2E76"/>
    <w:rsid w:val="27CA411A"/>
    <w:rsid w:val="27CB0C61"/>
    <w:rsid w:val="27CB36FC"/>
    <w:rsid w:val="27CB6172"/>
    <w:rsid w:val="27CB7F20"/>
    <w:rsid w:val="27CE64E0"/>
    <w:rsid w:val="27CF0D33"/>
    <w:rsid w:val="27D165A2"/>
    <w:rsid w:val="27D61381"/>
    <w:rsid w:val="27DA4607"/>
    <w:rsid w:val="27E15995"/>
    <w:rsid w:val="27E170DE"/>
    <w:rsid w:val="27E63962"/>
    <w:rsid w:val="27EC0339"/>
    <w:rsid w:val="27EC60E8"/>
    <w:rsid w:val="27ED066B"/>
    <w:rsid w:val="27F6220F"/>
    <w:rsid w:val="27F67CAD"/>
    <w:rsid w:val="27F8683B"/>
    <w:rsid w:val="27FC473B"/>
    <w:rsid w:val="27FC54C9"/>
    <w:rsid w:val="27FF5E1C"/>
    <w:rsid w:val="280A69B3"/>
    <w:rsid w:val="2815563F"/>
    <w:rsid w:val="28173165"/>
    <w:rsid w:val="28230735"/>
    <w:rsid w:val="28245882"/>
    <w:rsid w:val="282569DC"/>
    <w:rsid w:val="282910EA"/>
    <w:rsid w:val="28305FD5"/>
    <w:rsid w:val="28333D17"/>
    <w:rsid w:val="28341F69"/>
    <w:rsid w:val="283F06D6"/>
    <w:rsid w:val="28480BDC"/>
    <w:rsid w:val="28485A15"/>
    <w:rsid w:val="285056E3"/>
    <w:rsid w:val="28625A0D"/>
    <w:rsid w:val="286D40BC"/>
    <w:rsid w:val="286D547B"/>
    <w:rsid w:val="286E4893"/>
    <w:rsid w:val="287064F9"/>
    <w:rsid w:val="28711B50"/>
    <w:rsid w:val="28714E9D"/>
    <w:rsid w:val="28752564"/>
    <w:rsid w:val="2876140E"/>
    <w:rsid w:val="28803712"/>
    <w:rsid w:val="28836A4D"/>
    <w:rsid w:val="28844573"/>
    <w:rsid w:val="288A00A4"/>
    <w:rsid w:val="288D3427"/>
    <w:rsid w:val="289901CD"/>
    <w:rsid w:val="289A5B44"/>
    <w:rsid w:val="289A6CA9"/>
    <w:rsid w:val="289E0BEF"/>
    <w:rsid w:val="28A013AD"/>
    <w:rsid w:val="28A864B3"/>
    <w:rsid w:val="28AF7842"/>
    <w:rsid w:val="28B05368"/>
    <w:rsid w:val="28B90367"/>
    <w:rsid w:val="28BB5181"/>
    <w:rsid w:val="28C0181B"/>
    <w:rsid w:val="28C055AB"/>
    <w:rsid w:val="28C114CB"/>
    <w:rsid w:val="28C12636"/>
    <w:rsid w:val="28C6024F"/>
    <w:rsid w:val="28C82DA7"/>
    <w:rsid w:val="28CB3F50"/>
    <w:rsid w:val="28D41F8A"/>
    <w:rsid w:val="28D51396"/>
    <w:rsid w:val="28DB23E5"/>
    <w:rsid w:val="28E3573D"/>
    <w:rsid w:val="28E84B02"/>
    <w:rsid w:val="28EA6ACC"/>
    <w:rsid w:val="28EF40E2"/>
    <w:rsid w:val="290319E9"/>
    <w:rsid w:val="29037624"/>
    <w:rsid w:val="29051210"/>
    <w:rsid w:val="291077B7"/>
    <w:rsid w:val="2912392D"/>
    <w:rsid w:val="291C47AB"/>
    <w:rsid w:val="291D29FD"/>
    <w:rsid w:val="291E49C7"/>
    <w:rsid w:val="29206EB8"/>
    <w:rsid w:val="292C0E92"/>
    <w:rsid w:val="2936586D"/>
    <w:rsid w:val="293A128F"/>
    <w:rsid w:val="293A2302"/>
    <w:rsid w:val="293F0FBC"/>
    <w:rsid w:val="29405A28"/>
    <w:rsid w:val="29407343"/>
    <w:rsid w:val="29422464"/>
    <w:rsid w:val="294A756A"/>
    <w:rsid w:val="294E705B"/>
    <w:rsid w:val="295313EB"/>
    <w:rsid w:val="29595666"/>
    <w:rsid w:val="295B068E"/>
    <w:rsid w:val="295B1219"/>
    <w:rsid w:val="295C2DFA"/>
    <w:rsid w:val="295D54F0"/>
    <w:rsid w:val="295E6B72"/>
    <w:rsid w:val="296543A4"/>
    <w:rsid w:val="29657F00"/>
    <w:rsid w:val="2967011C"/>
    <w:rsid w:val="29672844"/>
    <w:rsid w:val="296D0D14"/>
    <w:rsid w:val="296D5007"/>
    <w:rsid w:val="296D7A74"/>
    <w:rsid w:val="29714AD8"/>
    <w:rsid w:val="297621BD"/>
    <w:rsid w:val="29802F8C"/>
    <w:rsid w:val="298078CA"/>
    <w:rsid w:val="29844510"/>
    <w:rsid w:val="2984482A"/>
    <w:rsid w:val="29874881"/>
    <w:rsid w:val="298760C9"/>
    <w:rsid w:val="298E79EF"/>
    <w:rsid w:val="29944736"/>
    <w:rsid w:val="2995461C"/>
    <w:rsid w:val="29961F06"/>
    <w:rsid w:val="29985B65"/>
    <w:rsid w:val="299A404E"/>
    <w:rsid w:val="299F78B6"/>
    <w:rsid w:val="29A273A6"/>
    <w:rsid w:val="29A749BD"/>
    <w:rsid w:val="29B30428"/>
    <w:rsid w:val="29B36EBE"/>
    <w:rsid w:val="29B669AE"/>
    <w:rsid w:val="29B81A52"/>
    <w:rsid w:val="29B9024C"/>
    <w:rsid w:val="29BD3630"/>
    <w:rsid w:val="29C3473D"/>
    <w:rsid w:val="29C9116F"/>
    <w:rsid w:val="29CA2459"/>
    <w:rsid w:val="29CA4207"/>
    <w:rsid w:val="29CB7425"/>
    <w:rsid w:val="29D07A70"/>
    <w:rsid w:val="29D3130E"/>
    <w:rsid w:val="29D54687"/>
    <w:rsid w:val="29E03A2B"/>
    <w:rsid w:val="29E325E0"/>
    <w:rsid w:val="29E41AEB"/>
    <w:rsid w:val="29EA6657"/>
    <w:rsid w:val="29EC6874"/>
    <w:rsid w:val="29EC73FD"/>
    <w:rsid w:val="29F3375E"/>
    <w:rsid w:val="29F90863"/>
    <w:rsid w:val="29FD0655"/>
    <w:rsid w:val="2A0054FF"/>
    <w:rsid w:val="2A006588"/>
    <w:rsid w:val="2A025360"/>
    <w:rsid w:val="2A027E45"/>
    <w:rsid w:val="2A0A2888"/>
    <w:rsid w:val="2A0C2A72"/>
    <w:rsid w:val="2A0C4820"/>
    <w:rsid w:val="2A0D0CC4"/>
    <w:rsid w:val="2A1173FF"/>
    <w:rsid w:val="2A17569E"/>
    <w:rsid w:val="2A181D54"/>
    <w:rsid w:val="2A187669"/>
    <w:rsid w:val="2A21197B"/>
    <w:rsid w:val="2A2360AA"/>
    <w:rsid w:val="2A247DBB"/>
    <w:rsid w:val="2A3224D8"/>
    <w:rsid w:val="2A32274B"/>
    <w:rsid w:val="2A355B25"/>
    <w:rsid w:val="2A3F154A"/>
    <w:rsid w:val="2A3F58D2"/>
    <w:rsid w:val="2A412F18"/>
    <w:rsid w:val="2A426494"/>
    <w:rsid w:val="2A452503"/>
    <w:rsid w:val="2A466501"/>
    <w:rsid w:val="2A4D2E68"/>
    <w:rsid w:val="2A506E02"/>
    <w:rsid w:val="2A515973"/>
    <w:rsid w:val="2A544870"/>
    <w:rsid w:val="2A5F0DF4"/>
    <w:rsid w:val="2A680DF1"/>
    <w:rsid w:val="2A6E1037"/>
    <w:rsid w:val="2A750617"/>
    <w:rsid w:val="2A7D3A62"/>
    <w:rsid w:val="2A7E3970"/>
    <w:rsid w:val="2A870664"/>
    <w:rsid w:val="2A915D79"/>
    <w:rsid w:val="2A924C61"/>
    <w:rsid w:val="2A932698"/>
    <w:rsid w:val="2A97058D"/>
    <w:rsid w:val="2A9D438D"/>
    <w:rsid w:val="2A9E4611"/>
    <w:rsid w:val="2A9F38FB"/>
    <w:rsid w:val="2A9F6557"/>
    <w:rsid w:val="2AA42CAA"/>
    <w:rsid w:val="2AA70541"/>
    <w:rsid w:val="2AA915E9"/>
    <w:rsid w:val="2AAB1450"/>
    <w:rsid w:val="2AAB37E8"/>
    <w:rsid w:val="2AAB7338"/>
    <w:rsid w:val="2AAE79DD"/>
    <w:rsid w:val="2AB0164F"/>
    <w:rsid w:val="2AB27175"/>
    <w:rsid w:val="2ABA24CE"/>
    <w:rsid w:val="2AD06880"/>
    <w:rsid w:val="2AD92954"/>
    <w:rsid w:val="2ADC2444"/>
    <w:rsid w:val="2AE86C56"/>
    <w:rsid w:val="2B005BEA"/>
    <w:rsid w:val="2B03039C"/>
    <w:rsid w:val="2B035C23"/>
    <w:rsid w:val="2B0F0198"/>
    <w:rsid w:val="2B116592"/>
    <w:rsid w:val="2B16676D"/>
    <w:rsid w:val="2B186F94"/>
    <w:rsid w:val="2B1A4D1A"/>
    <w:rsid w:val="2B1B28D9"/>
    <w:rsid w:val="2B1E642A"/>
    <w:rsid w:val="2B20129D"/>
    <w:rsid w:val="2B257DBC"/>
    <w:rsid w:val="2B320BC0"/>
    <w:rsid w:val="2B3C1ADC"/>
    <w:rsid w:val="2B3D7387"/>
    <w:rsid w:val="2B3E7185"/>
    <w:rsid w:val="2B4F2C16"/>
    <w:rsid w:val="2B512E32"/>
    <w:rsid w:val="2B5244B4"/>
    <w:rsid w:val="2B5869C9"/>
    <w:rsid w:val="2B594282"/>
    <w:rsid w:val="2B632B65"/>
    <w:rsid w:val="2B64300E"/>
    <w:rsid w:val="2B6D0F5F"/>
    <w:rsid w:val="2B715282"/>
    <w:rsid w:val="2B724877"/>
    <w:rsid w:val="2B746B21"/>
    <w:rsid w:val="2B8801B3"/>
    <w:rsid w:val="2B920D55"/>
    <w:rsid w:val="2B923DD2"/>
    <w:rsid w:val="2B942D1F"/>
    <w:rsid w:val="2B960845"/>
    <w:rsid w:val="2B9A2341"/>
    <w:rsid w:val="2BA32F62"/>
    <w:rsid w:val="2BA74404"/>
    <w:rsid w:val="2BA936A8"/>
    <w:rsid w:val="2BAA42F0"/>
    <w:rsid w:val="2BB34EE4"/>
    <w:rsid w:val="2BB46CFE"/>
    <w:rsid w:val="2BB86CB1"/>
    <w:rsid w:val="2BBB64FD"/>
    <w:rsid w:val="2BC144F7"/>
    <w:rsid w:val="2BC2788C"/>
    <w:rsid w:val="2BC41856"/>
    <w:rsid w:val="2BC43604"/>
    <w:rsid w:val="2BC71AAA"/>
    <w:rsid w:val="2BCC7096"/>
    <w:rsid w:val="2BD220D6"/>
    <w:rsid w:val="2BD355F5"/>
    <w:rsid w:val="2BD414DD"/>
    <w:rsid w:val="2BD4296D"/>
    <w:rsid w:val="2BD74818"/>
    <w:rsid w:val="2BDC76D9"/>
    <w:rsid w:val="2BE05F64"/>
    <w:rsid w:val="2BE11407"/>
    <w:rsid w:val="2BE23A8A"/>
    <w:rsid w:val="2BEB3615"/>
    <w:rsid w:val="2BEF0CB6"/>
    <w:rsid w:val="2BF10171"/>
    <w:rsid w:val="2BF523C4"/>
    <w:rsid w:val="2BFD08C4"/>
    <w:rsid w:val="2BFF01D4"/>
    <w:rsid w:val="2C167BD8"/>
    <w:rsid w:val="2C315A5A"/>
    <w:rsid w:val="2C347F55"/>
    <w:rsid w:val="2C3818FC"/>
    <w:rsid w:val="2C3F06C9"/>
    <w:rsid w:val="2C3F2B42"/>
    <w:rsid w:val="2C406BF4"/>
    <w:rsid w:val="2C4B1C25"/>
    <w:rsid w:val="2C4B2DF0"/>
    <w:rsid w:val="2C551528"/>
    <w:rsid w:val="2C55425C"/>
    <w:rsid w:val="2C566690"/>
    <w:rsid w:val="2C5A3803"/>
    <w:rsid w:val="2C5D5807"/>
    <w:rsid w:val="2C6D3C9C"/>
    <w:rsid w:val="2C766A33"/>
    <w:rsid w:val="2C7A1F15"/>
    <w:rsid w:val="2C7A413A"/>
    <w:rsid w:val="2C8221EC"/>
    <w:rsid w:val="2C866B0B"/>
    <w:rsid w:val="2C882884"/>
    <w:rsid w:val="2C8D1C48"/>
    <w:rsid w:val="2C911FBC"/>
    <w:rsid w:val="2C952D0F"/>
    <w:rsid w:val="2C9A6113"/>
    <w:rsid w:val="2C9C3242"/>
    <w:rsid w:val="2CA06BAE"/>
    <w:rsid w:val="2CA2761E"/>
    <w:rsid w:val="2CB0615A"/>
    <w:rsid w:val="2CB35427"/>
    <w:rsid w:val="2CB45C2B"/>
    <w:rsid w:val="2CC358D7"/>
    <w:rsid w:val="2CCD473A"/>
    <w:rsid w:val="2CD11238"/>
    <w:rsid w:val="2CD2219E"/>
    <w:rsid w:val="2CD31625"/>
    <w:rsid w:val="2CD952E7"/>
    <w:rsid w:val="2CE94728"/>
    <w:rsid w:val="2CEF3AF8"/>
    <w:rsid w:val="2CF47F19"/>
    <w:rsid w:val="2CF55A3F"/>
    <w:rsid w:val="2CF74F46"/>
    <w:rsid w:val="2CF96EAE"/>
    <w:rsid w:val="2CFA0383"/>
    <w:rsid w:val="2D031F0A"/>
    <w:rsid w:val="2D084189"/>
    <w:rsid w:val="2D0A3299"/>
    <w:rsid w:val="2D0B0DBF"/>
    <w:rsid w:val="2D0B6C44"/>
    <w:rsid w:val="2D0C5682"/>
    <w:rsid w:val="2D0D4B37"/>
    <w:rsid w:val="2D146319"/>
    <w:rsid w:val="2D1668CF"/>
    <w:rsid w:val="2D197980"/>
    <w:rsid w:val="2D1C4D7A"/>
    <w:rsid w:val="2D241E80"/>
    <w:rsid w:val="2D26209C"/>
    <w:rsid w:val="2D27711B"/>
    <w:rsid w:val="2D2A587C"/>
    <w:rsid w:val="2D2F2CFF"/>
    <w:rsid w:val="2D355E3C"/>
    <w:rsid w:val="2D3F12B8"/>
    <w:rsid w:val="2D4553C3"/>
    <w:rsid w:val="2D480265"/>
    <w:rsid w:val="2D4D438B"/>
    <w:rsid w:val="2D60001B"/>
    <w:rsid w:val="2D636E43"/>
    <w:rsid w:val="2D675A40"/>
    <w:rsid w:val="2D683990"/>
    <w:rsid w:val="2D6937A6"/>
    <w:rsid w:val="2D6B0926"/>
    <w:rsid w:val="2D6B1EBC"/>
    <w:rsid w:val="2D6E12D0"/>
    <w:rsid w:val="2D6E4118"/>
    <w:rsid w:val="2D706302"/>
    <w:rsid w:val="2D742C4B"/>
    <w:rsid w:val="2D755EB1"/>
    <w:rsid w:val="2D79127C"/>
    <w:rsid w:val="2D7D1DF3"/>
    <w:rsid w:val="2D7E7E55"/>
    <w:rsid w:val="2D7F2A1C"/>
    <w:rsid w:val="2D805468"/>
    <w:rsid w:val="2D8355C6"/>
    <w:rsid w:val="2D842B55"/>
    <w:rsid w:val="2D8437AD"/>
    <w:rsid w:val="2D86579F"/>
    <w:rsid w:val="2D872B3B"/>
    <w:rsid w:val="2D88240F"/>
    <w:rsid w:val="2D8B7A0C"/>
    <w:rsid w:val="2D9325B8"/>
    <w:rsid w:val="2D937732"/>
    <w:rsid w:val="2D9B32A8"/>
    <w:rsid w:val="2D9E56F5"/>
    <w:rsid w:val="2DAA4A7C"/>
    <w:rsid w:val="2DB30528"/>
    <w:rsid w:val="2DB96A6D"/>
    <w:rsid w:val="2DBB2F77"/>
    <w:rsid w:val="2DBB3B6E"/>
    <w:rsid w:val="2DBD3EFB"/>
    <w:rsid w:val="2DBE19E0"/>
    <w:rsid w:val="2DC110B7"/>
    <w:rsid w:val="2DCA2C53"/>
    <w:rsid w:val="2DCB7B61"/>
    <w:rsid w:val="2DCC49F2"/>
    <w:rsid w:val="2DD029B5"/>
    <w:rsid w:val="2DD478E8"/>
    <w:rsid w:val="2DDC2D6D"/>
    <w:rsid w:val="2DEC68DA"/>
    <w:rsid w:val="2DF02AE0"/>
    <w:rsid w:val="2DFB789B"/>
    <w:rsid w:val="2DFC2367"/>
    <w:rsid w:val="2E003569"/>
    <w:rsid w:val="2E0425E4"/>
    <w:rsid w:val="2E0B376C"/>
    <w:rsid w:val="2E123228"/>
    <w:rsid w:val="2E133665"/>
    <w:rsid w:val="2E195B5E"/>
    <w:rsid w:val="2E2465DC"/>
    <w:rsid w:val="2E2A0C95"/>
    <w:rsid w:val="2E345F77"/>
    <w:rsid w:val="2E3D144C"/>
    <w:rsid w:val="2E3F6426"/>
    <w:rsid w:val="2E4232BB"/>
    <w:rsid w:val="2E4323D2"/>
    <w:rsid w:val="2E4E18AB"/>
    <w:rsid w:val="2E4F0A34"/>
    <w:rsid w:val="2E507B3E"/>
    <w:rsid w:val="2E513226"/>
    <w:rsid w:val="2E59753B"/>
    <w:rsid w:val="2E5A0250"/>
    <w:rsid w:val="2E6432DE"/>
    <w:rsid w:val="2E667F96"/>
    <w:rsid w:val="2E6C2FEE"/>
    <w:rsid w:val="2E70537D"/>
    <w:rsid w:val="2E71161D"/>
    <w:rsid w:val="2E717347"/>
    <w:rsid w:val="2E772BB0"/>
    <w:rsid w:val="2E794F93"/>
    <w:rsid w:val="2E7D05C6"/>
    <w:rsid w:val="2E804392"/>
    <w:rsid w:val="2E8226AB"/>
    <w:rsid w:val="2E8B4C27"/>
    <w:rsid w:val="2E975000"/>
    <w:rsid w:val="2E9F2106"/>
    <w:rsid w:val="2EA414CB"/>
    <w:rsid w:val="2EA6182F"/>
    <w:rsid w:val="2EA80FBB"/>
    <w:rsid w:val="2EA8720D"/>
    <w:rsid w:val="2EA93C02"/>
    <w:rsid w:val="2EAD3CB5"/>
    <w:rsid w:val="2EB072CC"/>
    <w:rsid w:val="2EB12F93"/>
    <w:rsid w:val="2EB909D8"/>
    <w:rsid w:val="2EBC267F"/>
    <w:rsid w:val="2EBD0591"/>
    <w:rsid w:val="2EBF00B3"/>
    <w:rsid w:val="2EC456C9"/>
    <w:rsid w:val="2ECF0032"/>
    <w:rsid w:val="2ED4702A"/>
    <w:rsid w:val="2ED7364E"/>
    <w:rsid w:val="2ED74AE9"/>
    <w:rsid w:val="2EDC1467"/>
    <w:rsid w:val="2EDC1656"/>
    <w:rsid w:val="2EDF0755"/>
    <w:rsid w:val="2EE26B1C"/>
    <w:rsid w:val="2EE43FBD"/>
    <w:rsid w:val="2EEB534C"/>
    <w:rsid w:val="2EF54A21"/>
    <w:rsid w:val="2EF73D2C"/>
    <w:rsid w:val="2EF83000"/>
    <w:rsid w:val="2EF97A69"/>
    <w:rsid w:val="2EFE1143"/>
    <w:rsid w:val="2EFF4953"/>
    <w:rsid w:val="2EFF7082"/>
    <w:rsid w:val="2EFF793F"/>
    <w:rsid w:val="2F01691D"/>
    <w:rsid w:val="2F032695"/>
    <w:rsid w:val="2F083808"/>
    <w:rsid w:val="2F130889"/>
    <w:rsid w:val="2F1F0748"/>
    <w:rsid w:val="2F2368B5"/>
    <w:rsid w:val="2F255896"/>
    <w:rsid w:val="2F285C58"/>
    <w:rsid w:val="2F300FB0"/>
    <w:rsid w:val="2F303006"/>
    <w:rsid w:val="2F34284F"/>
    <w:rsid w:val="2F395085"/>
    <w:rsid w:val="2F3A210B"/>
    <w:rsid w:val="2F3F643D"/>
    <w:rsid w:val="2F40308E"/>
    <w:rsid w:val="2F432A92"/>
    <w:rsid w:val="2F4A02C4"/>
    <w:rsid w:val="2F522CD5"/>
    <w:rsid w:val="2F586008"/>
    <w:rsid w:val="2F6157A7"/>
    <w:rsid w:val="2F6724CF"/>
    <w:rsid w:val="2F697F69"/>
    <w:rsid w:val="2F6B39AD"/>
    <w:rsid w:val="2F6C50DB"/>
    <w:rsid w:val="2F6E213C"/>
    <w:rsid w:val="2F7013AD"/>
    <w:rsid w:val="2F7075FF"/>
    <w:rsid w:val="2F722BE0"/>
    <w:rsid w:val="2F786B8B"/>
    <w:rsid w:val="2F7B0FD4"/>
    <w:rsid w:val="2F7D6131"/>
    <w:rsid w:val="2F880BDC"/>
    <w:rsid w:val="2F8A5853"/>
    <w:rsid w:val="2F990904"/>
    <w:rsid w:val="2F9A00CC"/>
    <w:rsid w:val="2F9B467C"/>
    <w:rsid w:val="2F9C6646"/>
    <w:rsid w:val="2F9F40F0"/>
    <w:rsid w:val="2FA06136"/>
    <w:rsid w:val="2FA10D67"/>
    <w:rsid w:val="2FAA48BF"/>
    <w:rsid w:val="2FAC6889"/>
    <w:rsid w:val="2FBC3E88"/>
    <w:rsid w:val="2FC87C4C"/>
    <w:rsid w:val="2FCB590C"/>
    <w:rsid w:val="2FCC0CD9"/>
    <w:rsid w:val="2FCD0BDE"/>
    <w:rsid w:val="2FCE2CA3"/>
    <w:rsid w:val="2FD065E6"/>
    <w:rsid w:val="2FD63906"/>
    <w:rsid w:val="2FD96870"/>
    <w:rsid w:val="2FDE0A0C"/>
    <w:rsid w:val="2FE04785"/>
    <w:rsid w:val="2FE06533"/>
    <w:rsid w:val="2FE3113A"/>
    <w:rsid w:val="2FE95B0A"/>
    <w:rsid w:val="2FF124EE"/>
    <w:rsid w:val="2FF47991"/>
    <w:rsid w:val="2FF63B4F"/>
    <w:rsid w:val="2FFC6C13"/>
    <w:rsid w:val="2FFE2E5D"/>
    <w:rsid w:val="30041638"/>
    <w:rsid w:val="300512D8"/>
    <w:rsid w:val="300A35B0"/>
    <w:rsid w:val="302063B0"/>
    <w:rsid w:val="302D7FD6"/>
    <w:rsid w:val="302E54F0"/>
    <w:rsid w:val="3036619F"/>
    <w:rsid w:val="3039582C"/>
    <w:rsid w:val="303B7C0D"/>
    <w:rsid w:val="303D3985"/>
    <w:rsid w:val="303E14AB"/>
    <w:rsid w:val="303F76FD"/>
    <w:rsid w:val="30413030"/>
    <w:rsid w:val="304271ED"/>
    <w:rsid w:val="30580BC9"/>
    <w:rsid w:val="3059427B"/>
    <w:rsid w:val="305C2FC6"/>
    <w:rsid w:val="305D500C"/>
    <w:rsid w:val="305F2FFB"/>
    <w:rsid w:val="306058C5"/>
    <w:rsid w:val="30631515"/>
    <w:rsid w:val="306453B6"/>
    <w:rsid w:val="30695770"/>
    <w:rsid w:val="307355F9"/>
    <w:rsid w:val="30753E90"/>
    <w:rsid w:val="30766E97"/>
    <w:rsid w:val="307C242D"/>
    <w:rsid w:val="307F3F9D"/>
    <w:rsid w:val="30801A0C"/>
    <w:rsid w:val="30890978"/>
    <w:rsid w:val="308B46F0"/>
    <w:rsid w:val="308C66BA"/>
    <w:rsid w:val="309644F8"/>
    <w:rsid w:val="309D61D2"/>
    <w:rsid w:val="30A026E0"/>
    <w:rsid w:val="30A25EDE"/>
    <w:rsid w:val="30A9726C"/>
    <w:rsid w:val="30B22B0F"/>
    <w:rsid w:val="30B34DB1"/>
    <w:rsid w:val="30B718E5"/>
    <w:rsid w:val="30C012E1"/>
    <w:rsid w:val="30C20DE2"/>
    <w:rsid w:val="30C37755"/>
    <w:rsid w:val="30CB2D3F"/>
    <w:rsid w:val="30D02C0F"/>
    <w:rsid w:val="30DB0A51"/>
    <w:rsid w:val="30DF4A3C"/>
    <w:rsid w:val="30E17496"/>
    <w:rsid w:val="30E402A4"/>
    <w:rsid w:val="30E43E01"/>
    <w:rsid w:val="30E91417"/>
    <w:rsid w:val="30ED7159"/>
    <w:rsid w:val="30ED79BA"/>
    <w:rsid w:val="30F10FED"/>
    <w:rsid w:val="30F30104"/>
    <w:rsid w:val="30FF50DE"/>
    <w:rsid w:val="310049FD"/>
    <w:rsid w:val="31091AB9"/>
    <w:rsid w:val="31101099"/>
    <w:rsid w:val="31114307"/>
    <w:rsid w:val="311470F2"/>
    <w:rsid w:val="311E2ED7"/>
    <w:rsid w:val="31280191"/>
    <w:rsid w:val="312863E3"/>
    <w:rsid w:val="31294B7E"/>
    <w:rsid w:val="312B176A"/>
    <w:rsid w:val="312D57A8"/>
    <w:rsid w:val="31375A5B"/>
    <w:rsid w:val="313E07C1"/>
    <w:rsid w:val="31402DA4"/>
    <w:rsid w:val="31453C03"/>
    <w:rsid w:val="31482D42"/>
    <w:rsid w:val="314A45AB"/>
    <w:rsid w:val="314B20D2"/>
    <w:rsid w:val="315148F7"/>
    <w:rsid w:val="31532E23"/>
    <w:rsid w:val="315619EE"/>
    <w:rsid w:val="31574153"/>
    <w:rsid w:val="315C449C"/>
    <w:rsid w:val="31644D19"/>
    <w:rsid w:val="316466C6"/>
    <w:rsid w:val="3179279B"/>
    <w:rsid w:val="317D360B"/>
    <w:rsid w:val="318E3088"/>
    <w:rsid w:val="31901E9C"/>
    <w:rsid w:val="31940792"/>
    <w:rsid w:val="319B6F8D"/>
    <w:rsid w:val="31A33CBC"/>
    <w:rsid w:val="31A61DD6"/>
    <w:rsid w:val="31AA6DF8"/>
    <w:rsid w:val="31AB2B70"/>
    <w:rsid w:val="31AE1873"/>
    <w:rsid w:val="31B82709"/>
    <w:rsid w:val="31BB0BC0"/>
    <w:rsid w:val="31BE5FE3"/>
    <w:rsid w:val="31C02740"/>
    <w:rsid w:val="31C0661C"/>
    <w:rsid w:val="31C14142"/>
    <w:rsid w:val="31C83EB2"/>
    <w:rsid w:val="31CF685F"/>
    <w:rsid w:val="31D05482"/>
    <w:rsid w:val="31D1502B"/>
    <w:rsid w:val="31D30B9E"/>
    <w:rsid w:val="31D8756B"/>
    <w:rsid w:val="31D976DD"/>
    <w:rsid w:val="31DA3958"/>
    <w:rsid w:val="31DF0A58"/>
    <w:rsid w:val="31E42C33"/>
    <w:rsid w:val="31EE68A5"/>
    <w:rsid w:val="31EF6F01"/>
    <w:rsid w:val="31F664E1"/>
    <w:rsid w:val="31F77B64"/>
    <w:rsid w:val="31F80B82"/>
    <w:rsid w:val="32035321"/>
    <w:rsid w:val="32087FC3"/>
    <w:rsid w:val="320B289A"/>
    <w:rsid w:val="320B2910"/>
    <w:rsid w:val="320F62E8"/>
    <w:rsid w:val="32140715"/>
    <w:rsid w:val="32144BB9"/>
    <w:rsid w:val="321921D0"/>
    <w:rsid w:val="321B63FB"/>
    <w:rsid w:val="321F3EBE"/>
    <w:rsid w:val="32220EC5"/>
    <w:rsid w:val="32244DFC"/>
    <w:rsid w:val="322C509C"/>
    <w:rsid w:val="32316F1C"/>
    <w:rsid w:val="323A4CC3"/>
    <w:rsid w:val="323C1BAF"/>
    <w:rsid w:val="323D4FEB"/>
    <w:rsid w:val="323E39E4"/>
    <w:rsid w:val="32400B34"/>
    <w:rsid w:val="3241643E"/>
    <w:rsid w:val="324A2389"/>
    <w:rsid w:val="324D2459"/>
    <w:rsid w:val="324F3ED3"/>
    <w:rsid w:val="32512471"/>
    <w:rsid w:val="325154C6"/>
    <w:rsid w:val="32535D24"/>
    <w:rsid w:val="3265795A"/>
    <w:rsid w:val="32664ABA"/>
    <w:rsid w:val="326D0505"/>
    <w:rsid w:val="3273564B"/>
    <w:rsid w:val="327F0285"/>
    <w:rsid w:val="327F6CA0"/>
    <w:rsid w:val="32857CE4"/>
    <w:rsid w:val="3286409A"/>
    <w:rsid w:val="32897AE4"/>
    <w:rsid w:val="328E04C8"/>
    <w:rsid w:val="329055FB"/>
    <w:rsid w:val="32905708"/>
    <w:rsid w:val="32917FB8"/>
    <w:rsid w:val="32956EC4"/>
    <w:rsid w:val="3296737C"/>
    <w:rsid w:val="329A50BF"/>
    <w:rsid w:val="329E6876"/>
    <w:rsid w:val="32A35AD3"/>
    <w:rsid w:val="32A67A2B"/>
    <w:rsid w:val="32AB107A"/>
    <w:rsid w:val="32B67A1F"/>
    <w:rsid w:val="32B74679"/>
    <w:rsid w:val="32BC3287"/>
    <w:rsid w:val="32C86FE3"/>
    <w:rsid w:val="32CB62C2"/>
    <w:rsid w:val="32CD0439"/>
    <w:rsid w:val="32CF7DD0"/>
    <w:rsid w:val="32D3412D"/>
    <w:rsid w:val="32D75F52"/>
    <w:rsid w:val="32DD31FD"/>
    <w:rsid w:val="32E12CEE"/>
    <w:rsid w:val="32E807C0"/>
    <w:rsid w:val="32EE0F67"/>
    <w:rsid w:val="32F347CF"/>
    <w:rsid w:val="32F742BF"/>
    <w:rsid w:val="32FD1952"/>
    <w:rsid w:val="32FF1F75"/>
    <w:rsid w:val="32FF3876"/>
    <w:rsid w:val="33016F58"/>
    <w:rsid w:val="33022C64"/>
    <w:rsid w:val="3309758F"/>
    <w:rsid w:val="330B3EFF"/>
    <w:rsid w:val="330C0FF8"/>
    <w:rsid w:val="330C350E"/>
    <w:rsid w:val="330C6C9B"/>
    <w:rsid w:val="3310161C"/>
    <w:rsid w:val="331A77C2"/>
    <w:rsid w:val="331D1E52"/>
    <w:rsid w:val="331D7A9E"/>
    <w:rsid w:val="33284891"/>
    <w:rsid w:val="332C6426"/>
    <w:rsid w:val="3330157F"/>
    <w:rsid w:val="333015F2"/>
    <w:rsid w:val="33333A89"/>
    <w:rsid w:val="333742B3"/>
    <w:rsid w:val="33380434"/>
    <w:rsid w:val="333E6D47"/>
    <w:rsid w:val="33423532"/>
    <w:rsid w:val="33435756"/>
    <w:rsid w:val="334B6320"/>
    <w:rsid w:val="334E7C57"/>
    <w:rsid w:val="33525999"/>
    <w:rsid w:val="33550FE6"/>
    <w:rsid w:val="33572FB0"/>
    <w:rsid w:val="3361798A"/>
    <w:rsid w:val="336442B8"/>
    <w:rsid w:val="336D0FFA"/>
    <w:rsid w:val="337771AE"/>
    <w:rsid w:val="33784CD4"/>
    <w:rsid w:val="33865058"/>
    <w:rsid w:val="338B4A07"/>
    <w:rsid w:val="338D4C23"/>
    <w:rsid w:val="338E62A6"/>
    <w:rsid w:val="33993129"/>
    <w:rsid w:val="33A0249C"/>
    <w:rsid w:val="33AF4B9A"/>
    <w:rsid w:val="33B51A84"/>
    <w:rsid w:val="33B57CD6"/>
    <w:rsid w:val="33C43F6C"/>
    <w:rsid w:val="33C7011B"/>
    <w:rsid w:val="33C76CDC"/>
    <w:rsid w:val="33CB74FA"/>
    <w:rsid w:val="33D16FF0"/>
    <w:rsid w:val="33D26ADA"/>
    <w:rsid w:val="33D6196F"/>
    <w:rsid w:val="33D934D4"/>
    <w:rsid w:val="33DC34B5"/>
    <w:rsid w:val="33DE0FDB"/>
    <w:rsid w:val="33DE56E7"/>
    <w:rsid w:val="33E660E2"/>
    <w:rsid w:val="33E77129"/>
    <w:rsid w:val="33FE2F6A"/>
    <w:rsid w:val="34017DC6"/>
    <w:rsid w:val="340E07E5"/>
    <w:rsid w:val="34120C85"/>
    <w:rsid w:val="34235BF7"/>
    <w:rsid w:val="342F02AC"/>
    <w:rsid w:val="342F5CDB"/>
    <w:rsid w:val="343261D9"/>
    <w:rsid w:val="34347D82"/>
    <w:rsid w:val="34352622"/>
    <w:rsid w:val="3437693D"/>
    <w:rsid w:val="34382F9E"/>
    <w:rsid w:val="34480B4A"/>
    <w:rsid w:val="344F012B"/>
    <w:rsid w:val="344F04C2"/>
    <w:rsid w:val="345179FF"/>
    <w:rsid w:val="34525525"/>
    <w:rsid w:val="34640C62"/>
    <w:rsid w:val="34645984"/>
    <w:rsid w:val="346911EC"/>
    <w:rsid w:val="346A0AC1"/>
    <w:rsid w:val="346C1981"/>
    <w:rsid w:val="347E456C"/>
    <w:rsid w:val="34854D79"/>
    <w:rsid w:val="348B1D21"/>
    <w:rsid w:val="34963664"/>
    <w:rsid w:val="349744F2"/>
    <w:rsid w:val="349A13A6"/>
    <w:rsid w:val="349D4D61"/>
    <w:rsid w:val="34A165BD"/>
    <w:rsid w:val="34A8146D"/>
    <w:rsid w:val="34A841CD"/>
    <w:rsid w:val="34A915E9"/>
    <w:rsid w:val="34A9783B"/>
    <w:rsid w:val="34AE3693"/>
    <w:rsid w:val="34B02F5C"/>
    <w:rsid w:val="34B359E3"/>
    <w:rsid w:val="34B73989"/>
    <w:rsid w:val="34B8182C"/>
    <w:rsid w:val="34BC2275"/>
    <w:rsid w:val="34C06933"/>
    <w:rsid w:val="34C127B3"/>
    <w:rsid w:val="34C47A32"/>
    <w:rsid w:val="34C67823"/>
    <w:rsid w:val="34CD158B"/>
    <w:rsid w:val="34D128EE"/>
    <w:rsid w:val="34DA1D12"/>
    <w:rsid w:val="34E152F0"/>
    <w:rsid w:val="34E50618"/>
    <w:rsid w:val="34E52D2A"/>
    <w:rsid w:val="34E83EDF"/>
    <w:rsid w:val="34EC50F6"/>
    <w:rsid w:val="34ED7EF4"/>
    <w:rsid w:val="34EE7003"/>
    <w:rsid w:val="34F17BD2"/>
    <w:rsid w:val="34F31C6D"/>
    <w:rsid w:val="34F32864"/>
    <w:rsid w:val="34F76C00"/>
    <w:rsid w:val="34F9181E"/>
    <w:rsid w:val="34FD1F97"/>
    <w:rsid w:val="34FD7B87"/>
    <w:rsid w:val="34FF745B"/>
    <w:rsid w:val="35006496"/>
    <w:rsid w:val="35011425"/>
    <w:rsid w:val="35061BEB"/>
    <w:rsid w:val="350835B7"/>
    <w:rsid w:val="350B5E00"/>
    <w:rsid w:val="35162618"/>
    <w:rsid w:val="351A26AD"/>
    <w:rsid w:val="351A5B50"/>
    <w:rsid w:val="351A6687"/>
    <w:rsid w:val="351C625F"/>
    <w:rsid w:val="35280B04"/>
    <w:rsid w:val="35284ED7"/>
    <w:rsid w:val="352B64A2"/>
    <w:rsid w:val="35302879"/>
    <w:rsid w:val="353273FC"/>
    <w:rsid w:val="35336A8F"/>
    <w:rsid w:val="35352E7D"/>
    <w:rsid w:val="3536285A"/>
    <w:rsid w:val="35414E83"/>
    <w:rsid w:val="3547587F"/>
    <w:rsid w:val="35497529"/>
    <w:rsid w:val="354B26A0"/>
    <w:rsid w:val="3550415A"/>
    <w:rsid w:val="3555351F"/>
    <w:rsid w:val="355C48AD"/>
    <w:rsid w:val="355D3F38"/>
    <w:rsid w:val="355F439E"/>
    <w:rsid w:val="3562499E"/>
    <w:rsid w:val="35660394"/>
    <w:rsid w:val="356653D8"/>
    <w:rsid w:val="356B2D42"/>
    <w:rsid w:val="356C7BB0"/>
    <w:rsid w:val="357716E7"/>
    <w:rsid w:val="35775243"/>
    <w:rsid w:val="35777939"/>
    <w:rsid w:val="35797DA0"/>
    <w:rsid w:val="357A2F85"/>
    <w:rsid w:val="357A3318"/>
    <w:rsid w:val="357E0CC8"/>
    <w:rsid w:val="357F234A"/>
    <w:rsid w:val="3583008C"/>
    <w:rsid w:val="358362DE"/>
    <w:rsid w:val="35841462"/>
    <w:rsid w:val="358418FF"/>
    <w:rsid w:val="3586192A"/>
    <w:rsid w:val="358B5193"/>
    <w:rsid w:val="358C5FA8"/>
    <w:rsid w:val="359C73A0"/>
    <w:rsid w:val="359E4828"/>
    <w:rsid w:val="35A91D73"/>
    <w:rsid w:val="35AD5109"/>
    <w:rsid w:val="35B263A1"/>
    <w:rsid w:val="35B46497"/>
    <w:rsid w:val="35B6666C"/>
    <w:rsid w:val="35BC359E"/>
    <w:rsid w:val="35BE79BB"/>
    <w:rsid w:val="35C10BB4"/>
    <w:rsid w:val="35C15DF1"/>
    <w:rsid w:val="35C80195"/>
    <w:rsid w:val="35C975B9"/>
    <w:rsid w:val="35CA46A7"/>
    <w:rsid w:val="35CC0677"/>
    <w:rsid w:val="35CD1307"/>
    <w:rsid w:val="35CD57AB"/>
    <w:rsid w:val="35CE6E2D"/>
    <w:rsid w:val="35D46B3A"/>
    <w:rsid w:val="35D54660"/>
    <w:rsid w:val="35D5682F"/>
    <w:rsid w:val="35DA584C"/>
    <w:rsid w:val="35DC279E"/>
    <w:rsid w:val="35DE3514"/>
    <w:rsid w:val="35EA13B3"/>
    <w:rsid w:val="35EA1EB9"/>
    <w:rsid w:val="35ED7BFB"/>
    <w:rsid w:val="35EF5721"/>
    <w:rsid w:val="35F25212"/>
    <w:rsid w:val="35F57E0B"/>
    <w:rsid w:val="35F81A92"/>
    <w:rsid w:val="35FC1BEC"/>
    <w:rsid w:val="360311CD"/>
    <w:rsid w:val="36070CBD"/>
    <w:rsid w:val="36074A7F"/>
    <w:rsid w:val="36074B6F"/>
    <w:rsid w:val="36121410"/>
    <w:rsid w:val="36131B0B"/>
    <w:rsid w:val="3614411B"/>
    <w:rsid w:val="36154A5C"/>
    <w:rsid w:val="361A4A58"/>
    <w:rsid w:val="361E166C"/>
    <w:rsid w:val="36280C33"/>
    <w:rsid w:val="362A5FE2"/>
    <w:rsid w:val="362B6E49"/>
    <w:rsid w:val="36356EAC"/>
    <w:rsid w:val="363650FE"/>
    <w:rsid w:val="363C023B"/>
    <w:rsid w:val="363D4742"/>
    <w:rsid w:val="36405F1E"/>
    <w:rsid w:val="36462E68"/>
    <w:rsid w:val="3647517A"/>
    <w:rsid w:val="36484E32"/>
    <w:rsid w:val="364A4237"/>
    <w:rsid w:val="364A6DFC"/>
    <w:rsid w:val="36520DD3"/>
    <w:rsid w:val="36523A27"/>
    <w:rsid w:val="36577C54"/>
    <w:rsid w:val="365B2DB7"/>
    <w:rsid w:val="366F0610"/>
    <w:rsid w:val="367529DA"/>
    <w:rsid w:val="367914A0"/>
    <w:rsid w:val="36794FEB"/>
    <w:rsid w:val="367C137F"/>
    <w:rsid w:val="368C4D1E"/>
    <w:rsid w:val="368D02E5"/>
    <w:rsid w:val="368E0642"/>
    <w:rsid w:val="36910587"/>
    <w:rsid w:val="36923549"/>
    <w:rsid w:val="36962041"/>
    <w:rsid w:val="36963DEF"/>
    <w:rsid w:val="36B57D03"/>
    <w:rsid w:val="36B75FBF"/>
    <w:rsid w:val="36BA433B"/>
    <w:rsid w:val="36BD0C45"/>
    <w:rsid w:val="36C22631"/>
    <w:rsid w:val="36C3068E"/>
    <w:rsid w:val="36CD0C7C"/>
    <w:rsid w:val="36D13079"/>
    <w:rsid w:val="36D26D1E"/>
    <w:rsid w:val="36D668E1"/>
    <w:rsid w:val="36E27034"/>
    <w:rsid w:val="36E83F1F"/>
    <w:rsid w:val="36F4364C"/>
    <w:rsid w:val="36F9749B"/>
    <w:rsid w:val="36FA4E0F"/>
    <w:rsid w:val="36FF7BE6"/>
    <w:rsid w:val="37031712"/>
    <w:rsid w:val="37040D59"/>
    <w:rsid w:val="370945C1"/>
    <w:rsid w:val="370D0427"/>
    <w:rsid w:val="370F16D6"/>
    <w:rsid w:val="37130057"/>
    <w:rsid w:val="3713451D"/>
    <w:rsid w:val="37162EF3"/>
    <w:rsid w:val="371B2546"/>
    <w:rsid w:val="371C7816"/>
    <w:rsid w:val="371F7D04"/>
    <w:rsid w:val="37210568"/>
    <w:rsid w:val="37242211"/>
    <w:rsid w:val="372431A9"/>
    <w:rsid w:val="37265173"/>
    <w:rsid w:val="372D7FF2"/>
    <w:rsid w:val="373D070E"/>
    <w:rsid w:val="373D3165"/>
    <w:rsid w:val="374750E9"/>
    <w:rsid w:val="374B2E2B"/>
    <w:rsid w:val="374D7016"/>
    <w:rsid w:val="375515B4"/>
    <w:rsid w:val="37596BE7"/>
    <w:rsid w:val="375B2943"/>
    <w:rsid w:val="37611701"/>
    <w:rsid w:val="376173AC"/>
    <w:rsid w:val="37620175"/>
    <w:rsid w:val="37634349"/>
    <w:rsid w:val="376D0D73"/>
    <w:rsid w:val="3774188A"/>
    <w:rsid w:val="37814BF8"/>
    <w:rsid w:val="378241E9"/>
    <w:rsid w:val="37863E63"/>
    <w:rsid w:val="378A6E0D"/>
    <w:rsid w:val="37910ACC"/>
    <w:rsid w:val="379272E6"/>
    <w:rsid w:val="37950385"/>
    <w:rsid w:val="37971BCD"/>
    <w:rsid w:val="37991DE9"/>
    <w:rsid w:val="379C0B45"/>
    <w:rsid w:val="37A02291"/>
    <w:rsid w:val="37A66995"/>
    <w:rsid w:val="37A8202C"/>
    <w:rsid w:val="37A94BA2"/>
    <w:rsid w:val="37B6264F"/>
    <w:rsid w:val="37BB326A"/>
    <w:rsid w:val="37C4498C"/>
    <w:rsid w:val="37C7616F"/>
    <w:rsid w:val="37C869EA"/>
    <w:rsid w:val="37D13BC6"/>
    <w:rsid w:val="37D20015"/>
    <w:rsid w:val="37D344AD"/>
    <w:rsid w:val="37D70BC3"/>
    <w:rsid w:val="37D72911"/>
    <w:rsid w:val="37D83F93"/>
    <w:rsid w:val="37D96F9C"/>
    <w:rsid w:val="37DA5909"/>
    <w:rsid w:val="37DD32E2"/>
    <w:rsid w:val="37E00298"/>
    <w:rsid w:val="37E1109A"/>
    <w:rsid w:val="37E1553E"/>
    <w:rsid w:val="37E2174F"/>
    <w:rsid w:val="37E56DDC"/>
    <w:rsid w:val="37E80261"/>
    <w:rsid w:val="37EB3CC7"/>
    <w:rsid w:val="37EE37B7"/>
    <w:rsid w:val="37F20084"/>
    <w:rsid w:val="37F33DCA"/>
    <w:rsid w:val="38005022"/>
    <w:rsid w:val="38013777"/>
    <w:rsid w:val="38022469"/>
    <w:rsid w:val="380234E6"/>
    <w:rsid w:val="380413BF"/>
    <w:rsid w:val="38087231"/>
    <w:rsid w:val="380D0444"/>
    <w:rsid w:val="38187C25"/>
    <w:rsid w:val="382362EA"/>
    <w:rsid w:val="38273AE0"/>
    <w:rsid w:val="3828047D"/>
    <w:rsid w:val="382B2F5D"/>
    <w:rsid w:val="382D3204"/>
    <w:rsid w:val="382F26B3"/>
    <w:rsid w:val="383A5E3D"/>
    <w:rsid w:val="383E473E"/>
    <w:rsid w:val="38415FDC"/>
    <w:rsid w:val="38417D8A"/>
    <w:rsid w:val="38430930"/>
    <w:rsid w:val="38507965"/>
    <w:rsid w:val="3851621F"/>
    <w:rsid w:val="38561A88"/>
    <w:rsid w:val="38575800"/>
    <w:rsid w:val="386121DB"/>
    <w:rsid w:val="3863358F"/>
    <w:rsid w:val="3864073E"/>
    <w:rsid w:val="386B727B"/>
    <w:rsid w:val="386D0B7F"/>
    <w:rsid w:val="387328C9"/>
    <w:rsid w:val="387719FE"/>
    <w:rsid w:val="387800A4"/>
    <w:rsid w:val="38795776"/>
    <w:rsid w:val="387D27B9"/>
    <w:rsid w:val="38822931"/>
    <w:rsid w:val="388B64BB"/>
    <w:rsid w:val="388D2FD0"/>
    <w:rsid w:val="388F0AF6"/>
    <w:rsid w:val="389142C7"/>
    <w:rsid w:val="389205E6"/>
    <w:rsid w:val="38966296"/>
    <w:rsid w:val="389A1363"/>
    <w:rsid w:val="389B1F7E"/>
    <w:rsid w:val="389E09C9"/>
    <w:rsid w:val="38AC16A8"/>
    <w:rsid w:val="38B16CBE"/>
    <w:rsid w:val="38B302F9"/>
    <w:rsid w:val="38B36EDA"/>
    <w:rsid w:val="38B77CE5"/>
    <w:rsid w:val="38B95B73"/>
    <w:rsid w:val="38BC0459"/>
    <w:rsid w:val="38BD198E"/>
    <w:rsid w:val="38BE091C"/>
    <w:rsid w:val="38BE13DB"/>
    <w:rsid w:val="38C24E46"/>
    <w:rsid w:val="38C8225A"/>
    <w:rsid w:val="38C92167"/>
    <w:rsid w:val="38C9319D"/>
    <w:rsid w:val="38CA1425"/>
    <w:rsid w:val="38CF14E1"/>
    <w:rsid w:val="38CF183A"/>
    <w:rsid w:val="38D37892"/>
    <w:rsid w:val="38D91725"/>
    <w:rsid w:val="38E51487"/>
    <w:rsid w:val="38E65DD9"/>
    <w:rsid w:val="38EC7CF6"/>
    <w:rsid w:val="38F12CD3"/>
    <w:rsid w:val="38F142C0"/>
    <w:rsid w:val="38F17A02"/>
    <w:rsid w:val="38F244C5"/>
    <w:rsid w:val="38F31085"/>
    <w:rsid w:val="38F372D7"/>
    <w:rsid w:val="38F375F3"/>
    <w:rsid w:val="38F80D91"/>
    <w:rsid w:val="38F94775"/>
    <w:rsid w:val="38FC0F83"/>
    <w:rsid w:val="38FD1F03"/>
    <w:rsid w:val="39101DFC"/>
    <w:rsid w:val="39111E53"/>
    <w:rsid w:val="39162FC5"/>
    <w:rsid w:val="391B682D"/>
    <w:rsid w:val="391F7852"/>
    <w:rsid w:val="39203E44"/>
    <w:rsid w:val="392971ED"/>
    <w:rsid w:val="392A2FD2"/>
    <w:rsid w:val="392C29C6"/>
    <w:rsid w:val="392E47B3"/>
    <w:rsid w:val="3930052B"/>
    <w:rsid w:val="39325651"/>
    <w:rsid w:val="39333B77"/>
    <w:rsid w:val="39375D39"/>
    <w:rsid w:val="39395293"/>
    <w:rsid w:val="39396CB4"/>
    <w:rsid w:val="393D0552"/>
    <w:rsid w:val="39407539"/>
    <w:rsid w:val="39413A79"/>
    <w:rsid w:val="394C2E8B"/>
    <w:rsid w:val="39504729"/>
    <w:rsid w:val="3954364C"/>
    <w:rsid w:val="3956042C"/>
    <w:rsid w:val="3962620A"/>
    <w:rsid w:val="39676327"/>
    <w:rsid w:val="39680F50"/>
    <w:rsid w:val="396E3AC2"/>
    <w:rsid w:val="396E4BAF"/>
    <w:rsid w:val="397612EC"/>
    <w:rsid w:val="397A79F8"/>
    <w:rsid w:val="397C551E"/>
    <w:rsid w:val="3986495F"/>
    <w:rsid w:val="398720B8"/>
    <w:rsid w:val="398E34A3"/>
    <w:rsid w:val="39916D64"/>
    <w:rsid w:val="39A405D1"/>
    <w:rsid w:val="39AD1BA6"/>
    <w:rsid w:val="39B36C56"/>
    <w:rsid w:val="39B3709D"/>
    <w:rsid w:val="39B60304"/>
    <w:rsid w:val="39BA6046"/>
    <w:rsid w:val="39BB7972"/>
    <w:rsid w:val="39CB2002"/>
    <w:rsid w:val="39CB3DB0"/>
    <w:rsid w:val="39D07618"/>
    <w:rsid w:val="39D61F9D"/>
    <w:rsid w:val="39D776C2"/>
    <w:rsid w:val="39D80764"/>
    <w:rsid w:val="39DB7B85"/>
    <w:rsid w:val="39DF133D"/>
    <w:rsid w:val="39DF3CFF"/>
    <w:rsid w:val="39E35864"/>
    <w:rsid w:val="39E85508"/>
    <w:rsid w:val="39EC2F80"/>
    <w:rsid w:val="39EE64DB"/>
    <w:rsid w:val="39F72DF7"/>
    <w:rsid w:val="39FE4185"/>
    <w:rsid w:val="39FF1CAB"/>
    <w:rsid w:val="39FF7EFD"/>
    <w:rsid w:val="3A096AFB"/>
    <w:rsid w:val="3A0A7CB4"/>
    <w:rsid w:val="3A123FB6"/>
    <w:rsid w:val="3A1A0893"/>
    <w:rsid w:val="3A2160C5"/>
    <w:rsid w:val="3A267DA8"/>
    <w:rsid w:val="3A2B0CF2"/>
    <w:rsid w:val="3A2F2590"/>
    <w:rsid w:val="3A2F518E"/>
    <w:rsid w:val="3A3E2F27"/>
    <w:rsid w:val="3A43603C"/>
    <w:rsid w:val="3A464844"/>
    <w:rsid w:val="3A467FF1"/>
    <w:rsid w:val="3A4F1AB9"/>
    <w:rsid w:val="3A507036"/>
    <w:rsid w:val="3A524858"/>
    <w:rsid w:val="3A533F40"/>
    <w:rsid w:val="3A6F6E31"/>
    <w:rsid w:val="3A7C32FC"/>
    <w:rsid w:val="3A80292E"/>
    <w:rsid w:val="3A872856"/>
    <w:rsid w:val="3A8B353F"/>
    <w:rsid w:val="3A8D72B7"/>
    <w:rsid w:val="3A9458DE"/>
    <w:rsid w:val="3A96260F"/>
    <w:rsid w:val="3A975DF9"/>
    <w:rsid w:val="3A9E3272"/>
    <w:rsid w:val="3AA0503A"/>
    <w:rsid w:val="3AA20FB4"/>
    <w:rsid w:val="3AA24006"/>
    <w:rsid w:val="3AA33AB5"/>
    <w:rsid w:val="3AA83D03"/>
    <w:rsid w:val="3AB577B2"/>
    <w:rsid w:val="3AB900AC"/>
    <w:rsid w:val="3ABB2076"/>
    <w:rsid w:val="3ABB3E24"/>
    <w:rsid w:val="3AC151B3"/>
    <w:rsid w:val="3AC3717D"/>
    <w:rsid w:val="3AC54CA3"/>
    <w:rsid w:val="3AD60C5E"/>
    <w:rsid w:val="3ADD6E62"/>
    <w:rsid w:val="3AE22668"/>
    <w:rsid w:val="3AE5322D"/>
    <w:rsid w:val="3AE570F3"/>
    <w:rsid w:val="3AE96BE3"/>
    <w:rsid w:val="3AEA4709"/>
    <w:rsid w:val="3AEB7108"/>
    <w:rsid w:val="3AF10756"/>
    <w:rsid w:val="3AF47336"/>
    <w:rsid w:val="3AF84CC0"/>
    <w:rsid w:val="3AFE1F63"/>
    <w:rsid w:val="3B027CA5"/>
    <w:rsid w:val="3B037579"/>
    <w:rsid w:val="3B0449E1"/>
    <w:rsid w:val="3B051B7D"/>
    <w:rsid w:val="3B091033"/>
    <w:rsid w:val="3B1663F2"/>
    <w:rsid w:val="3B166E68"/>
    <w:rsid w:val="3B190B4B"/>
    <w:rsid w:val="3B220A43"/>
    <w:rsid w:val="3B27171D"/>
    <w:rsid w:val="3B273268"/>
    <w:rsid w:val="3B293484"/>
    <w:rsid w:val="3B2A2D58"/>
    <w:rsid w:val="3B2C087E"/>
    <w:rsid w:val="3B362B15"/>
    <w:rsid w:val="3B3763D1"/>
    <w:rsid w:val="3B3812C8"/>
    <w:rsid w:val="3B3A078A"/>
    <w:rsid w:val="3B3F32BB"/>
    <w:rsid w:val="3B3F4A55"/>
    <w:rsid w:val="3B4200A1"/>
    <w:rsid w:val="3B4756B8"/>
    <w:rsid w:val="3B4958D4"/>
    <w:rsid w:val="3B4F19D5"/>
    <w:rsid w:val="3B57144D"/>
    <w:rsid w:val="3B573045"/>
    <w:rsid w:val="3B633E12"/>
    <w:rsid w:val="3B716BD9"/>
    <w:rsid w:val="3B7B4F7B"/>
    <w:rsid w:val="3B893F22"/>
    <w:rsid w:val="3B8E32E7"/>
    <w:rsid w:val="3B936ECA"/>
    <w:rsid w:val="3B954675"/>
    <w:rsid w:val="3B9652DE"/>
    <w:rsid w:val="3B98214E"/>
    <w:rsid w:val="3B9B6A03"/>
    <w:rsid w:val="3B9D79CE"/>
    <w:rsid w:val="3B9F54F4"/>
    <w:rsid w:val="3BA23236"/>
    <w:rsid w:val="3BA6165B"/>
    <w:rsid w:val="3BA64AD4"/>
    <w:rsid w:val="3BAC5E63"/>
    <w:rsid w:val="3BB0325D"/>
    <w:rsid w:val="3BB07701"/>
    <w:rsid w:val="3BB07762"/>
    <w:rsid w:val="3BB52F69"/>
    <w:rsid w:val="3BB54A60"/>
    <w:rsid w:val="3BB96A86"/>
    <w:rsid w:val="3BBC42F8"/>
    <w:rsid w:val="3BBC60A6"/>
    <w:rsid w:val="3BC66F24"/>
    <w:rsid w:val="3BC75D9D"/>
    <w:rsid w:val="3BC9680D"/>
    <w:rsid w:val="3BD94C62"/>
    <w:rsid w:val="3BDB619B"/>
    <w:rsid w:val="3BE15B0C"/>
    <w:rsid w:val="3BE23632"/>
    <w:rsid w:val="3BE56A31"/>
    <w:rsid w:val="3BE62D0E"/>
    <w:rsid w:val="3BE76F29"/>
    <w:rsid w:val="3BF21AC7"/>
    <w:rsid w:val="3BF221EF"/>
    <w:rsid w:val="3BF377E9"/>
    <w:rsid w:val="3BFC46F4"/>
    <w:rsid w:val="3BFD046C"/>
    <w:rsid w:val="3C0B0DDB"/>
    <w:rsid w:val="3C0B59C6"/>
    <w:rsid w:val="3C1321A5"/>
    <w:rsid w:val="3C1E5153"/>
    <w:rsid w:val="3C202B7C"/>
    <w:rsid w:val="3C2123AD"/>
    <w:rsid w:val="3C257806"/>
    <w:rsid w:val="3C293F6F"/>
    <w:rsid w:val="3C2F6E1E"/>
    <w:rsid w:val="3C300842"/>
    <w:rsid w:val="3C3420E0"/>
    <w:rsid w:val="3C366A87"/>
    <w:rsid w:val="3C370A88"/>
    <w:rsid w:val="3C413397"/>
    <w:rsid w:val="3C4542ED"/>
    <w:rsid w:val="3C4937DA"/>
    <w:rsid w:val="3C4B7F1D"/>
    <w:rsid w:val="3C4F10AF"/>
    <w:rsid w:val="3C4F64BA"/>
    <w:rsid w:val="3C526F10"/>
    <w:rsid w:val="3C5344AD"/>
    <w:rsid w:val="3C5526D7"/>
    <w:rsid w:val="3C5C1637"/>
    <w:rsid w:val="3C5E715D"/>
    <w:rsid w:val="3C706E90"/>
    <w:rsid w:val="3C771D3C"/>
    <w:rsid w:val="3C7B5B5E"/>
    <w:rsid w:val="3C7C5835"/>
    <w:rsid w:val="3C7D4FFA"/>
    <w:rsid w:val="3C7E77FF"/>
    <w:rsid w:val="3C832524"/>
    <w:rsid w:val="3C8B3CCA"/>
    <w:rsid w:val="3C8E79DF"/>
    <w:rsid w:val="3C925059"/>
    <w:rsid w:val="3C93000D"/>
    <w:rsid w:val="3C9943C8"/>
    <w:rsid w:val="3CA803D8"/>
    <w:rsid w:val="3CAA23A2"/>
    <w:rsid w:val="3CB17EE6"/>
    <w:rsid w:val="3CB44FCF"/>
    <w:rsid w:val="3CBA2232"/>
    <w:rsid w:val="3CBB45AF"/>
    <w:rsid w:val="3CBE016E"/>
    <w:rsid w:val="3CC1149A"/>
    <w:rsid w:val="3CC35212"/>
    <w:rsid w:val="3CC855A0"/>
    <w:rsid w:val="3CD029E3"/>
    <w:rsid w:val="3CD76F0F"/>
    <w:rsid w:val="3CDA245A"/>
    <w:rsid w:val="3CE31410"/>
    <w:rsid w:val="3CF0088C"/>
    <w:rsid w:val="3CF278A5"/>
    <w:rsid w:val="3CF81052"/>
    <w:rsid w:val="3CF962AB"/>
    <w:rsid w:val="3CFC3141"/>
    <w:rsid w:val="3D011E26"/>
    <w:rsid w:val="3D0137C6"/>
    <w:rsid w:val="3D031AB2"/>
    <w:rsid w:val="3D0A1093"/>
    <w:rsid w:val="3D0E59F4"/>
    <w:rsid w:val="3D0F737F"/>
    <w:rsid w:val="3D121CF5"/>
    <w:rsid w:val="3D123BCB"/>
    <w:rsid w:val="3D191E32"/>
    <w:rsid w:val="3D1E06B7"/>
    <w:rsid w:val="3D1E257B"/>
    <w:rsid w:val="3D1E68EC"/>
    <w:rsid w:val="3D1F7CE1"/>
    <w:rsid w:val="3D203927"/>
    <w:rsid w:val="3D204412"/>
    <w:rsid w:val="3D225E7D"/>
    <w:rsid w:val="3D25186F"/>
    <w:rsid w:val="3D271C45"/>
    <w:rsid w:val="3D286406"/>
    <w:rsid w:val="3D2C2DB7"/>
    <w:rsid w:val="3D2E3046"/>
    <w:rsid w:val="3D2E3DBF"/>
    <w:rsid w:val="3D3478E0"/>
    <w:rsid w:val="3D3507B9"/>
    <w:rsid w:val="3D3879AE"/>
    <w:rsid w:val="3D3B749E"/>
    <w:rsid w:val="3D3C1B2E"/>
    <w:rsid w:val="3D415C93"/>
    <w:rsid w:val="3D427D5D"/>
    <w:rsid w:val="3D452ED7"/>
    <w:rsid w:val="3D4C4A76"/>
    <w:rsid w:val="3D4D5B5D"/>
    <w:rsid w:val="3D4E5423"/>
    <w:rsid w:val="3D4E79D0"/>
    <w:rsid w:val="3D574181"/>
    <w:rsid w:val="3D5C3985"/>
    <w:rsid w:val="3D605AF2"/>
    <w:rsid w:val="3D695DB9"/>
    <w:rsid w:val="3D6E33D0"/>
    <w:rsid w:val="3D74650C"/>
    <w:rsid w:val="3D7606D4"/>
    <w:rsid w:val="3D7B4A66"/>
    <w:rsid w:val="3D8D1617"/>
    <w:rsid w:val="3D8D609A"/>
    <w:rsid w:val="3D9372DA"/>
    <w:rsid w:val="3D9425AC"/>
    <w:rsid w:val="3D974EEA"/>
    <w:rsid w:val="3D9A2417"/>
    <w:rsid w:val="3D9A7546"/>
    <w:rsid w:val="3D9C11F7"/>
    <w:rsid w:val="3D9D1F07"/>
    <w:rsid w:val="3DA037A5"/>
    <w:rsid w:val="3DA07301"/>
    <w:rsid w:val="3DAB63D2"/>
    <w:rsid w:val="3DB039E8"/>
    <w:rsid w:val="3DB159B2"/>
    <w:rsid w:val="3DB9425A"/>
    <w:rsid w:val="3DBB238D"/>
    <w:rsid w:val="3DBB771F"/>
    <w:rsid w:val="3DBF1E7D"/>
    <w:rsid w:val="3DBF668A"/>
    <w:rsid w:val="3DCD3FB6"/>
    <w:rsid w:val="3DCD678F"/>
    <w:rsid w:val="3DCE3E6E"/>
    <w:rsid w:val="3DD516A1"/>
    <w:rsid w:val="3DD84CED"/>
    <w:rsid w:val="3DDE0603"/>
    <w:rsid w:val="3DE546C0"/>
    <w:rsid w:val="3DE6740A"/>
    <w:rsid w:val="3DE840A7"/>
    <w:rsid w:val="3DE95753"/>
    <w:rsid w:val="3DE95C9F"/>
    <w:rsid w:val="3DEB6956"/>
    <w:rsid w:val="3DEC2EB6"/>
    <w:rsid w:val="3DEC562A"/>
    <w:rsid w:val="3DF25DB9"/>
    <w:rsid w:val="3DF820F2"/>
    <w:rsid w:val="3DF93DE0"/>
    <w:rsid w:val="3DF96E3A"/>
    <w:rsid w:val="3DFE25E4"/>
    <w:rsid w:val="3DFF102B"/>
    <w:rsid w:val="3E01686C"/>
    <w:rsid w:val="3E0344B3"/>
    <w:rsid w:val="3E0556A4"/>
    <w:rsid w:val="3E104487"/>
    <w:rsid w:val="3E121833"/>
    <w:rsid w:val="3E1321C9"/>
    <w:rsid w:val="3E156429"/>
    <w:rsid w:val="3E157254"/>
    <w:rsid w:val="3E157CEF"/>
    <w:rsid w:val="3E18333B"/>
    <w:rsid w:val="3E1A70B4"/>
    <w:rsid w:val="3E1C107E"/>
    <w:rsid w:val="3E26540F"/>
    <w:rsid w:val="3E285C74"/>
    <w:rsid w:val="3E292D54"/>
    <w:rsid w:val="3E29379B"/>
    <w:rsid w:val="3E2C2EB4"/>
    <w:rsid w:val="3E3068D7"/>
    <w:rsid w:val="3E321294"/>
    <w:rsid w:val="3E330175"/>
    <w:rsid w:val="3E35213F"/>
    <w:rsid w:val="3E3839DE"/>
    <w:rsid w:val="3E3A1504"/>
    <w:rsid w:val="3E3C050B"/>
    <w:rsid w:val="3E432C35"/>
    <w:rsid w:val="3E4660FB"/>
    <w:rsid w:val="3E4800C5"/>
    <w:rsid w:val="3E4B1963"/>
    <w:rsid w:val="3E566CAD"/>
    <w:rsid w:val="3E57744F"/>
    <w:rsid w:val="3E596C01"/>
    <w:rsid w:val="3E5973BD"/>
    <w:rsid w:val="3E5B104F"/>
    <w:rsid w:val="3E5D51F2"/>
    <w:rsid w:val="3E5F093C"/>
    <w:rsid w:val="3E6C59E0"/>
    <w:rsid w:val="3E707F93"/>
    <w:rsid w:val="3E74081F"/>
    <w:rsid w:val="3E776588"/>
    <w:rsid w:val="3E80785E"/>
    <w:rsid w:val="3E8611F6"/>
    <w:rsid w:val="3E8D4B08"/>
    <w:rsid w:val="3E990920"/>
    <w:rsid w:val="3E9E5F37"/>
    <w:rsid w:val="3EA37367"/>
    <w:rsid w:val="3EA6303D"/>
    <w:rsid w:val="3EA64DEB"/>
    <w:rsid w:val="3EAF1EF2"/>
    <w:rsid w:val="3EB62B11"/>
    <w:rsid w:val="3EB92D70"/>
    <w:rsid w:val="3EB94B1E"/>
    <w:rsid w:val="3EC731D4"/>
    <w:rsid w:val="3ECF128B"/>
    <w:rsid w:val="3ED075D4"/>
    <w:rsid w:val="3ED5122D"/>
    <w:rsid w:val="3ED65299"/>
    <w:rsid w:val="3EDA0523"/>
    <w:rsid w:val="3EE17BD1"/>
    <w:rsid w:val="3EE576C2"/>
    <w:rsid w:val="3EEA664C"/>
    <w:rsid w:val="3EEC4EF4"/>
    <w:rsid w:val="3EEC6CA2"/>
    <w:rsid w:val="3EEE3144"/>
    <w:rsid w:val="3EF21DDE"/>
    <w:rsid w:val="3EF47905"/>
    <w:rsid w:val="3EF66EFD"/>
    <w:rsid w:val="3EFC2C5D"/>
    <w:rsid w:val="3EFD0EAF"/>
    <w:rsid w:val="3EFF5D23"/>
    <w:rsid w:val="3F0264C5"/>
    <w:rsid w:val="3F034D2F"/>
    <w:rsid w:val="3F051B12"/>
    <w:rsid w:val="3F052E6A"/>
    <w:rsid w:val="3F0B1D20"/>
    <w:rsid w:val="3F125FDD"/>
    <w:rsid w:val="3F1862FB"/>
    <w:rsid w:val="3F1C079E"/>
    <w:rsid w:val="3F1C5311"/>
    <w:rsid w:val="3F204B9E"/>
    <w:rsid w:val="3F217C2E"/>
    <w:rsid w:val="3F233CB4"/>
    <w:rsid w:val="3F2C64D9"/>
    <w:rsid w:val="3F2F3033"/>
    <w:rsid w:val="3F334164"/>
    <w:rsid w:val="3F3B19D7"/>
    <w:rsid w:val="3F3D222A"/>
    <w:rsid w:val="3F402B4A"/>
    <w:rsid w:val="3F406FEE"/>
    <w:rsid w:val="3F43263A"/>
    <w:rsid w:val="3F4737E3"/>
    <w:rsid w:val="3F4A39C9"/>
    <w:rsid w:val="3F5201EC"/>
    <w:rsid w:val="3F5406C8"/>
    <w:rsid w:val="3F5C0AB7"/>
    <w:rsid w:val="3F5D7C9F"/>
    <w:rsid w:val="3F636838"/>
    <w:rsid w:val="3F6B34B2"/>
    <w:rsid w:val="3F7171A7"/>
    <w:rsid w:val="3F7667DD"/>
    <w:rsid w:val="3F781B55"/>
    <w:rsid w:val="3F7B1DD4"/>
    <w:rsid w:val="3F827B6A"/>
    <w:rsid w:val="3F8539F8"/>
    <w:rsid w:val="3F8C2AC6"/>
    <w:rsid w:val="3F8E13F7"/>
    <w:rsid w:val="3F9115F7"/>
    <w:rsid w:val="3F917849"/>
    <w:rsid w:val="3F932A3E"/>
    <w:rsid w:val="3F9B06C8"/>
    <w:rsid w:val="3F9C31D5"/>
    <w:rsid w:val="3F9D61EE"/>
    <w:rsid w:val="3FA01B56"/>
    <w:rsid w:val="3FA04B59"/>
    <w:rsid w:val="3FA060B2"/>
    <w:rsid w:val="3FA22B90"/>
    <w:rsid w:val="3FA23805"/>
    <w:rsid w:val="3FA431BC"/>
    <w:rsid w:val="3FB12A0C"/>
    <w:rsid w:val="3FB157F6"/>
    <w:rsid w:val="3FB3156E"/>
    <w:rsid w:val="3FB322F2"/>
    <w:rsid w:val="3FB6105E"/>
    <w:rsid w:val="3FB77239"/>
    <w:rsid w:val="3FC4377B"/>
    <w:rsid w:val="3FC50A7D"/>
    <w:rsid w:val="3FCE0156"/>
    <w:rsid w:val="3FCF509C"/>
    <w:rsid w:val="3FD17EB9"/>
    <w:rsid w:val="3FDB69E9"/>
    <w:rsid w:val="3FE47979"/>
    <w:rsid w:val="3FE81FE4"/>
    <w:rsid w:val="3FEA6678"/>
    <w:rsid w:val="3FEB6F5A"/>
    <w:rsid w:val="3FED06D0"/>
    <w:rsid w:val="3FEE6A4A"/>
    <w:rsid w:val="3FF04570"/>
    <w:rsid w:val="3FFB4CC3"/>
    <w:rsid w:val="3FFC33CA"/>
    <w:rsid w:val="3FFC6AA9"/>
    <w:rsid w:val="4000567F"/>
    <w:rsid w:val="40074D52"/>
    <w:rsid w:val="400778EE"/>
    <w:rsid w:val="40077B0C"/>
    <w:rsid w:val="400A0B15"/>
    <w:rsid w:val="400C0C7E"/>
    <w:rsid w:val="4012492F"/>
    <w:rsid w:val="401631E4"/>
    <w:rsid w:val="401A15ED"/>
    <w:rsid w:val="401C2B1D"/>
    <w:rsid w:val="402045AD"/>
    <w:rsid w:val="402B1A4C"/>
    <w:rsid w:val="402E32EA"/>
    <w:rsid w:val="40324B88"/>
    <w:rsid w:val="40377318"/>
    <w:rsid w:val="40381597"/>
    <w:rsid w:val="40384243"/>
    <w:rsid w:val="404034E5"/>
    <w:rsid w:val="40407284"/>
    <w:rsid w:val="40416B7A"/>
    <w:rsid w:val="40420B44"/>
    <w:rsid w:val="404448BC"/>
    <w:rsid w:val="40452963"/>
    <w:rsid w:val="40460BE0"/>
    <w:rsid w:val="404B102A"/>
    <w:rsid w:val="404C569E"/>
    <w:rsid w:val="40575D69"/>
    <w:rsid w:val="405A5E8D"/>
    <w:rsid w:val="40604C5C"/>
    <w:rsid w:val="40644F5E"/>
    <w:rsid w:val="406805AA"/>
    <w:rsid w:val="406E7B8B"/>
    <w:rsid w:val="40754A75"/>
    <w:rsid w:val="4079782F"/>
    <w:rsid w:val="407A535C"/>
    <w:rsid w:val="407A6407"/>
    <w:rsid w:val="407C5E04"/>
    <w:rsid w:val="407E5835"/>
    <w:rsid w:val="407F58F4"/>
    <w:rsid w:val="407F76A2"/>
    <w:rsid w:val="408171DD"/>
    <w:rsid w:val="408B7F60"/>
    <w:rsid w:val="40907B01"/>
    <w:rsid w:val="409D1DE9"/>
    <w:rsid w:val="40A23744"/>
    <w:rsid w:val="40A37834"/>
    <w:rsid w:val="40A40C06"/>
    <w:rsid w:val="40A92F82"/>
    <w:rsid w:val="40AA20F5"/>
    <w:rsid w:val="40AF61D9"/>
    <w:rsid w:val="40BF6053"/>
    <w:rsid w:val="40C96B6F"/>
    <w:rsid w:val="40CA3013"/>
    <w:rsid w:val="40CD0775"/>
    <w:rsid w:val="40CD3EC6"/>
    <w:rsid w:val="40D73D29"/>
    <w:rsid w:val="40D91077"/>
    <w:rsid w:val="40DA0D7C"/>
    <w:rsid w:val="40DB5E0B"/>
    <w:rsid w:val="40DD183E"/>
    <w:rsid w:val="40DE6ABE"/>
    <w:rsid w:val="40E37C31"/>
    <w:rsid w:val="40E4515D"/>
    <w:rsid w:val="40E816EB"/>
    <w:rsid w:val="40ED7D5D"/>
    <w:rsid w:val="40F91D6E"/>
    <w:rsid w:val="40F94291"/>
    <w:rsid w:val="40FE2CBD"/>
    <w:rsid w:val="410236AA"/>
    <w:rsid w:val="41032081"/>
    <w:rsid w:val="411249BA"/>
    <w:rsid w:val="411307DB"/>
    <w:rsid w:val="41195D48"/>
    <w:rsid w:val="411C0819"/>
    <w:rsid w:val="41292928"/>
    <w:rsid w:val="41293E29"/>
    <w:rsid w:val="412D35A2"/>
    <w:rsid w:val="412F2E76"/>
    <w:rsid w:val="412F731A"/>
    <w:rsid w:val="41367318"/>
    <w:rsid w:val="41417FFF"/>
    <w:rsid w:val="41441235"/>
    <w:rsid w:val="41450AB0"/>
    <w:rsid w:val="41457A05"/>
    <w:rsid w:val="41472271"/>
    <w:rsid w:val="414A5F02"/>
    <w:rsid w:val="414B3D42"/>
    <w:rsid w:val="414C345E"/>
    <w:rsid w:val="414C3B4A"/>
    <w:rsid w:val="41596145"/>
    <w:rsid w:val="415C79E3"/>
    <w:rsid w:val="415D5C35"/>
    <w:rsid w:val="415E6EB8"/>
    <w:rsid w:val="416A65A4"/>
    <w:rsid w:val="416A7B46"/>
    <w:rsid w:val="416B0A29"/>
    <w:rsid w:val="41727207"/>
    <w:rsid w:val="41780CC1"/>
    <w:rsid w:val="418307EA"/>
    <w:rsid w:val="41886A2A"/>
    <w:rsid w:val="41A33677"/>
    <w:rsid w:val="41A55B96"/>
    <w:rsid w:val="41B1305B"/>
    <w:rsid w:val="41B51804"/>
    <w:rsid w:val="41BE02D2"/>
    <w:rsid w:val="41C0099D"/>
    <w:rsid w:val="41C23074"/>
    <w:rsid w:val="41CA69ED"/>
    <w:rsid w:val="41CE08E1"/>
    <w:rsid w:val="41CF0D50"/>
    <w:rsid w:val="41E35DF5"/>
    <w:rsid w:val="41E579D9"/>
    <w:rsid w:val="41E842F0"/>
    <w:rsid w:val="41F67E38"/>
    <w:rsid w:val="41FA1ECF"/>
    <w:rsid w:val="41FC1FB4"/>
    <w:rsid w:val="41FD51B5"/>
    <w:rsid w:val="41FF4F3E"/>
    <w:rsid w:val="4200449D"/>
    <w:rsid w:val="42024A2E"/>
    <w:rsid w:val="42054C8C"/>
    <w:rsid w:val="42075BA1"/>
    <w:rsid w:val="42083FDA"/>
    <w:rsid w:val="42113E21"/>
    <w:rsid w:val="4211578B"/>
    <w:rsid w:val="42140FEB"/>
    <w:rsid w:val="42167A81"/>
    <w:rsid w:val="42214167"/>
    <w:rsid w:val="42295B17"/>
    <w:rsid w:val="422B7AE1"/>
    <w:rsid w:val="422F6EA6"/>
    <w:rsid w:val="4232248C"/>
    <w:rsid w:val="42366486"/>
    <w:rsid w:val="423A3BCC"/>
    <w:rsid w:val="423A41C8"/>
    <w:rsid w:val="424262B6"/>
    <w:rsid w:val="424741EF"/>
    <w:rsid w:val="424E57D2"/>
    <w:rsid w:val="4251718A"/>
    <w:rsid w:val="425828A0"/>
    <w:rsid w:val="425A03C6"/>
    <w:rsid w:val="425C413F"/>
    <w:rsid w:val="425F2679"/>
    <w:rsid w:val="425F2F04"/>
    <w:rsid w:val="42611755"/>
    <w:rsid w:val="42642FF3"/>
    <w:rsid w:val="426A131F"/>
    <w:rsid w:val="42701998"/>
    <w:rsid w:val="42757563"/>
    <w:rsid w:val="428216CB"/>
    <w:rsid w:val="4288188D"/>
    <w:rsid w:val="428A301F"/>
    <w:rsid w:val="42903DE8"/>
    <w:rsid w:val="42925DB2"/>
    <w:rsid w:val="42935686"/>
    <w:rsid w:val="429531AD"/>
    <w:rsid w:val="429815E1"/>
    <w:rsid w:val="429827B8"/>
    <w:rsid w:val="42996501"/>
    <w:rsid w:val="42AC04F6"/>
    <w:rsid w:val="42AC54A2"/>
    <w:rsid w:val="42B26C49"/>
    <w:rsid w:val="42B52012"/>
    <w:rsid w:val="42BB0811"/>
    <w:rsid w:val="42C03047"/>
    <w:rsid w:val="42CE36A7"/>
    <w:rsid w:val="42D107B5"/>
    <w:rsid w:val="42D77201"/>
    <w:rsid w:val="42DA1507"/>
    <w:rsid w:val="42DE0CD7"/>
    <w:rsid w:val="42DE16E9"/>
    <w:rsid w:val="42E102FD"/>
    <w:rsid w:val="42E12404"/>
    <w:rsid w:val="42E15A85"/>
    <w:rsid w:val="42EB32CE"/>
    <w:rsid w:val="42EB54C2"/>
    <w:rsid w:val="42EF4FB3"/>
    <w:rsid w:val="42F500EF"/>
    <w:rsid w:val="42FF5749"/>
    <w:rsid w:val="4303099F"/>
    <w:rsid w:val="430A1DED"/>
    <w:rsid w:val="430D78DE"/>
    <w:rsid w:val="430E71C5"/>
    <w:rsid w:val="43165E98"/>
    <w:rsid w:val="431F43AB"/>
    <w:rsid w:val="432056A2"/>
    <w:rsid w:val="43212B41"/>
    <w:rsid w:val="43272395"/>
    <w:rsid w:val="43287AED"/>
    <w:rsid w:val="432945B7"/>
    <w:rsid w:val="432B1D63"/>
    <w:rsid w:val="432E715D"/>
    <w:rsid w:val="433131AA"/>
    <w:rsid w:val="43362BE2"/>
    <w:rsid w:val="43370708"/>
    <w:rsid w:val="4339622E"/>
    <w:rsid w:val="433A6FE6"/>
    <w:rsid w:val="433C2D74"/>
    <w:rsid w:val="433D3357"/>
    <w:rsid w:val="4344348C"/>
    <w:rsid w:val="43457534"/>
    <w:rsid w:val="434626F9"/>
    <w:rsid w:val="43480868"/>
    <w:rsid w:val="43490FBF"/>
    <w:rsid w:val="43493C8E"/>
    <w:rsid w:val="434951B8"/>
    <w:rsid w:val="43500374"/>
    <w:rsid w:val="4350713C"/>
    <w:rsid w:val="43595962"/>
    <w:rsid w:val="4365093B"/>
    <w:rsid w:val="436653E0"/>
    <w:rsid w:val="436F39FE"/>
    <w:rsid w:val="437012C7"/>
    <w:rsid w:val="43762FDE"/>
    <w:rsid w:val="4377078F"/>
    <w:rsid w:val="437B54F6"/>
    <w:rsid w:val="437D25BE"/>
    <w:rsid w:val="43851C29"/>
    <w:rsid w:val="43862537"/>
    <w:rsid w:val="43935C63"/>
    <w:rsid w:val="439B0BA5"/>
    <w:rsid w:val="439C056B"/>
    <w:rsid w:val="439D2DFF"/>
    <w:rsid w:val="439E791E"/>
    <w:rsid w:val="43A318F9"/>
    <w:rsid w:val="43AA712C"/>
    <w:rsid w:val="43AC3866"/>
    <w:rsid w:val="43B54465"/>
    <w:rsid w:val="43B6162D"/>
    <w:rsid w:val="43B81849"/>
    <w:rsid w:val="43B835F7"/>
    <w:rsid w:val="43C02452"/>
    <w:rsid w:val="43C060B4"/>
    <w:rsid w:val="43C4431A"/>
    <w:rsid w:val="43CA332A"/>
    <w:rsid w:val="43CC0E50"/>
    <w:rsid w:val="43CC52F4"/>
    <w:rsid w:val="43D321DE"/>
    <w:rsid w:val="43D538CD"/>
    <w:rsid w:val="43DB04B6"/>
    <w:rsid w:val="43DD12AF"/>
    <w:rsid w:val="43DE21E6"/>
    <w:rsid w:val="43E4263E"/>
    <w:rsid w:val="43EE526A"/>
    <w:rsid w:val="43F263DD"/>
    <w:rsid w:val="43FB34E3"/>
    <w:rsid w:val="43FF6F09"/>
    <w:rsid w:val="44044A8E"/>
    <w:rsid w:val="44092ED5"/>
    <w:rsid w:val="440A2717"/>
    <w:rsid w:val="440B4568"/>
    <w:rsid w:val="440D3860"/>
    <w:rsid w:val="440E0C53"/>
    <w:rsid w:val="44150E0F"/>
    <w:rsid w:val="441E11B4"/>
    <w:rsid w:val="442361AF"/>
    <w:rsid w:val="44240C8C"/>
    <w:rsid w:val="442472A6"/>
    <w:rsid w:val="442713A6"/>
    <w:rsid w:val="44276F7A"/>
    <w:rsid w:val="442944F4"/>
    <w:rsid w:val="44296A60"/>
    <w:rsid w:val="442A0C98"/>
    <w:rsid w:val="44306E23"/>
    <w:rsid w:val="44357A2E"/>
    <w:rsid w:val="443B0AC0"/>
    <w:rsid w:val="44432F4C"/>
    <w:rsid w:val="444404EC"/>
    <w:rsid w:val="44507EC5"/>
    <w:rsid w:val="4452415D"/>
    <w:rsid w:val="4453331F"/>
    <w:rsid w:val="44557097"/>
    <w:rsid w:val="445950D3"/>
    <w:rsid w:val="445A2900"/>
    <w:rsid w:val="445F3A72"/>
    <w:rsid w:val="44615A3C"/>
    <w:rsid w:val="446217B4"/>
    <w:rsid w:val="446D2A1D"/>
    <w:rsid w:val="446E419E"/>
    <w:rsid w:val="4470786A"/>
    <w:rsid w:val="44773DC7"/>
    <w:rsid w:val="44794362"/>
    <w:rsid w:val="448F1469"/>
    <w:rsid w:val="44906321"/>
    <w:rsid w:val="44935E12"/>
    <w:rsid w:val="449B6F13"/>
    <w:rsid w:val="449F47B6"/>
    <w:rsid w:val="44A0089A"/>
    <w:rsid w:val="44A037CE"/>
    <w:rsid w:val="44AB543F"/>
    <w:rsid w:val="44AE0556"/>
    <w:rsid w:val="44AE0E14"/>
    <w:rsid w:val="44B060EA"/>
    <w:rsid w:val="44B33DBE"/>
    <w:rsid w:val="44B81283"/>
    <w:rsid w:val="44B951CC"/>
    <w:rsid w:val="44B95661"/>
    <w:rsid w:val="44BA6EFA"/>
    <w:rsid w:val="44C04D73"/>
    <w:rsid w:val="44C36FED"/>
    <w:rsid w:val="44C42B6A"/>
    <w:rsid w:val="44C47D79"/>
    <w:rsid w:val="44C90381"/>
    <w:rsid w:val="44CD14E0"/>
    <w:rsid w:val="44D83825"/>
    <w:rsid w:val="44D83E07"/>
    <w:rsid w:val="44E126D9"/>
    <w:rsid w:val="44E65F41"/>
    <w:rsid w:val="44E96119"/>
    <w:rsid w:val="44F04F4B"/>
    <w:rsid w:val="44F20B0B"/>
    <w:rsid w:val="44F63EA4"/>
    <w:rsid w:val="44F71A43"/>
    <w:rsid w:val="44FE772F"/>
    <w:rsid w:val="4509658E"/>
    <w:rsid w:val="45097E82"/>
    <w:rsid w:val="450B6A36"/>
    <w:rsid w:val="450D1347"/>
    <w:rsid w:val="450E38CC"/>
    <w:rsid w:val="45153463"/>
    <w:rsid w:val="451A10CB"/>
    <w:rsid w:val="451E4D0E"/>
    <w:rsid w:val="45244CBC"/>
    <w:rsid w:val="45274794"/>
    <w:rsid w:val="452E5F4C"/>
    <w:rsid w:val="45321187"/>
    <w:rsid w:val="453273D9"/>
    <w:rsid w:val="45356EC9"/>
    <w:rsid w:val="453663E9"/>
    <w:rsid w:val="4537652B"/>
    <w:rsid w:val="453C3DB3"/>
    <w:rsid w:val="453F26E9"/>
    <w:rsid w:val="454366FA"/>
    <w:rsid w:val="454D26FF"/>
    <w:rsid w:val="45505F06"/>
    <w:rsid w:val="4555317F"/>
    <w:rsid w:val="45557BBB"/>
    <w:rsid w:val="455A2E42"/>
    <w:rsid w:val="455F51E8"/>
    <w:rsid w:val="45603F46"/>
    <w:rsid w:val="45612018"/>
    <w:rsid w:val="45660E30"/>
    <w:rsid w:val="457903DE"/>
    <w:rsid w:val="45804F31"/>
    <w:rsid w:val="45835E86"/>
    <w:rsid w:val="458946E9"/>
    <w:rsid w:val="458D056E"/>
    <w:rsid w:val="458D0DE9"/>
    <w:rsid w:val="45925536"/>
    <w:rsid w:val="45934AF7"/>
    <w:rsid w:val="459E4A6E"/>
    <w:rsid w:val="45A26510"/>
    <w:rsid w:val="45A47C0E"/>
    <w:rsid w:val="45A51959"/>
    <w:rsid w:val="45A86E84"/>
    <w:rsid w:val="45AD70E0"/>
    <w:rsid w:val="45B1409B"/>
    <w:rsid w:val="45B918A8"/>
    <w:rsid w:val="45BD2F79"/>
    <w:rsid w:val="45C5024D"/>
    <w:rsid w:val="45D466E2"/>
    <w:rsid w:val="45DB7BF3"/>
    <w:rsid w:val="45E20144"/>
    <w:rsid w:val="45E948B1"/>
    <w:rsid w:val="45EB6494"/>
    <w:rsid w:val="45F97EF6"/>
    <w:rsid w:val="45FA05BD"/>
    <w:rsid w:val="46070113"/>
    <w:rsid w:val="46082702"/>
    <w:rsid w:val="460E1FB1"/>
    <w:rsid w:val="460F3276"/>
    <w:rsid w:val="461525E2"/>
    <w:rsid w:val="46177F8F"/>
    <w:rsid w:val="46184820"/>
    <w:rsid w:val="462250EE"/>
    <w:rsid w:val="462A3742"/>
    <w:rsid w:val="462B6B5F"/>
    <w:rsid w:val="46320AF8"/>
    <w:rsid w:val="46323946"/>
    <w:rsid w:val="46390CCA"/>
    <w:rsid w:val="463A326F"/>
    <w:rsid w:val="46410F44"/>
    <w:rsid w:val="464C1083"/>
    <w:rsid w:val="46530654"/>
    <w:rsid w:val="465515D1"/>
    <w:rsid w:val="465731F4"/>
    <w:rsid w:val="46577FD6"/>
    <w:rsid w:val="46584C1D"/>
    <w:rsid w:val="465B318B"/>
    <w:rsid w:val="465E69B3"/>
    <w:rsid w:val="465F62BF"/>
    <w:rsid w:val="46641814"/>
    <w:rsid w:val="466510E8"/>
    <w:rsid w:val="466E1DD9"/>
    <w:rsid w:val="4674629A"/>
    <w:rsid w:val="467C75E4"/>
    <w:rsid w:val="467E1892"/>
    <w:rsid w:val="467F21AA"/>
    <w:rsid w:val="468365B4"/>
    <w:rsid w:val="46845A12"/>
    <w:rsid w:val="4685178A"/>
    <w:rsid w:val="46872BD3"/>
    <w:rsid w:val="46875502"/>
    <w:rsid w:val="46937228"/>
    <w:rsid w:val="4695545A"/>
    <w:rsid w:val="4697266F"/>
    <w:rsid w:val="46A458E3"/>
    <w:rsid w:val="46A936CA"/>
    <w:rsid w:val="46AB08C9"/>
    <w:rsid w:val="46B05C97"/>
    <w:rsid w:val="46B67B95"/>
    <w:rsid w:val="46C16C66"/>
    <w:rsid w:val="46C276CE"/>
    <w:rsid w:val="46C934D7"/>
    <w:rsid w:val="46CB755E"/>
    <w:rsid w:val="46CC1FB3"/>
    <w:rsid w:val="46CE4EDF"/>
    <w:rsid w:val="46D4544D"/>
    <w:rsid w:val="46D76D9C"/>
    <w:rsid w:val="46D83FB0"/>
    <w:rsid w:val="46D841BD"/>
    <w:rsid w:val="46D955A7"/>
    <w:rsid w:val="46E66013"/>
    <w:rsid w:val="46E722AE"/>
    <w:rsid w:val="46F2715E"/>
    <w:rsid w:val="46F30DEA"/>
    <w:rsid w:val="46F414DE"/>
    <w:rsid w:val="46F5246C"/>
    <w:rsid w:val="46FA1788"/>
    <w:rsid w:val="46FC5594"/>
    <w:rsid w:val="46FD4400"/>
    <w:rsid w:val="46FD6EB4"/>
    <w:rsid w:val="46FE3577"/>
    <w:rsid w:val="47003815"/>
    <w:rsid w:val="470657DD"/>
    <w:rsid w:val="470B4B04"/>
    <w:rsid w:val="470E79D1"/>
    <w:rsid w:val="47133957"/>
    <w:rsid w:val="4717258D"/>
    <w:rsid w:val="471A0124"/>
    <w:rsid w:val="471C616E"/>
    <w:rsid w:val="471F1BB5"/>
    <w:rsid w:val="472461ED"/>
    <w:rsid w:val="472B0583"/>
    <w:rsid w:val="472E2D47"/>
    <w:rsid w:val="4739367F"/>
    <w:rsid w:val="4739549D"/>
    <w:rsid w:val="473D3E13"/>
    <w:rsid w:val="474214B7"/>
    <w:rsid w:val="474433F3"/>
    <w:rsid w:val="47455236"/>
    <w:rsid w:val="474B29D4"/>
    <w:rsid w:val="4757001C"/>
    <w:rsid w:val="475C24EB"/>
    <w:rsid w:val="475F5F7C"/>
    <w:rsid w:val="476067BD"/>
    <w:rsid w:val="47611807"/>
    <w:rsid w:val="4767462D"/>
    <w:rsid w:val="47675D33"/>
    <w:rsid w:val="477A1772"/>
    <w:rsid w:val="478302A1"/>
    <w:rsid w:val="47840D6F"/>
    <w:rsid w:val="47881934"/>
    <w:rsid w:val="478A7058"/>
    <w:rsid w:val="478C7274"/>
    <w:rsid w:val="479223B1"/>
    <w:rsid w:val="479B1265"/>
    <w:rsid w:val="47A07E0C"/>
    <w:rsid w:val="47A24FAA"/>
    <w:rsid w:val="47A311C0"/>
    <w:rsid w:val="47B10C28"/>
    <w:rsid w:val="47B5004D"/>
    <w:rsid w:val="47B95B8F"/>
    <w:rsid w:val="47D25DFF"/>
    <w:rsid w:val="47D26E0C"/>
    <w:rsid w:val="47D64431"/>
    <w:rsid w:val="47D875B4"/>
    <w:rsid w:val="47D909D6"/>
    <w:rsid w:val="47E0311C"/>
    <w:rsid w:val="47E3640F"/>
    <w:rsid w:val="47EB15FB"/>
    <w:rsid w:val="47F93485"/>
    <w:rsid w:val="47FA426E"/>
    <w:rsid w:val="47FB4CF8"/>
    <w:rsid w:val="47FB7F56"/>
    <w:rsid w:val="48055B08"/>
    <w:rsid w:val="480C5CBF"/>
    <w:rsid w:val="480E14BE"/>
    <w:rsid w:val="48142DC6"/>
    <w:rsid w:val="481B11CD"/>
    <w:rsid w:val="4822140C"/>
    <w:rsid w:val="48240658"/>
    <w:rsid w:val="4824230B"/>
    <w:rsid w:val="482569A2"/>
    <w:rsid w:val="48313978"/>
    <w:rsid w:val="483403BD"/>
    <w:rsid w:val="48343954"/>
    <w:rsid w:val="483901D6"/>
    <w:rsid w:val="483B5DF0"/>
    <w:rsid w:val="48425B85"/>
    <w:rsid w:val="484C255F"/>
    <w:rsid w:val="484F69EF"/>
    <w:rsid w:val="48531B40"/>
    <w:rsid w:val="48547155"/>
    <w:rsid w:val="48547666"/>
    <w:rsid w:val="485674E5"/>
    <w:rsid w:val="485730A2"/>
    <w:rsid w:val="48584752"/>
    <w:rsid w:val="485D29BF"/>
    <w:rsid w:val="485F17DF"/>
    <w:rsid w:val="48643D4D"/>
    <w:rsid w:val="486A0C38"/>
    <w:rsid w:val="486F3400"/>
    <w:rsid w:val="4870272E"/>
    <w:rsid w:val="48806453"/>
    <w:rsid w:val="48885E0A"/>
    <w:rsid w:val="488A3ABB"/>
    <w:rsid w:val="488F1EE9"/>
    <w:rsid w:val="489108BA"/>
    <w:rsid w:val="48926F12"/>
    <w:rsid w:val="4893018E"/>
    <w:rsid w:val="48934632"/>
    <w:rsid w:val="48946DE5"/>
    <w:rsid w:val="489E7916"/>
    <w:rsid w:val="48AD7568"/>
    <w:rsid w:val="48B10A89"/>
    <w:rsid w:val="48BF0F83"/>
    <w:rsid w:val="48C464DC"/>
    <w:rsid w:val="48D47A82"/>
    <w:rsid w:val="48D6451F"/>
    <w:rsid w:val="48D8725E"/>
    <w:rsid w:val="48DD3919"/>
    <w:rsid w:val="48DD765B"/>
    <w:rsid w:val="48DF1625"/>
    <w:rsid w:val="48E91EBC"/>
    <w:rsid w:val="48E924A4"/>
    <w:rsid w:val="48E97BAB"/>
    <w:rsid w:val="48EA3157"/>
    <w:rsid w:val="48EB1D78"/>
    <w:rsid w:val="48EE5521"/>
    <w:rsid w:val="48F45F58"/>
    <w:rsid w:val="48F826E7"/>
    <w:rsid w:val="48FD385A"/>
    <w:rsid w:val="49042E3A"/>
    <w:rsid w:val="490966A2"/>
    <w:rsid w:val="490E1F0B"/>
    <w:rsid w:val="490E5DC7"/>
    <w:rsid w:val="49145FD1"/>
    <w:rsid w:val="491C0184"/>
    <w:rsid w:val="4925660E"/>
    <w:rsid w:val="49285078"/>
    <w:rsid w:val="49295ED6"/>
    <w:rsid w:val="49326638"/>
    <w:rsid w:val="49364AC1"/>
    <w:rsid w:val="49366D6C"/>
    <w:rsid w:val="493A35E1"/>
    <w:rsid w:val="493D6C54"/>
    <w:rsid w:val="493F3E72"/>
    <w:rsid w:val="494219FE"/>
    <w:rsid w:val="494476DB"/>
    <w:rsid w:val="494B0A69"/>
    <w:rsid w:val="494B3BCB"/>
    <w:rsid w:val="494C03A8"/>
    <w:rsid w:val="49507E2D"/>
    <w:rsid w:val="495518E8"/>
    <w:rsid w:val="49556190"/>
    <w:rsid w:val="49577C74"/>
    <w:rsid w:val="495913D8"/>
    <w:rsid w:val="49614A25"/>
    <w:rsid w:val="49630A38"/>
    <w:rsid w:val="496911ED"/>
    <w:rsid w:val="49695393"/>
    <w:rsid w:val="496F7DF4"/>
    <w:rsid w:val="49796F4A"/>
    <w:rsid w:val="49843F7B"/>
    <w:rsid w:val="49883415"/>
    <w:rsid w:val="49914BE6"/>
    <w:rsid w:val="49956188"/>
    <w:rsid w:val="49967F1D"/>
    <w:rsid w:val="49975A5C"/>
    <w:rsid w:val="499A197B"/>
    <w:rsid w:val="499A554C"/>
    <w:rsid w:val="49A95790"/>
    <w:rsid w:val="49AE2DA6"/>
    <w:rsid w:val="49B11E26"/>
    <w:rsid w:val="49BC1967"/>
    <w:rsid w:val="49C01457"/>
    <w:rsid w:val="49C16F7D"/>
    <w:rsid w:val="49CB410E"/>
    <w:rsid w:val="49D22F38"/>
    <w:rsid w:val="49D7054F"/>
    <w:rsid w:val="49DA0653"/>
    <w:rsid w:val="49DA2C21"/>
    <w:rsid w:val="49DC1DE3"/>
    <w:rsid w:val="49DC7715"/>
    <w:rsid w:val="49DE01D4"/>
    <w:rsid w:val="49DF2CFA"/>
    <w:rsid w:val="49E82C88"/>
    <w:rsid w:val="49EA0282"/>
    <w:rsid w:val="49EA2030"/>
    <w:rsid w:val="49EB7487"/>
    <w:rsid w:val="49F337A2"/>
    <w:rsid w:val="49FC5C1D"/>
    <w:rsid w:val="49FC7FB5"/>
    <w:rsid w:val="49FD10A7"/>
    <w:rsid w:val="4A017DD0"/>
    <w:rsid w:val="4A02055D"/>
    <w:rsid w:val="4A023139"/>
    <w:rsid w:val="4A034605"/>
    <w:rsid w:val="4A044293"/>
    <w:rsid w:val="4A047074"/>
    <w:rsid w:val="4A050C18"/>
    <w:rsid w:val="4A061ED2"/>
    <w:rsid w:val="4A111CB3"/>
    <w:rsid w:val="4A113A61"/>
    <w:rsid w:val="4A123335"/>
    <w:rsid w:val="4A17094B"/>
    <w:rsid w:val="4A181CD1"/>
    <w:rsid w:val="4A184976"/>
    <w:rsid w:val="4A1A56BC"/>
    <w:rsid w:val="4A1E617D"/>
    <w:rsid w:val="4A210E8F"/>
    <w:rsid w:val="4A227A1C"/>
    <w:rsid w:val="4A230EA0"/>
    <w:rsid w:val="4A253068"/>
    <w:rsid w:val="4A2A68D0"/>
    <w:rsid w:val="4A2F3EE7"/>
    <w:rsid w:val="4A314103"/>
    <w:rsid w:val="4A3572D7"/>
    <w:rsid w:val="4A385328"/>
    <w:rsid w:val="4A3D0A1C"/>
    <w:rsid w:val="4A461E3D"/>
    <w:rsid w:val="4A4831FA"/>
    <w:rsid w:val="4A4A1D57"/>
    <w:rsid w:val="4A4C6847"/>
    <w:rsid w:val="4A50597B"/>
    <w:rsid w:val="4A5120AF"/>
    <w:rsid w:val="4A530A8D"/>
    <w:rsid w:val="4A595E27"/>
    <w:rsid w:val="4A5B4CDC"/>
    <w:rsid w:val="4A6515E6"/>
    <w:rsid w:val="4A653DAC"/>
    <w:rsid w:val="4A674244"/>
    <w:rsid w:val="4A6B226D"/>
    <w:rsid w:val="4A6C194E"/>
    <w:rsid w:val="4A6F1947"/>
    <w:rsid w:val="4A707442"/>
    <w:rsid w:val="4A710AA3"/>
    <w:rsid w:val="4A71143E"/>
    <w:rsid w:val="4A740312"/>
    <w:rsid w:val="4A767D68"/>
    <w:rsid w:val="4A7B576F"/>
    <w:rsid w:val="4A7B712C"/>
    <w:rsid w:val="4A7D2EA4"/>
    <w:rsid w:val="4A7E06C0"/>
    <w:rsid w:val="4A895CED"/>
    <w:rsid w:val="4A897999"/>
    <w:rsid w:val="4A8A6E3A"/>
    <w:rsid w:val="4A8D0910"/>
    <w:rsid w:val="4A8F4E20"/>
    <w:rsid w:val="4A9106FD"/>
    <w:rsid w:val="4A9224F4"/>
    <w:rsid w:val="4A9C3A16"/>
    <w:rsid w:val="4AA9419A"/>
    <w:rsid w:val="4AAC3789"/>
    <w:rsid w:val="4ABE06BB"/>
    <w:rsid w:val="4AC00FE3"/>
    <w:rsid w:val="4AC163C2"/>
    <w:rsid w:val="4AC46D25"/>
    <w:rsid w:val="4ACB3D7C"/>
    <w:rsid w:val="4ACB7475"/>
    <w:rsid w:val="4ACE1952"/>
    <w:rsid w:val="4ACF1226"/>
    <w:rsid w:val="4AD0601C"/>
    <w:rsid w:val="4AD2721F"/>
    <w:rsid w:val="4AD54880"/>
    <w:rsid w:val="4AE66C9B"/>
    <w:rsid w:val="4AEA2F72"/>
    <w:rsid w:val="4AF34F14"/>
    <w:rsid w:val="4AF561A9"/>
    <w:rsid w:val="4AFD386D"/>
    <w:rsid w:val="4B02784D"/>
    <w:rsid w:val="4B0521F5"/>
    <w:rsid w:val="4B0E61F2"/>
    <w:rsid w:val="4B117A90"/>
    <w:rsid w:val="4B195AFD"/>
    <w:rsid w:val="4B1A1EC0"/>
    <w:rsid w:val="4B1A561A"/>
    <w:rsid w:val="4B1C04F1"/>
    <w:rsid w:val="4B241572"/>
    <w:rsid w:val="4B2477C4"/>
    <w:rsid w:val="4B2A4224"/>
    <w:rsid w:val="4B2C05D3"/>
    <w:rsid w:val="4B2D169E"/>
    <w:rsid w:val="4B300EE9"/>
    <w:rsid w:val="4B3043BA"/>
    <w:rsid w:val="4B3612A5"/>
    <w:rsid w:val="4B367C72"/>
    <w:rsid w:val="4B3C4B1F"/>
    <w:rsid w:val="4B410375"/>
    <w:rsid w:val="4B413ED2"/>
    <w:rsid w:val="4B484598"/>
    <w:rsid w:val="4B4E0392"/>
    <w:rsid w:val="4B4E2A92"/>
    <w:rsid w:val="4B50680B"/>
    <w:rsid w:val="4B510C36"/>
    <w:rsid w:val="4B5138BB"/>
    <w:rsid w:val="4B5736F5"/>
    <w:rsid w:val="4B5B0D5A"/>
    <w:rsid w:val="4B5D16B0"/>
    <w:rsid w:val="4B624F0F"/>
    <w:rsid w:val="4B663938"/>
    <w:rsid w:val="4B69167A"/>
    <w:rsid w:val="4B693428"/>
    <w:rsid w:val="4B6B0A45"/>
    <w:rsid w:val="4B6D116B"/>
    <w:rsid w:val="4B6E5086"/>
    <w:rsid w:val="4B772F07"/>
    <w:rsid w:val="4B7901ED"/>
    <w:rsid w:val="4B7A3887"/>
    <w:rsid w:val="4B7C576C"/>
    <w:rsid w:val="4B801973"/>
    <w:rsid w:val="4B8957F1"/>
    <w:rsid w:val="4B8A0D3C"/>
    <w:rsid w:val="4B8F3CDB"/>
    <w:rsid w:val="4B92472D"/>
    <w:rsid w:val="4B9762C0"/>
    <w:rsid w:val="4B991F60"/>
    <w:rsid w:val="4B9B1698"/>
    <w:rsid w:val="4BA076B7"/>
    <w:rsid w:val="4BA83F51"/>
    <w:rsid w:val="4BAB3A41"/>
    <w:rsid w:val="4BAD47E4"/>
    <w:rsid w:val="4BB85F8B"/>
    <w:rsid w:val="4BBC3ECC"/>
    <w:rsid w:val="4BC32EDC"/>
    <w:rsid w:val="4BC67321"/>
    <w:rsid w:val="4BD21234"/>
    <w:rsid w:val="4BD21F77"/>
    <w:rsid w:val="4BF123A7"/>
    <w:rsid w:val="4BF34FB9"/>
    <w:rsid w:val="4BF86145"/>
    <w:rsid w:val="4C001FDF"/>
    <w:rsid w:val="4C0513A3"/>
    <w:rsid w:val="4C0C1D79"/>
    <w:rsid w:val="4C0F7AEF"/>
    <w:rsid w:val="4C194E4E"/>
    <w:rsid w:val="4C1D5FF9"/>
    <w:rsid w:val="4C25357F"/>
    <w:rsid w:val="4C2C208C"/>
    <w:rsid w:val="4C2C652A"/>
    <w:rsid w:val="4C39729F"/>
    <w:rsid w:val="4C3C1AD4"/>
    <w:rsid w:val="4C3E2B07"/>
    <w:rsid w:val="4C403D10"/>
    <w:rsid w:val="4C417685"/>
    <w:rsid w:val="4C436F46"/>
    <w:rsid w:val="4C4634D7"/>
    <w:rsid w:val="4C4675FE"/>
    <w:rsid w:val="4C4A0649"/>
    <w:rsid w:val="4C4B4FE8"/>
    <w:rsid w:val="4C520360"/>
    <w:rsid w:val="4C545E87"/>
    <w:rsid w:val="4C5479B0"/>
    <w:rsid w:val="4C5C1239"/>
    <w:rsid w:val="4C5D11DF"/>
    <w:rsid w:val="4C6571B8"/>
    <w:rsid w:val="4C6E5C70"/>
    <w:rsid w:val="4C7179D7"/>
    <w:rsid w:val="4C7C718B"/>
    <w:rsid w:val="4C7D53DD"/>
    <w:rsid w:val="4C7E5ECA"/>
    <w:rsid w:val="4C7F49C9"/>
    <w:rsid w:val="4C8526AF"/>
    <w:rsid w:val="4C854292"/>
    <w:rsid w:val="4C876AA5"/>
    <w:rsid w:val="4C8D3147"/>
    <w:rsid w:val="4C975D73"/>
    <w:rsid w:val="4C993E74"/>
    <w:rsid w:val="4C9B3A49"/>
    <w:rsid w:val="4C9B5863"/>
    <w:rsid w:val="4CA30BBC"/>
    <w:rsid w:val="4CAA1F4A"/>
    <w:rsid w:val="4CAB32E3"/>
    <w:rsid w:val="4CB62B2D"/>
    <w:rsid w:val="4CB85EE9"/>
    <w:rsid w:val="4CC23686"/>
    <w:rsid w:val="4CC254E6"/>
    <w:rsid w:val="4CC92607"/>
    <w:rsid w:val="4CCB737A"/>
    <w:rsid w:val="4CCF19B1"/>
    <w:rsid w:val="4CCF58EA"/>
    <w:rsid w:val="4CD17B99"/>
    <w:rsid w:val="4CD7651E"/>
    <w:rsid w:val="4CDC5ED5"/>
    <w:rsid w:val="4CE21E44"/>
    <w:rsid w:val="4CEA4ADF"/>
    <w:rsid w:val="4CEC7770"/>
    <w:rsid w:val="4CED3B14"/>
    <w:rsid w:val="4CF136D5"/>
    <w:rsid w:val="4CF938F5"/>
    <w:rsid w:val="4CFC657A"/>
    <w:rsid w:val="4D006D97"/>
    <w:rsid w:val="4D027E1D"/>
    <w:rsid w:val="4D072EF9"/>
    <w:rsid w:val="4D073FAA"/>
    <w:rsid w:val="4D0B0C3B"/>
    <w:rsid w:val="4D0C5369"/>
    <w:rsid w:val="4D0E00FB"/>
    <w:rsid w:val="4D0E6A52"/>
    <w:rsid w:val="4D101778"/>
    <w:rsid w:val="4D176606"/>
    <w:rsid w:val="4D1846D0"/>
    <w:rsid w:val="4D221AE1"/>
    <w:rsid w:val="4D2717ED"/>
    <w:rsid w:val="4D2939AA"/>
    <w:rsid w:val="4D2D1641"/>
    <w:rsid w:val="4D326766"/>
    <w:rsid w:val="4D341814"/>
    <w:rsid w:val="4D355CB8"/>
    <w:rsid w:val="4D384E95"/>
    <w:rsid w:val="4D3B3F70"/>
    <w:rsid w:val="4D3D10E9"/>
    <w:rsid w:val="4D4375FC"/>
    <w:rsid w:val="4D4555F6"/>
    <w:rsid w:val="4D4E0723"/>
    <w:rsid w:val="4D5C3245"/>
    <w:rsid w:val="4D5E064B"/>
    <w:rsid w:val="4D622825"/>
    <w:rsid w:val="4D643CDE"/>
    <w:rsid w:val="4D6A0A55"/>
    <w:rsid w:val="4D6E11CA"/>
    <w:rsid w:val="4D6E4D26"/>
    <w:rsid w:val="4D6F454C"/>
    <w:rsid w:val="4D7465DE"/>
    <w:rsid w:val="4D7C0195"/>
    <w:rsid w:val="4D7E2637"/>
    <w:rsid w:val="4D8131B7"/>
    <w:rsid w:val="4D846871"/>
    <w:rsid w:val="4D870D8D"/>
    <w:rsid w:val="4D870E9B"/>
    <w:rsid w:val="4D8B4139"/>
    <w:rsid w:val="4D8F743A"/>
    <w:rsid w:val="4D977BC7"/>
    <w:rsid w:val="4D993218"/>
    <w:rsid w:val="4D9F18C1"/>
    <w:rsid w:val="4DA0163A"/>
    <w:rsid w:val="4DAC584E"/>
    <w:rsid w:val="4DAE7818"/>
    <w:rsid w:val="4DB03590"/>
    <w:rsid w:val="4DB55A2C"/>
    <w:rsid w:val="4DC1579E"/>
    <w:rsid w:val="4DC1754C"/>
    <w:rsid w:val="4DD31A1C"/>
    <w:rsid w:val="4DD612B3"/>
    <w:rsid w:val="4DDB0D98"/>
    <w:rsid w:val="4DDB4BBC"/>
    <w:rsid w:val="4DDE00FE"/>
    <w:rsid w:val="4DDF54F9"/>
    <w:rsid w:val="4DE44086"/>
    <w:rsid w:val="4DE52D23"/>
    <w:rsid w:val="4DEB6377"/>
    <w:rsid w:val="4DEC4FB0"/>
    <w:rsid w:val="4DED0138"/>
    <w:rsid w:val="4DEF53A0"/>
    <w:rsid w:val="4DF12BD9"/>
    <w:rsid w:val="4DF27705"/>
    <w:rsid w:val="4DF33B05"/>
    <w:rsid w:val="4DF83498"/>
    <w:rsid w:val="4DFF1E8B"/>
    <w:rsid w:val="4E02343A"/>
    <w:rsid w:val="4E075D8A"/>
    <w:rsid w:val="4E08517B"/>
    <w:rsid w:val="4E131240"/>
    <w:rsid w:val="4E21078A"/>
    <w:rsid w:val="4E217FEA"/>
    <w:rsid w:val="4E234B23"/>
    <w:rsid w:val="4E261AA5"/>
    <w:rsid w:val="4E2B1EB6"/>
    <w:rsid w:val="4E2D46F7"/>
    <w:rsid w:val="4E2D6F34"/>
    <w:rsid w:val="4E2F5F0F"/>
    <w:rsid w:val="4E3046D1"/>
    <w:rsid w:val="4E30647F"/>
    <w:rsid w:val="4E382BE8"/>
    <w:rsid w:val="4E395334"/>
    <w:rsid w:val="4E3A621D"/>
    <w:rsid w:val="4E3B6791"/>
    <w:rsid w:val="4E3C3076"/>
    <w:rsid w:val="4E3C4E24"/>
    <w:rsid w:val="4E4B5067"/>
    <w:rsid w:val="4E4C150B"/>
    <w:rsid w:val="4E4D2773"/>
    <w:rsid w:val="4E524648"/>
    <w:rsid w:val="4E586B64"/>
    <w:rsid w:val="4E593C28"/>
    <w:rsid w:val="4E5D650F"/>
    <w:rsid w:val="4E612ADD"/>
    <w:rsid w:val="4E637DE8"/>
    <w:rsid w:val="4E680C1E"/>
    <w:rsid w:val="4E6A527E"/>
    <w:rsid w:val="4E6C5482"/>
    <w:rsid w:val="4E6F7F33"/>
    <w:rsid w:val="4E760168"/>
    <w:rsid w:val="4E772300"/>
    <w:rsid w:val="4E7F6E5E"/>
    <w:rsid w:val="4E824F2D"/>
    <w:rsid w:val="4E8A5B90"/>
    <w:rsid w:val="4E905954"/>
    <w:rsid w:val="4E9B3F1C"/>
    <w:rsid w:val="4EAD187E"/>
    <w:rsid w:val="4EB26E94"/>
    <w:rsid w:val="4EB32F14"/>
    <w:rsid w:val="4EB52124"/>
    <w:rsid w:val="4EC00FAD"/>
    <w:rsid w:val="4EC12B2C"/>
    <w:rsid w:val="4EC13C9E"/>
    <w:rsid w:val="4EC41DC4"/>
    <w:rsid w:val="4EC61D60"/>
    <w:rsid w:val="4EC80E89"/>
    <w:rsid w:val="4EC866B8"/>
    <w:rsid w:val="4ECC6D94"/>
    <w:rsid w:val="4ED35661"/>
    <w:rsid w:val="4EE94FAC"/>
    <w:rsid w:val="4EEA4174"/>
    <w:rsid w:val="4EEA4880"/>
    <w:rsid w:val="4EED611E"/>
    <w:rsid w:val="4EF16274"/>
    <w:rsid w:val="4EF86F9D"/>
    <w:rsid w:val="4EFE3C60"/>
    <w:rsid w:val="4F0079E0"/>
    <w:rsid w:val="4F086393"/>
    <w:rsid w:val="4F0C2B5C"/>
    <w:rsid w:val="4F0C42E9"/>
    <w:rsid w:val="4F0D1B7B"/>
    <w:rsid w:val="4F15559D"/>
    <w:rsid w:val="4F165675"/>
    <w:rsid w:val="4F1A33B7"/>
    <w:rsid w:val="4F235F46"/>
    <w:rsid w:val="4F290873"/>
    <w:rsid w:val="4F2A01EE"/>
    <w:rsid w:val="4F2B2B76"/>
    <w:rsid w:val="4F310701"/>
    <w:rsid w:val="4F372CC3"/>
    <w:rsid w:val="4F3854C4"/>
    <w:rsid w:val="4F391364"/>
    <w:rsid w:val="4F3B7C8E"/>
    <w:rsid w:val="4F3D0E54"/>
    <w:rsid w:val="4F3E697A"/>
    <w:rsid w:val="4F400944"/>
    <w:rsid w:val="4F42646A"/>
    <w:rsid w:val="4F586DEA"/>
    <w:rsid w:val="4F5950E5"/>
    <w:rsid w:val="4F651160"/>
    <w:rsid w:val="4F701D2A"/>
    <w:rsid w:val="4F710AFD"/>
    <w:rsid w:val="4F734E61"/>
    <w:rsid w:val="4F756840"/>
    <w:rsid w:val="4F7A5DF1"/>
    <w:rsid w:val="4F7E0975"/>
    <w:rsid w:val="4F86410B"/>
    <w:rsid w:val="4F871DE5"/>
    <w:rsid w:val="4F8C3B89"/>
    <w:rsid w:val="4F8E5B53"/>
    <w:rsid w:val="4F953265"/>
    <w:rsid w:val="4F9843DC"/>
    <w:rsid w:val="4F9D0C0C"/>
    <w:rsid w:val="4FA03191"/>
    <w:rsid w:val="4FA71BCA"/>
    <w:rsid w:val="4FAA3277"/>
    <w:rsid w:val="4FAA51A5"/>
    <w:rsid w:val="4FAA530F"/>
    <w:rsid w:val="4FAB7475"/>
    <w:rsid w:val="4FAD5FDA"/>
    <w:rsid w:val="4FB258BC"/>
    <w:rsid w:val="4FB8672C"/>
    <w:rsid w:val="4FBA20F2"/>
    <w:rsid w:val="4FBC621D"/>
    <w:rsid w:val="4FBD3D43"/>
    <w:rsid w:val="4FC220E3"/>
    <w:rsid w:val="4FC43323"/>
    <w:rsid w:val="4FC62A8C"/>
    <w:rsid w:val="4FC772AC"/>
    <w:rsid w:val="4FC926E8"/>
    <w:rsid w:val="4FCA3829"/>
    <w:rsid w:val="4FD5400F"/>
    <w:rsid w:val="4FE1650A"/>
    <w:rsid w:val="4FE20F0D"/>
    <w:rsid w:val="4FE51552"/>
    <w:rsid w:val="4FE575A3"/>
    <w:rsid w:val="4FED6FA2"/>
    <w:rsid w:val="4FF17F6E"/>
    <w:rsid w:val="4FF534DD"/>
    <w:rsid w:val="4FF712F5"/>
    <w:rsid w:val="4FFA4F97"/>
    <w:rsid w:val="4FFC486B"/>
    <w:rsid w:val="4FFD305E"/>
    <w:rsid w:val="4FFE4A87"/>
    <w:rsid w:val="50085545"/>
    <w:rsid w:val="5012408F"/>
    <w:rsid w:val="50132425"/>
    <w:rsid w:val="50151DD1"/>
    <w:rsid w:val="501A5E6C"/>
    <w:rsid w:val="501E3E9C"/>
    <w:rsid w:val="501E5494"/>
    <w:rsid w:val="502618E8"/>
    <w:rsid w:val="50295500"/>
    <w:rsid w:val="502C0397"/>
    <w:rsid w:val="5032028D"/>
    <w:rsid w:val="50373AF5"/>
    <w:rsid w:val="50377F99"/>
    <w:rsid w:val="50402532"/>
    <w:rsid w:val="50493828"/>
    <w:rsid w:val="504A1A7A"/>
    <w:rsid w:val="504D307D"/>
    <w:rsid w:val="504F7091"/>
    <w:rsid w:val="50500441"/>
    <w:rsid w:val="50504C4B"/>
    <w:rsid w:val="50593A6B"/>
    <w:rsid w:val="50597678"/>
    <w:rsid w:val="505E37B1"/>
    <w:rsid w:val="506901B2"/>
    <w:rsid w:val="50696E2E"/>
    <w:rsid w:val="507B4F96"/>
    <w:rsid w:val="507C3BFE"/>
    <w:rsid w:val="507C775A"/>
    <w:rsid w:val="508036EE"/>
    <w:rsid w:val="50850D04"/>
    <w:rsid w:val="5086130F"/>
    <w:rsid w:val="5089083B"/>
    <w:rsid w:val="508B0EE7"/>
    <w:rsid w:val="508B5BEF"/>
    <w:rsid w:val="508E2890"/>
    <w:rsid w:val="508E3509"/>
    <w:rsid w:val="50926F7D"/>
    <w:rsid w:val="509C6E7C"/>
    <w:rsid w:val="509E1DC6"/>
    <w:rsid w:val="50A15412"/>
    <w:rsid w:val="50B33A15"/>
    <w:rsid w:val="50C9527D"/>
    <w:rsid w:val="50D106E5"/>
    <w:rsid w:val="50D37CC2"/>
    <w:rsid w:val="50D54727"/>
    <w:rsid w:val="50D650BC"/>
    <w:rsid w:val="50D77086"/>
    <w:rsid w:val="50DA1089"/>
    <w:rsid w:val="50DB6B76"/>
    <w:rsid w:val="50E33C7D"/>
    <w:rsid w:val="50E377D9"/>
    <w:rsid w:val="50E7551B"/>
    <w:rsid w:val="50E772C9"/>
    <w:rsid w:val="50F30636"/>
    <w:rsid w:val="50F44A9D"/>
    <w:rsid w:val="50F6575E"/>
    <w:rsid w:val="50FE5D3D"/>
    <w:rsid w:val="510A6DE4"/>
    <w:rsid w:val="510C6A50"/>
    <w:rsid w:val="510F4A72"/>
    <w:rsid w:val="510F6820"/>
    <w:rsid w:val="51152F96"/>
    <w:rsid w:val="511610B5"/>
    <w:rsid w:val="5119398D"/>
    <w:rsid w:val="511D718F"/>
    <w:rsid w:val="512027DB"/>
    <w:rsid w:val="512322CB"/>
    <w:rsid w:val="512353A3"/>
    <w:rsid w:val="512646CD"/>
    <w:rsid w:val="512D4760"/>
    <w:rsid w:val="512D4762"/>
    <w:rsid w:val="51304D2D"/>
    <w:rsid w:val="51346287"/>
    <w:rsid w:val="514143E2"/>
    <w:rsid w:val="51432280"/>
    <w:rsid w:val="51457355"/>
    <w:rsid w:val="51517C3A"/>
    <w:rsid w:val="51532795"/>
    <w:rsid w:val="51563C65"/>
    <w:rsid w:val="515661FD"/>
    <w:rsid w:val="515C49C2"/>
    <w:rsid w:val="515E2011"/>
    <w:rsid w:val="5162104E"/>
    <w:rsid w:val="516613C8"/>
    <w:rsid w:val="51736DAF"/>
    <w:rsid w:val="517C75D2"/>
    <w:rsid w:val="517D5E7F"/>
    <w:rsid w:val="51840FBC"/>
    <w:rsid w:val="51844B18"/>
    <w:rsid w:val="51860D3F"/>
    <w:rsid w:val="5187285A"/>
    <w:rsid w:val="518C1C1F"/>
    <w:rsid w:val="518C5779"/>
    <w:rsid w:val="51960CEF"/>
    <w:rsid w:val="51975088"/>
    <w:rsid w:val="519A258E"/>
    <w:rsid w:val="51A61F98"/>
    <w:rsid w:val="51B010A1"/>
    <w:rsid w:val="51B27247"/>
    <w:rsid w:val="51B35558"/>
    <w:rsid w:val="51B50CE4"/>
    <w:rsid w:val="51B578E7"/>
    <w:rsid w:val="51B64DF0"/>
    <w:rsid w:val="51B7313F"/>
    <w:rsid w:val="51B940F4"/>
    <w:rsid w:val="51BF3DA2"/>
    <w:rsid w:val="51C04E17"/>
    <w:rsid w:val="51C27D36"/>
    <w:rsid w:val="51C554AF"/>
    <w:rsid w:val="51C710A1"/>
    <w:rsid w:val="51C732EE"/>
    <w:rsid w:val="51D13AD5"/>
    <w:rsid w:val="51DD06CC"/>
    <w:rsid w:val="51DD214D"/>
    <w:rsid w:val="51E001DA"/>
    <w:rsid w:val="51E11F6A"/>
    <w:rsid w:val="51F60A51"/>
    <w:rsid w:val="51F6353C"/>
    <w:rsid w:val="51F872B4"/>
    <w:rsid w:val="51FA5EEB"/>
    <w:rsid w:val="51FC6DA4"/>
    <w:rsid w:val="51FE0D6E"/>
    <w:rsid w:val="51FE786D"/>
    <w:rsid w:val="51FF0643"/>
    <w:rsid w:val="51FF7084"/>
    <w:rsid w:val="52045688"/>
    <w:rsid w:val="5212175A"/>
    <w:rsid w:val="521656D1"/>
    <w:rsid w:val="521A0616"/>
    <w:rsid w:val="521C7446"/>
    <w:rsid w:val="521D6E27"/>
    <w:rsid w:val="521F2376"/>
    <w:rsid w:val="521F2A93"/>
    <w:rsid w:val="52253BD5"/>
    <w:rsid w:val="52265350"/>
    <w:rsid w:val="52267AA3"/>
    <w:rsid w:val="52304CA0"/>
    <w:rsid w:val="523A78CD"/>
    <w:rsid w:val="523C1897"/>
    <w:rsid w:val="523F1387"/>
    <w:rsid w:val="52444D2C"/>
    <w:rsid w:val="524E02C5"/>
    <w:rsid w:val="52500E9E"/>
    <w:rsid w:val="525151DD"/>
    <w:rsid w:val="525C2209"/>
    <w:rsid w:val="52610D67"/>
    <w:rsid w:val="5263737E"/>
    <w:rsid w:val="52640B80"/>
    <w:rsid w:val="5264494A"/>
    <w:rsid w:val="526A7CDF"/>
    <w:rsid w:val="526B217C"/>
    <w:rsid w:val="526D37FE"/>
    <w:rsid w:val="527208FC"/>
    <w:rsid w:val="527805D2"/>
    <w:rsid w:val="527C5B30"/>
    <w:rsid w:val="527F0D08"/>
    <w:rsid w:val="52872F5F"/>
    <w:rsid w:val="528A1A8A"/>
    <w:rsid w:val="528B5F65"/>
    <w:rsid w:val="528C06A5"/>
    <w:rsid w:val="528C45CC"/>
    <w:rsid w:val="529214B7"/>
    <w:rsid w:val="52950FA7"/>
    <w:rsid w:val="5295500F"/>
    <w:rsid w:val="52981582"/>
    <w:rsid w:val="52A5743C"/>
    <w:rsid w:val="52A642BD"/>
    <w:rsid w:val="52AB48FB"/>
    <w:rsid w:val="52AE4AE4"/>
    <w:rsid w:val="52B21B59"/>
    <w:rsid w:val="52B534C8"/>
    <w:rsid w:val="52BA27BB"/>
    <w:rsid w:val="52BD36EC"/>
    <w:rsid w:val="52C535BF"/>
    <w:rsid w:val="52CB2EA1"/>
    <w:rsid w:val="52CB3281"/>
    <w:rsid w:val="52D424A3"/>
    <w:rsid w:val="52D7511B"/>
    <w:rsid w:val="52D764AD"/>
    <w:rsid w:val="52DA4A7E"/>
    <w:rsid w:val="52EF6909"/>
    <w:rsid w:val="52F32B1B"/>
    <w:rsid w:val="52F43F1F"/>
    <w:rsid w:val="52F775D7"/>
    <w:rsid w:val="52FE08FA"/>
    <w:rsid w:val="53001CBD"/>
    <w:rsid w:val="530524D1"/>
    <w:rsid w:val="530B7849"/>
    <w:rsid w:val="530C1887"/>
    <w:rsid w:val="530F6FAB"/>
    <w:rsid w:val="53165ACD"/>
    <w:rsid w:val="5323375D"/>
    <w:rsid w:val="532365B3"/>
    <w:rsid w:val="5326046A"/>
    <w:rsid w:val="53290398"/>
    <w:rsid w:val="53291D44"/>
    <w:rsid w:val="532A03F7"/>
    <w:rsid w:val="53345D64"/>
    <w:rsid w:val="53367966"/>
    <w:rsid w:val="53385ED7"/>
    <w:rsid w:val="533B7DA0"/>
    <w:rsid w:val="53513120"/>
    <w:rsid w:val="53536C33"/>
    <w:rsid w:val="53536E98"/>
    <w:rsid w:val="535449BE"/>
    <w:rsid w:val="53590226"/>
    <w:rsid w:val="535A6478"/>
    <w:rsid w:val="535B2858"/>
    <w:rsid w:val="535D3873"/>
    <w:rsid w:val="535E75EB"/>
    <w:rsid w:val="53603363"/>
    <w:rsid w:val="53746F88"/>
    <w:rsid w:val="53755688"/>
    <w:rsid w:val="53760DD8"/>
    <w:rsid w:val="537868DB"/>
    <w:rsid w:val="537B678C"/>
    <w:rsid w:val="53832456"/>
    <w:rsid w:val="53867734"/>
    <w:rsid w:val="538B008B"/>
    <w:rsid w:val="538F0EB4"/>
    <w:rsid w:val="53906AF0"/>
    <w:rsid w:val="5391176E"/>
    <w:rsid w:val="53924AD9"/>
    <w:rsid w:val="5394222F"/>
    <w:rsid w:val="53963229"/>
    <w:rsid w:val="539E0C5C"/>
    <w:rsid w:val="53A039CC"/>
    <w:rsid w:val="53A1505A"/>
    <w:rsid w:val="53A176F2"/>
    <w:rsid w:val="53A33245"/>
    <w:rsid w:val="53AA20F6"/>
    <w:rsid w:val="53AA69BC"/>
    <w:rsid w:val="53AC65A8"/>
    <w:rsid w:val="53AE40CE"/>
    <w:rsid w:val="53B2032E"/>
    <w:rsid w:val="53B74085"/>
    <w:rsid w:val="53BC0303"/>
    <w:rsid w:val="53BC2C8F"/>
    <w:rsid w:val="53C03D13"/>
    <w:rsid w:val="53C3156D"/>
    <w:rsid w:val="53CE6E32"/>
    <w:rsid w:val="53D42E9C"/>
    <w:rsid w:val="53D722CD"/>
    <w:rsid w:val="53DA6B55"/>
    <w:rsid w:val="53E13EF1"/>
    <w:rsid w:val="53F73CC7"/>
    <w:rsid w:val="53F81F38"/>
    <w:rsid w:val="53FE377E"/>
    <w:rsid w:val="540177F1"/>
    <w:rsid w:val="5403095E"/>
    <w:rsid w:val="54063E08"/>
    <w:rsid w:val="540722D6"/>
    <w:rsid w:val="540C5299"/>
    <w:rsid w:val="54115E18"/>
    <w:rsid w:val="541224FD"/>
    <w:rsid w:val="541B1C18"/>
    <w:rsid w:val="541B7982"/>
    <w:rsid w:val="54224ABC"/>
    <w:rsid w:val="5426587E"/>
    <w:rsid w:val="54297BF9"/>
    <w:rsid w:val="542C43EF"/>
    <w:rsid w:val="542C65D7"/>
    <w:rsid w:val="54300F87"/>
    <w:rsid w:val="54311940"/>
    <w:rsid w:val="543437E8"/>
    <w:rsid w:val="54343E0A"/>
    <w:rsid w:val="54361761"/>
    <w:rsid w:val="54367A9B"/>
    <w:rsid w:val="543D1818"/>
    <w:rsid w:val="54402158"/>
    <w:rsid w:val="54442658"/>
    <w:rsid w:val="54461839"/>
    <w:rsid w:val="54464BBC"/>
    <w:rsid w:val="54495C05"/>
    <w:rsid w:val="544A35EC"/>
    <w:rsid w:val="544D2410"/>
    <w:rsid w:val="54531554"/>
    <w:rsid w:val="5454733B"/>
    <w:rsid w:val="54571DEF"/>
    <w:rsid w:val="545C0DEF"/>
    <w:rsid w:val="546267E5"/>
    <w:rsid w:val="5464633E"/>
    <w:rsid w:val="546724CF"/>
    <w:rsid w:val="54761616"/>
    <w:rsid w:val="547D3F6F"/>
    <w:rsid w:val="547F222C"/>
    <w:rsid w:val="548070A5"/>
    <w:rsid w:val="548331D0"/>
    <w:rsid w:val="54882AE2"/>
    <w:rsid w:val="548B7A74"/>
    <w:rsid w:val="549E2395"/>
    <w:rsid w:val="54A66005"/>
    <w:rsid w:val="54AA5156"/>
    <w:rsid w:val="54B02B7F"/>
    <w:rsid w:val="54B139D4"/>
    <w:rsid w:val="54B9075C"/>
    <w:rsid w:val="54B95421"/>
    <w:rsid w:val="54BA2F6A"/>
    <w:rsid w:val="54BE2761"/>
    <w:rsid w:val="54C25410"/>
    <w:rsid w:val="54C31DFB"/>
    <w:rsid w:val="54C41444"/>
    <w:rsid w:val="54C4542D"/>
    <w:rsid w:val="54C625D1"/>
    <w:rsid w:val="54C94F38"/>
    <w:rsid w:val="54CF69F2"/>
    <w:rsid w:val="54DC0F5A"/>
    <w:rsid w:val="54DF070E"/>
    <w:rsid w:val="54E0475B"/>
    <w:rsid w:val="54E2628C"/>
    <w:rsid w:val="54F16968"/>
    <w:rsid w:val="54F73313"/>
    <w:rsid w:val="54F80955"/>
    <w:rsid w:val="5502690E"/>
    <w:rsid w:val="550565D4"/>
    <w:rsid w:val="55081F04"/>
    <w:rsid w:val="55083CB2"/>
    <w:rsid w:val="55102B67"/>
    <w:rsid w:val="55126BCE"/>
    <w:rsid w:val="55191A1B"/>
    <w:rsid w:val="551D6150"/>
    <w:rsid w:val="551E34D6"/>
    <w:rsid w:val="55230AEC"/>
    <w:rsid w:val="55264138"/>
    <w:rsid w:val="552A00CC"/>
    <w:rsid w:val="552A3C28"/>
    <w:rsid w:val="552B79A7"/>
    <w:rsid w:val="552C3FC0"/>
    <w:rsid w:val="552D3719"/>
    <w:rsid w:val="55342CF9"/>
    <w:rsid w:val="55344AA7"/>
    <w:rsid w:val="553625CD"/>
    <w:rsid w:val="553E0825"/>
    <w:rsid w:val="553E6AE1"/>
    <w:rsid w:val="554271C4"/>
    <w:rsid w:val="554525D7"/>
    <w:rsid w:val="55452810"/>
    <w:rsid w:val="554A22E8"/>
    <w:rsid w:val="554A42CB"/>
    <w:rsid w:val="554E679D"/>
    <w:rsid w:val="555170A7"/>
    <w:rsid w:val="555313D1"/>
    <w:rsid w:val="555B1898"/>
    <w:rsid w:val="556F3D31"/>
    <w:rsid w:val="55713605"/>
    <w:rsid w:val="55747BA2"/>
    <w:rsid w:val="5576721A"/>
    <w:rsid w:val="557E6A07"/>
    <w:rsid w:val="55801A9A"/>
    <w:rsid w:val="55842EA5"/>
    <w:rsid w:val="5587536D"/>
    <w:rsid w:val="558B3AB9"/>
    <w:rsid w:val="558E406F"/>
    <w:rsid w:val="558F2CFC"/>
    <w:rsid w:val="55965FBE"/>
    <w:rsid w:val="559B174B"/>
    <w:rsid w:val="559D264C"/>
    <w:rsid w:val="55A0038E"/>
    <w:rsid w:val="55A559A5"/>
    <w:rsid w:val="55A863DE"/>
    <w:rsid w:val="55AA2FBB"/>
    <w:rsid w:val="55AD03B6"/>
    <w:rsid w:val="55AF2380"/>
    <w:rsid w:val="55AF412E"/>
    <w:rsid w:val="55B53A58"/>
    <w:rsid w:val="55B77F4B"/>
    <w:rsid w:val="55BB22CC"/>
    <w:rsid w:val="55BD5D60"/>
    <w:rsid w:val="55C0534A"/>
    <w:rsid w:val="55C45E2B"/>
    <w:rsid w:val="55C66E05"/>
    <w:rsid w:val="55CA2593"/>
    <w:rsid w:val="55CA55F7"/>
    <w:rsid w:val="55CC0ABE"/>
    <w:rsid w:val="55CD1223"/>
    <w:rsid w:val="55CE0CF4"/>
    <w:rsid w:val="55CE6CAA"/>
    <w:rsid w:val="55CF4C1F"/>
    <w:rsid w:val="55D04FA7"/>
    <w:rsid w:val="55E41916"/>
    <w:rsid w:val="55E7347A"/>
    <w:rsid w:val="55EA2C6D"/>
    <w:rsid w:val="55F14DEF"/>
    <w:rsid w:val="55F72C7F"/>
    <w:rsid w:val="55F935FB"/>
    <w:rsid w:val="55FB55C5"/>
    <w:rsid w:val="55FD133D"/>
    <w:rsid w:val="55FF100C"/>
    <w:rsid w:val="56020701"/>
    <w:rsid w:val="56045FCA"/>
    <w:rsid w:val="56073F6A"/>
    <w:rsid w:val="56097CE2"/>
    <w:rsid w:val="560E6A1A"/>
    <w:rsid w:val="5611195D"/>
    <w:rsid w:val="56154E58"/>
    <w:rsid w:val="56161C92"/>
    <w:rsid w:val="56193438"/>
    <w:rsid w:val="561C7481"/>
    <w:rsid w:val="561F5757"/>
    <w:rsid w:val="56242D6E"/>
    <w:rsid w:val="562468CA"/>
    <w:rsid w:val="56251B57"/>
    <w:rsid w:val="56316AFA"/>
    <w:rsid w:val="56352885"/>
    <w:rsid w:val="56356D29"/>
    <w:rsid w:val="563A2710"/>
    <w:rsid w:val="56494582"/>
    <w:rsid w:val="565151E5"/>
    <w:rsid w:val="56575846"/>
    <w:rsid w:val="56575CED"/>
    <w:rsid w:val="5659026C"/>
    <w:rsid w:val="565C2507"/>
    <w:rsid w:val="565D1DDC"/>
    <w:rsid w:val="56672A0E"/>
    <w:rsid w:val="566A4EFD"/>
    <w:rsid w:val="567158A4"/>
    <w:rsid w:val="567333AD"/>
    <w:rsid w:val="567B1C1A"/>
    <w:rsid w:val="567C04B4"/>
    <w:rsid w:val="567C094D"/>
    <w:rsid w:val="568140A3"/>
    <w:rsid w:val="56835CE6"/>
    <w:rsid w:val="56867584"/>
    <w:rsid w:val="56890E23"/>
    <w:rsid w:val="56921A85"/>
    <w:rsid w:val="56956DCB"/>
    <w:rsid w:val="56982E14"/>
    <w:rsid w:val="569956F7"/>
    <w:rsid w:val="569C1432"/>
    <w:rsid w:val="569C36DF"/>
    <w:rsid w:val="569D6990"/>
    <w:rsid w:val="569F1F43"/>
    <w:rsid w:val="56A3487D"/>
    <w:rsid w:val="56A74DC4"/>
    <w:rsid w:val="56AC0382"/>
    <w:rsid w:val="56AC3CDF"/>
    <w:rsid w:val="56B22A9C"/>
    <w:rsid w:val="56B52866"/>
    <w:rsid w:val="56B67742"/>
    <w:rsid w:val="56BC6B02"/>
    <w:rsid w:val="56C60329"/>
    <w:rsid w:val="56C835DF"/>
    <w:rsid w:val="56CA56C3"/>
    <w:rsid w:val="56CE1E94"/>
    <w:rsid w:val="56D05411"/>
    <w:rsid w:val="56DF3F35"/>
    <w:rsid w:val="56E46059"/>
    <w:rsid w:val="56EC5303"/>
    <w:rsid w:val="56EE10A3"/>
    <w:rsid w:val="56EE6C55"/>
    <w:rsid w:val="56EF512A"/>
    <w:rsid w:val="56FB2053"/>
    <w:rsid w:val="570105FA"/>
    <w:rsid w:val="570A502D"/>
    <w:rsid w:val="570B1838"/>
    <w:rsid w:val="570B2A97"/>
    <w:rsid w:val="57160908"/>
    <w:rsid w:val="5717642E"/>
    <w:rsid w:val="571F3872"/>
    <w:rsid w:val="571F75A1"/>
    <w:rsid w:val="57212E09"/>
    <w:rsid w:val="572161FB"/>
    <w:rsid w:val="57250B4B"/>
    <w:rsid w:val="57285B2E"/>
    <w:rsid w:val="57367FFF"/>
    <w:rsid w:val="573C5AC9"/>
    <w:rsid w:val="573F27EE"/>
    <w:rsid w:val="57496D0D"/>
    <w:rsid w:val="574C257C"/>
    <w:rsid w:val="57550131"/>
    <w:rsid w:val="57645C46"/>
    <w:rsid w:val="57664CC0"/>
    <w:rsid w:val="57672F12"/>
    <w:rsid w:val="576D604E"/>
    <w:rsid w:val="57711FE2"/>
    <w:rsid w:val="57737563"/>
    <w:rsid w:val="57767D76"/>
    <w:rsid w:val="57776ECD"/>
    <w:rsid w:val="57780CFE"/>
    <w:rsid w:val="57832CCF"/>
    <w:rsid w:val="57834D3C"/>
    <w:rsid w:val="578404A0"/>
    <w:rsid w:val="578C7B66"/>
    <w:rsid w:val="578E4942"/>
    <w:rsid w:val="5792131B"/>
    <w:rsid w:val="579730CB"/>
    <w:rsid w:val="57A5242C"/>
    <w:rsid w:val="57AE1152"/>
    <w:rsid w:val="57AE732C"/>
    <w:rsid w:val="57AF2B0B"/>
    <w:rsid w:val="57AF7361"/>
    <w:rsid w:val="57B72A76"/>
    <w:rsid w:val="57BF6098"/>
    <w:rsid w:val="57C3426C"/>
    <w:rsid w:val="57C53D6A"/>
    <w:rsid w:val="57C71C02"/>
    <w:rsid w:val="57C71CB3"/>
    <w:rsid w:val="57CE1F93"/>
    <w:rsid w:val="57D63138"/>
    <w:rsid w:val="57D63150"/>
    <w:rsid w:val="57DB2C59"/>
    <w:rsid w:val="57E24C8E"/>
    <w:rsid w:val="57E336E2"/>
    <w:rsid w:val="57E52089"/>
    <w:rsid w:val="57E834F2"/>
    <w:rsid w:val="57E83927"/>
    <w:rsid w:val="57E952BD"/>
    <w:rsid w:val="57EA58F1"/>
    <w:rsid w:val="57F25858"/>
    <w:rsid w:val="57F61771"/>
    <w:rsid w:val="57F945DA"/>
    <w:rsid w:val="57FC74D7"/>
    <w:rsid w:val="58044C05"/>
    <w:rsid w:val="58082A96"/>
    <w:rsid w:val="580A07AE"/>
    <w:rsid w:val="580C5867"/>
    <w:rsid w:val="58100309"/>
    <w:rsid w:val="58134E48"/>
    <w:rsid w:val="581D38D8"/>
    <w:rsid w:val="581D7C2B"/>
    <w:rsid w:val="58235A2F"/>
    <w:rsid w:val="582D6EF7"/>
    <w:rsid w:val="58354DBE"/>
    <w:rsid w:val="583733E0"/>
    <w:rsid w:val="583A40A4"/>
    <w:rsid w:val="58457402"/>
    <w:rsid w:val="58470B61"/>
    <w:rsid w:val="5848477E"/>
    <w:rsid w:val="584A2FE9"/>
    <w:rsid w:val="584E630F"/>
    <w:rsid w:val="58546B0D"/>
    <w:rsid w:val="58586CFE"/>
    <w:rsid w:val="585A61E3"/>
    <w:rsid w:val="585E52F5"/>
    <w:rsid w:val="585F2561"/>
    <w:rsid w:val="5866766D"/>
    <w:rsid w:val="58732438"/>
    <w:rsid w:val="587B2367"/>
    <w:rsid w:val="587E56A8"/>
    <w:rsid w:val="588040E3"/>
    <w:rsid w:val="5882405C"/>
    <w:rsid w:val="588418A2"/>
    <w:rsid w:val="588743D1"/>
    <w:rsid w:val="5887701A"/>
    <w:rsid w:val="58902C7A"/>
    <w:rsid w:val="58907086"/>
    <w:rsid w:val="58A55427"/>
    <w:rsid w:val="58A75590"/>
    <w:rsid w:val="58AB6E2E"/>
    <w:rsid w:val="58AF08B9"/>
    <w:rsid w:val="58B303D9"/>
    <w:rsid w:val="58B46E42"/>
    <w:rsid w:val="58B66C14"/>
    <w:rsid w:val="58B71C77"/>
    <w:rsid w:val="58B93701"/>
    <w:rsid w:val="58BA1767"/>
    <w:rsid w:val="58BA34E5"/>
    <w:rsid w:val="58BC728D"/>
    <w:rsid w:val="58BF6D7E"/>
    <w:rsid w:val="58C1067D"/>
    <w:rsid w:val="58C6010C"/>
    <w:rsid w:val="58CC0C6F"/>
    <w:rsid w:val="58CE59D8"/>
    <w:rsid w:val="58D17379"/>
    <w:rsid w:val="58D36323"/>
    <w:rsid w:val="58D64704"/>
    <w:rsid w:val="58D80F93"/>
    <w:rsid w:val="58DF54BF"/>
    <w:rsid w:val="58E275DE"/>
    <w:rsid w:val="58E47841"/>
    <w:rsid w:val="58E53B80"/>
    <w:rsid w:val="58EA21E6"/>
    <w:rsid w:val="58EB36CF"/>
    <w:rsid w:val="58EC457C"/>
    <w:rsid w:val="58F534DF"/>
    <w:rsid w:val="58FC29EF"/>
    <w:rsid w:val="58FD15E8"/>
    <w:rsid w:val="58FE4A19"/>
    <w:rsid w:val="59026058"/>
    <w:rsid w:val="59080725"/>
    <w:rsid w:val="5909243F"/>
    <w:rsid w:val="590B5B1F"/>
    <w:rsid w:val="590C4F59"/>
    <w:rsid w:val="591744C4"/>
    <w:rsid w:val="591C0D62"/>
    <w:rsid w:val="59254E33"/>
    <w:rsid w:val="59260BAB"/>
    <w:rsid w:val="592B4413"/>
    <w:rsid w:val="592D018B"/>
    <w:rsid w:val="592E0C4E"/>
    <w:rsid w:val="592F3EA4"/>
    <w:rsid w:val="59332F66"/>
    <w:rsid w:val="593B35D7"/>
    <w:rsid w:val="59417793"/>
    <w:rsid w:val="59425A14"/>
    <w:rsid w:val="59441031"/>
    <w:rsid w:val="59444C41"/>
    <w:rsid w:val="59492413"/>
    <w:rsid w:val="5952151D"/>
    <w:rsid w:val="59557213"/>
    <w:rsid w:val="59570D64"/>
    <w:rsid w:val="595B6AA6"/>
    <w:rsid w:val="595D004C"/>
    <w:rsid w:val="595E20F3"/>
    <w:rsid w:val="59601E20"/>
    <w:rsid w:val="59617E35"/>
    <w:rsid w:val="596266FC"/>
    <w:rsid w:val="59647D01"/>
    <w:rsid w:val="596544AE"/>
    <w:rsid w:val="596671F9"/>
    <w:rsid w:val="597653C7"/>
    <w:rsid w:val="597A6C86"/>
    <w:rsid w:val="5980222F"/>
    <w:rsid w:val="598B6C60"/>
    <w:rsid w:val="598C74CC"/>
    <w:rsid w:val="598D50F3"/>
    <w:rsid w:val="59975605"/>
    <w:rsid w:val="5999291B"/>
    <w:rsid w:val="59A33FA9"/>
    <w:rsid w:val="59A53CE1"/>
    <w:rsid w:val="59A73A9A"/>
    <w:rsid w:val="59AA25E2"/>
    <w:rsid w:val="59AC62AE"/>
    <w:rsid w:val="59AD3C12"/>
    <w:rsid w:val="59B30690"/>
    <w:rsid w:val="59B44408"/>
    <w:rsid w:val="59B45AF6"/>
    <w:rsid w:val="59B63CDD"/>
    <w:rsid w:val="59B83EF9"/>
    <w:rsid w:val="59C0439F"/>
    <w:rsid w:val="59C7413C"/>
    <w:rsid w:val="59D40607"/>
    <w:rsid w:val="59D453B7"/>
    <w:rsid w:val="59D625D1"/>
    <w:rsid w:val="59D975AF"/>
    <w:rsid w:val="59E06223"/>
    <w:rsid w:val="59E24AD2"/>
    <w:rsid w:val="59E469F1"/>
    <w:rsid w:val="59E720E8"/>
    <w:rsid w:val="59E806C7"/>
    <w:rsid w:val="59E92304"/>
    <w:rsid w:val="59EA607C"/>
    <w:rsid w:val="59EA6202"/>
    <w:rsid w:val="59EC5950"/>
    <w:rsid w:val="59EC76FE"/>
    <w:rsid w:val="59EE791A"/>
    <w:rsid w:val="59F52A3C"/>
    <w:rsid w:val="59F60CF8"/>
    <w:rsid w:val="59F667CF"/>
    <w:rsid w:val="59FC75C2"/>
    <w:rsid w:val="5A012C99"/>
    <w:rsid w:val="5A02695A"/>
    <w:rsid w:val="5A032C9A"/>
    <w:rsid w:val="5A0C4199"/>
    <w:rsid w:val="5A0D37E5"/>
    <w:rsid w:val="5A0F1829"/>
    <w:rsid w:val="5A204604"/>
    <w:rsid w:val="5A2359F1"/>
    <w:rsid w:val="5A2F1CE1"/>
    <w:rsid w:val="5A307D4C"/>
    <w:rsid w:val="5A33532D"/>
    <w:rsid w:val="5A335D71"/>
    <w:rsid w:val="5A367015"/>
    <w:rsid w:val="5A3A1ABA"/>
    <w:rsid w:val="5A3C31EA"/>
    <w:rsid w:val="5A3D07F3"/>
    <w:rsid w:val="5A403A28"/>
    <w:rsid w:val="5A432D36"/>
    <w:rsid w:val="5A596479"/>
    <w:rsid w:val="5A5A6D5E"/>
    <w:rsid w:val="5A5B4884"/>
    <w:rsid w:val="5A5C55A1"/>
    <w:rsid w:val="5A5D05FC"/>
    <w:rsid w:val="5A5D684E"/>
    <w:rsid w:val="5A627044"/>
    <w:rsid w:val="5A663955"/>
    <w:rsid w:val="5A731BCE"/>
    <w:rsid w:val="5A795B68"/>
    <w:rsid w:val="5A7D2CE7"/>
    <w:rsid w:val="5A847860"/>
    <w:rsid w:val="5A851901"/>
    <w:rsid w:val="5A8913F1"/>
    <w:rsid w:val="5A8A0299"/>
    <w:rsid w:val="5A8B5169"/>
    <w:rsid w:val="5A8D5F7D"/>
    <w:rsid w:val="5A8F3BA2"/>
    <w:rsid w:val="5A9349DC"/>
    <w:rsid w:val="5A9F0C15"/>
    <w:rsid w:val="5AA52BC1"/>
    <w:rsid w:val="5AA56D82"/>
    <w:rsid w:val="5AA85B39"/>
    <w:rsid w:val="5AA91A93"/>
    <w:rsid w:val="5AB346C0"/>
    <w:rsid w:val="5AB84E76"/>
    <w:rsid w:val="5ABB4D72"/>
    <w:rsid w:val="5ABE2233"/>
    <w:rsid w:val="5AC226A1"/>
    <w:rsid w:val="5AC462A3"/>
    <w:rsid w:val="5AC938EB"/>
    <w:rsid w:val="5AC97A40"/>
    <w:rsid w:val="5ACE2473"/>
    <w:rsid w:val="5AD54636"/>
    <w:rsid w:val="5AD563E4"/>
    <w:rsid w:val="5AD96BC3"/>
    <w:rsid w:val="5ADA39FB"/>
    <w:rsid w:val="5ADC3C17"/>
    <w:rsid w:val="5ADD4AE8"/>
    <w:rsid w:val="5ADD7DC6"/>
    <w:rsid w:val="5ADF6F3A"/>
    <w:rsid w:val="5ADF7263"/>
    <w:rsid w:val="5AE27234"/>
    <w:rsid w:val="5AE34FA5"/>
    <w:rsid w:val="5AE63D07"/>
    <w:rsid w:val="5AE661B3"/>
    <w:rsid w:val="5AE87C8F"/>
    <w:rsid w:val="5AEA47A1"/>
    <w:rsid w:val="5AEB3E5A"/>
    <w:rsid w:val="5AED0425"/>
    <w:rsid w:val="5AF93724"/>
    <w:rsid w:val="5AFC62B9"/>
    <w:rsid w:val="5AFF3461"/>
    <w:rsid w:val="5AFF4DB0"/>
    <w:rsid w:val="5B0C743C"/>
    <w:rsid w:val="5B0D75A3"/>
    <w:rsid w:val="5B144CB3"/>
    <w:rsid w:val="5B1A64ED"/>
    <w:rsid w:val="5B1C04B7"/>
    <w:rsid w:val="5B1F58B2"/>
    <w:rsid w:val="5B215D77"/>
    <w:rsid w:val="5B21787C"/>
    <w:rsid w:val="5B234BF3"/>
    <w:rsid w:val="5B2358BC"/>
    <w:rsid w:val="5B275B22"/>
    <w:rsid w:val="5B2D6220"/>
    <w:rsid w:val="5B2F1F99"/>
    <w:rsid w:val="5B332A87"/>
    <w:rsid w:val="5B3C2A37"/>
    <w:rsid w:val="5B3E455E"/>
    <w:rsid w:val="5B440E4E"/>
    <w:rsid w:val="5B463948"/>
    <w:rsid w:val="5B541A2E"/>
    <w:rsid w:val="5B5E462C"/>
    <w:rsid w:val="5B624BBB"/>
    <w:rsid w:val="5B627E52"/>
    <w:rsid w:val="5B630E90"/>
    <w:rsid w:val="5B66495E"/>
    <w:rsid w:val="5B6D0D13"/>
    <w:rsid w:val="5B6F4A8B"/>
    <w:rsid w:val="5B74506C"/>
    <w:rsid w:val="5B773003"/>
    <w:rsid w:val="5B7A4083"/>
    <w:rsid w:val="5B7C2BC9"/>
    <w:rsid w:val="5B7C7CA2"/>
    <w:rsid w:val="5B8027F4"/>
    <w:rsid w:val="5B804E56"/>
    <w:rsid w:val="5B811B57"/>
    <w:rsid w:val="5B8C4407"/>
    <w:rsid w:val="5B907F2B"/>
    <w:rsid w:val="5B953DC6"/>
    <w:rsid w:val="5B96763D"/>
    <w:rsid w:val="5B985F32"/>
    <w:rsid w:val="5B9B5880"/>
    <w:rsid w:val="5BA04C44"/>
    <w:rsid w:val="5BA62408"/>
    <w:rsid w:val="5BA97648"/>
    <w:rsid w:val="5BBA5D5A"/>
    <w:rsid w:val="5BBB382C"/>
    <w:rsid w:val="5BBB7CD0"/>
    <w:rsid w:val="5BBE6D09"/>
    <w:rsid w:val="5BBE7621"/>
    <w:rsid w:val="5BBE7690"/>
    <w:rsid w:val="5BC00810"/>
    <w:rsid w:val="5BC528FD"/>
    <w:rsid w:val="5BC71E54"/>
    <w:rsid w:val="5BCA7F13"/>
    <w:rsid w:val="5BD237B0"/>
    <w:rsid w:val="5BD243D6"/>
    <w:rsid w:val="5BD74251"/>
    <w:rsid w:val="5BD806E6"/>
    <w:rsid w:val="5BD95648"/>
    <w:rsid w:val="5BDD1924"/>
    <w:rsid w:val="5BDF5D95"/>
    <w:rsid w:val="5BE20302"/>
    <w:rsid w:val="5BE72873"/>
    <w:rsid w:val="5BF14C2E"/>
    <w:rsid w:val="5BFE7528"/>
    <w:rsid w:val="5C001082"/>
    <w:rsid w:val="5C0A0D6D"/>
    <w:rsid w:val="5C0A6FBD"/>
    <w:rsid w:val="5C0C4088"/>
    <w:rsid w:val="5C1328D2"/>
    <w:rsid w:val="5C1816B2"/>
    <w:rsid w:val="5C193E44"/>
    <w:rsid w:val="5C1D6295"/>
    <w:rsid w:val="5C1F025F"/>
    <w:rsid w:val="5C205BBF"/>
    <w:rsid w:val="5C242E11"/>
    <w:rsid w:val="5C2C1351"/>
    <w:rsid w:val="5C321615"/>
    <w:rsid w:val="5C390BF5"/>
    <w:rsid w:val="5C3F05AC"/>
    <w:rsid w:val="5C45176F"/>
    <w:rsid w:val="5C471339"/>
    <w:rsid w:val="5C5A7650"/>
    <w:rsid w:val="5C67665A"/>
    <w:rsid w:val="5C68451B"/>
    <w:rsid w:val="5C693F03"/>
    <w:rsid w:val="5C6D1040"/>
    <w:rsid w:val="5C7560D1"/>
    <w:rsid w:val="5C831C5C"/>
    <w:rsid w:val="5C86060B"/>
    <w:rsid w:val="5C88709C"/>
    <w:rsid w:val="5C8B5A45"/>
    <w:rsid w:val="5C901F0C"/>
    <w:rsid w:val="5C902F0B"/>
    <w:rsid w:val="5C9522CF"/>
    <w:rsid w:val="5C981DBF"/>
    <w:rsid w:val="5C9F70ED"/>
    <w:rsid w:val="5CA70254"/>
    <w:rsid w:val="5CA97B29"/>
    <w:rsid w:val="5CAE15E3"/>
    <w:rsid w:val="5CB169DD"/>
    <w:rsid w:val="5CB36BF9"/>
    <w:rsid w:val="5CB817EE"/>
    <w:rsid w:val="5CBA2C4C"/>
    <w:rsid w:val="5CBA7D0C"/>
    <w:rsid w:val="5CC06FCC"/>
    <w:rsid w:val="5CC11316"/>
    <w:rsid w:val="5CC3098C"/>
    <w:rsid w:val="5CD379A9"/>
    <w:rsid w:val="5CDA23D8"/>
    <w:rsid w:val="5CDE61E5"/>
    <w:rsid w:val="5CE46DB3"/>
    <w:rsid w:val="5CEC3A93"/>
    <w:rsid w:val="5CEC747F"/>
    <w:rsid w:val="5CF54B1C"/>
    <w:rsid w:val="5D002B6A"/>
    <w:rsid w:val="5D0204D6"/>
    <w:rsid w:val="5D094A6B"/>
    <w:rsid w:val="5D0A2889"/>
    <w:rsid w:val="5D0E2082"/>
    <w:rsid w:val="5D101956"/>
    <w:rsid w:val="5D107BA8"/>
    <w:rsid w:val="5D1256CE"/>
    <w:rsid w:val="5D131446"/>
    <w:rsid w:val="5D1717AF"/>
    <w:rsid w:val="5D1A4582"/>
    <w:rsid w:val="5D1C5CC2"/>
    <w:rsid w:val="5D1C7811"/>
    <w:rsid w:val="5D1F7DEB"/>
    <w:rsid w:val="5D2116BF"/>
    <w:rsid w:val="5D250E31"/>
    <w:rsid w:val="5D2740BB"/>
    <w:rsid w:val="5D2746F8"/>
    <w:rsid w:val="5D293816"/>
    <w:rsid w:val="5D323FC2"/>
    <w:rsid w:val="5D372F58"/>
    <w:rsid w:val="5D373386"/>
    <w:rsid w:val="5D375134"/>
    <w:rsid w:val="5D3B07BB"/>
    <w:rsid w:val="5D3B0F8C"/>
    <w:rsid w:val="5D3C099D"/>
    <w:rsid w:val="5D3C6BEF"/>
    <w:rsid w:val="5D3D29AA"/>
    <w:rsid w:val="5D3E4715"/>
    <w:rsid w:val="5D3E7A82"/>
    <w:rsid w:val="5D470B36"/>
    <w:rsid w:val="5D526250"/>
    <w:rsid w:val="5D535CE6"/>
    <w:rsid w:val="5D57778A"/>
    <w:rsid w:val="5D600603"/>
    <w:rsid w:val="5D6241BC"/>
    <w:rsid w:val="5D627360"/>
    <w:rsid w:val="5D6E48CE"/>
    <w:rsid w:val="5D74760D"/>
    <w:rsid w:val="5D7A7717"/>
    <w:rsid w:val="5D7B7E30"/>
    <w:rsid w:val="5D7C0182"/>
    <w:rsid w:val="5D7E7207"/>
    <w:rsid w:val="5D942D30"/>
    <w:rsid w:val="5D9B1B67"/>
    <w:rsid w:val="5DA36273"/>
    <w:rsid w:val="5DAC246E"/>
    <w:rsid w:val="5DB42C29"/>
    <w:rsid w:val="5DB449D7"/>
    <w:rsid w:val="5DBB1E62"/>
    <w:rsid w:val="5DC11BD4"/>
    <w:rsid w:val="5DC32E6C"/>
    <w:rsid w:val="5DC42740"/>
    <w:rsid w:val="5DC759B6"/>
    <w:rsid w:val="5DC961C2"/>
    <w:rsid w:val="5DCD5A99"/>
    <w:rsid w:val="5DD337FE"/>
    <w:rsid w:val="5DDB29D0"/>
    <w:rsid w:val="5DDC3F2E"/>
    <w:rsid w:val="5DE401C7"/>
    <w:rsid w:val="5DEA0758"/>
    <w:rsid w:val="5DEE4B0E"/>
    <w:rsid w:val="5DEF78BB"/>
    <w:rsid w:val="5DF3340F"/>
    <w:rsid w:val="5DF96318"/>
    <w:rsid w:val="5E001ACF"/>
    <w:rsid w:val="5E077FA7"/>
    <w:rsid w:val="5E08087F"/>
    <w:rsid w:val="5E0D034B"/>
    <w:rsid w:val="5E1436C8"/>
    <w:rsid w:val="5E195986"/>
    <w:rsid w:val="5E1B7EF2"/>
    <w:rsid w:val="5E1C257C"/>
    <w:rsid w:val="5E1E4DF0"/>
    <w:rsid w:val="5E1F60A7"/>
    <w:rsid w:val="5E2356B9"/>
    <w:rsid w:val="5E2467F1"/>
    <w:rsid w:val="5E2A4C99"/>
    <w:rsid w:val="5E317DD6"/>
    <w:rsid w:val="5E352B67"/>
    <w:rsid w:val="5E370582"/>
    <w:rsid w:val="5E381A9C"/>
    <w:rsid w:val="5E3B6AAD"/>
    <w:rsid w:val="5E4A70E9"/>
    <w:rsid w:val="5E4F4700"/>
    <w:rsid w:val="5E565A8E"/>
    <w:rsid w:val="5E577F63"/>
    <w:rsid w:val="5E631F59"/>
    <w:rsid w:val="5E635D82"/>
    <w:rsid w:val="5E6957C1"/>
    <w:rsid w:val="5E730575"/>
    <w:rsid w:val="5E761C8C"/>
    <w:rsid w:val="5E7674DE"/>
    <w:rsid w:val="5E79083D"/>
    <w:rsid w:val="5E800D5D"/>
    <w:rsid w:val="5E8A5738"/>
    <w:rsid w:val="5E987791"/>
    <w:rsid w:val="5E9F464C"/>
    <w:rsid w:val="5E9F7435"/>
    <w:rsid w:val="5EA66A16"/>
    <w:rsid w:val="5EA902B4"/>
    <w:rsid w:val="5EAF155F"/>
    <w:rsid w:val="5EB033F0"/>
    <w:rsid w:val="5EB036B2"/>
    <w:rsid w:val="5EC62C14"/>
    <w:rsid w:val="5EC7073A"/>
    <w:rsid w:val="5EC944B2"/>
    <w:rsid w:val="5ECB647C"/>
    <w:rsid w:val="5ECC7AFE"/>
    <w:rsid w:val="5ED30271"/>
    <w:rsid w:val="5ED370DF"/>
    <w:rsid w:val="5EDE0D40"/>
    <w:rsid w:val="5EE027E7"/>
    <w:rsid w:val="5EE22D04"/>
    <w:rsid w:val="5EE475E4"/>
    <w:rsid w:val="5EE55333"/>
    <w:rsid w:val="5EEC6D75"/>
    <w:rsid w:val="5EF07C91"/>
    <w:rsid w:val="5EF37781"/>
    <w:rsid w:val="5EF37937"/>
    <w:rsid w:val="5EFC134A"/>
    <w:rsid w:val="5EFE5DC1"/>
    <w:rsid w:val="5EFF5A75"/>
    <w:rsid w:val="5F014E9D"/>
    <w:rsid w:val="5F071428"/>
    <w:rsid w:val="5F0965A4"/>
    <w:rsid w:val="5F0B0D18"/>
    <w:rsid w:val="5F1A2B43"/>
    <w:rsid w:val="5F1F1FF6"/>
    <w:rsid w:val="5F2218B2"/>
    <w:rsid w:val="5F2B6F1B"/>
    <w:rsid w:val="5F2D2C93"/>
    <w:rsid w:val="5F3B05DC"/>
    <w:rsid w:val="5F3E3C5B"/>
    <w:rsid w:val="5F401D9B"/>
    <w:rsid w:val="5F41214C"/>
    <w:rsid w:val="5F431FA1"/>
    <w:rsid w:val="5F461238"/>
    <w:rsid w:val="5F462387"/>
    <w:rsid w:val="5F4A106A"/>
    <w:rsid w:val="5F4B022D"/>
    <w:rsid w:val="5F4B4919"/>
    <w:rsid w:val="5F506981"/>
    <w:rsid w:val="5F530220"/>
    <w:rsid w:val="5F5650DC"/>
    <w:rsid w:val="5F5875E4"/>
    <w:rsid w:val="5F592D36"/>
    <w:rsid w:val="5F595ACD"/>
    <w:rsid w:val="5F5C6189"/>
    <w:rsid w:val="5F5F1038"/>
    <w:rsid w:val="5F6B4CCF"/>
    <w:rsid w:val="5F7A2EE8"/>
    <w:rsid w:val="5F7E529D"/>
    <w:rsid w:val="5F864151"/>
    <w:rsid w:val="5F8A052F"/>
    <w:rsid w:val="5F8F1018"/>
    <w:rsid w:val="5F9525E6"/>
    <w:rsid w:val="5F9862CA"/>
    <w:rsid w:val="5FA32F55"/>
    <w:rsid w:val="5FB7255D"/>
    <w:rsid w:val="5FB837BB"/>
    <w:rsid w:val="5FBF31B3"/>
    <w:rsid w:val="5FC222E6"/>
    <w:rsid w:val="5FC259CE"/>
    <w:rsid w:val="5FC4308B"/>
    <w:rsid w:val="5FCF3D4A"/>
    <w:rsid w:val="5FD01870"/>
    <w:rsid w:val="5FD0361E"/>
    <w:rsid w:val="5FD255E8"/>
    <w:rsid w:val="5FD46A15"/>
    <w:rsid w:val="5FD924D3"/>
    <w:rsid w:val="5FE532A2"/>
    <w:rsid w:val="5FF21651"/>
    <w:rsid w:val="5FF67529"/>
    <w:rsid w:val="5FFC4413"/>
    <w:rsid w:val="5FFD5996"/>
    <w:rsid w:val="6008100A"/>
    <w:rsid w:val="60103799"/>
    <w:rsid w:val="6017749F"/>
    <w:rsid w:val="60177B46"/>
    <w:rsid w:val="60180706"/>
    <w:rsid w:val="601B6F8F"/>
    <w:rsid w:val="601C3E3D"/>
    <w:rsid w:val="601E25DC"/>
    <w:rsid w:val="60200102"/>
    <w:rsid w:val="60234096"/>
    <w:rsid w:val="602A28EC"/>
    <w:rsid w:val="602C11A0"/>
    <w:rsid w:val="60365B77"/>
    <w:rsid w:val="603C3B9C"/>
    <w:rsid w:val="604069F6"/>
    <w:rsid w:val="604638E0"/>
    <w:rsid w:val="60473184"/>
    <w:rsid w:val="60483AFC"/>
    <w:rsid w:val="604A517F"/>
    <w:rsid w:val="604F4E8B"/>
    <w:rsid w:val="60522285"/>
    <w:rsid w:val="60593614"/>
    <w:rsid w:val="60620269"/>
    <w:rsid w:val="6065020A"/>
    <w:rsid w:val="60656AB9"/>
    <w:rsid w:val="60681AA9"/>
    <w:rsid w:val="60695F4D"/>
    <w:rsid w:val="6072639B"/>
    <w:rsid w:val="60757447"/>
    <w:rsid w:val="607937C9"/>
    <w:rsid w:val="60793CB6"/>
    <w:rsid w:val="607E12CC"/>
    <w:rsid w:val="60803296"/>
    <w:rsid w:val="60891CF4"/>
    <w:rsid w:val="608A127E"/>
    <w:rsid w:val="608F19AC"/>
    <w:rsid w:val="60910267"/>
    <w:rsid w:val="60967917"/>
    <w:rsid w:val="609D307B"/>
    <w:rsid w:val="60A356C4"/>
    <w:rsid w:val="60A95C2E"/>
    <w:rsid w:val="60A978E8"/>
    <w:rsid w:val="60B50F97"/>
    <w:rsid w:val="60B8658C"/>
    <w:rsid w:val="60BD1060"/>
    <w:rsid w:val="60BE2043"/>
    <w:rsid w:val="60BE791B"/>
    <w:rsid w:val="60C04175"/>
    <w:rsid w:val="60C82547"/>
    <w:rsid w:val="60CC405A"/>
    <w:rsid w:val="60CD3C52"/>
    <w:rsid w:val="60CE5484"/>
    <w:rsid w:val="60D63372"/>
    <w:rsid w:val="60DB1612"/>
    <w:rsid w:val="60DC7029"/>
    <w:rsid w:val="60DD4245"/>
    <w:rsid w:val="60DE1591"/>
    <w:rsid w:val="60E44846"/>
    <w:rsid w:val="60E44EAB"/>
    <w:rsid w:val="60F35816"/>
    <w:rsid w:val="60F94C01"/>
    <w:rsid w:val="60FD75AC"/>
    <w:rsid w:val="61006F0C"/>
    <w:rsid w:val="611052AA"/>
    <w:rsid w:val="611759A9"/>
    <w:rsid w:val="61197766"/>
    <w:rsid w:val="61202383"/>
    <w:rsid w:val="61232F88"/>
    <w:rsid w:val="612956DC"/>
    <w:rsid w:val="612D2848"/>
    <w:rsid w:val="612E4AA0"/>
    <w:rsid w:val="612F0A64"/>
    <w:rsid w:val="61357BDD"/>
    <w:rsid w:val="613B0F6B"/>
    <w:rsid w:val="614442C4"/>
    <w:rsid w:val="614C27B6"/>
    <w:rsid w:val="614E4127"/>
    <w:rsid w:val="61544139"/>
    <w:rsid w:val="615A5895"/>
    <w:rsid w:val="615A6E64"/>
    <w:rsid w:val="615E1FB9"/>
    <w:rsid w:val="61616C24"/>
    <w:rsid w:val="616404C2"/>
    <w:rsid w:val="61646714"/>
    <w:rsid w:val="616473E7"/>
    <w:rsid w:val="61676CFF"/>
    <w:rsid w:val="616B1851"/>
    <w:rsid w:val="616B68A3"/>
    <w:rsid w:val="616C0976"/>
    <w:rsid w:val="616F4356"/>
    <w:rsid w:val="617240E5"/>
    <w:rsid w:val="617C404C"/>
    <w:rsid w:val="61811074"/>
    <w:rsid w:val="61832254"/>
    <w:rsid w:val="618531C6"/>
    <w:rsid w:val="618A197E"/>
    <w:rsid w:val="61926DDD"/>
    <w:rsid w:val="61930DA7"/>
    <w:rsid w:val="61932B55"/>
    <w:rsid w:val="619472BB"/>
    <w:rsid w:val="61955C36"/>
    <w:rsid w:val="619A4975"/>
    <w:rsid w:val="619B3FD0"/>
    <w:rsid w:val="619C7C5C"/>
    <w:rsid w:val="61A30D8A"/>
    <w:rsid w:val="61A30FEA"/>
    <w:rsid w:val="61A56C12"/>
    <w:rsid w:val="61AB4343"/>
    <w:rsid w:val="61AE5BF4"/>
    <w:rsid w:val="61AF3E33"/>
    <w:rsid w:val="61B551C2"/>
    <w:rsid w:val="61B62A43"/>
    <w:rsid w:val="61BC02FE"/>
    <w:rsid w:val="61BD1D0E"/>
    <w:rsid w:val="61C176C2"/>
    <w:rsid w:val="61C53F19"/>
    <w:rsid w:val="61C6117D"/>
    <w:rsid w:val="61C83B57"/>
    <w:rsid w:val="61CC33D5"/>
    <w:rsid w:val="61CD11EB"/>
    <w:rsid w:val="61CD42B9"/>
    <w:rsid w:val="61CF1677"/>
    <w:rsid w:val="61CF1FFF"/>
    <w:rsid w:val="61D17319"/>
    <w:rsid w:val="61D75E21"/>
    <w:rsid w:val="61D85AC9"/>
    <w:rsid w:val="61DE1F28"/>
    <w:rsid w:val="61E215D8"/>
    <w:rsid w:val="61E76A46"/>
    <w:rsid w:val="61E83787"/>
    <w:rsid w:val="61FB7C8E"/>
    <w:rsid w:val="61FC06FB"/>
    <w:rsid w:val="620677CB"/>
    <w:rsid w:val="620815C8"/>
    <w:rsid w:val="620A72BB"/>
    <w:rsid w:val="620D6DAC"/>
    <w:rsid w:val="620F40B1"/>
    <w:rsid w:val="6213047A"/>
    <w:rsid w:val="62181EE6"/>
    <w:rsid w:val="62183792"/>
    <w:rsid w:val="621A6DD3"/>
    <w:rsid w:val="621B3775"/>
    <w:rsid w:val="622540F5"/>
    <w:rsid w:val="622B0FE0"/>
    <w:rsid w:val="622C6B78"/>
    <w:rsid w:val="62362CF4"/>
    <w:rsid w:val="62364782"/>
    <w:rsid w:val="623720B9"/>
    <w:rsid w:val="62404A8B"/>
    <w:rsid w:val="62414596"/>
    <w:rsid w:val="62415380"/>
    <w:rsid w:val="62481B92"/>
    <w:rsid w:val="624C4E55"/>
    <w:rsid w:val="624E0893"/>
    <w:rsid w:val="624E70B1"/>
    <w:rsid w:val="624F1172"/>
    <w:rsid w:val="625209B9"/>
    <w:rsid w:val="6252656D"/>
    <w:rsid w:val="62614A02"/>
    <w:rsid w:val="62634C1E"/>
    <w:rsid w:val="626369CC"/>
    <w:rsid w:val="626A1B08"/>
    <w:rsid w:val="626D2023"/>
    <w:rsid w:val="627209BD"/>
    <w:rsid w:val="62771F43"/>
    <w:rsid w:val="627838A0"/>
    <w:rsid w:val="62797F9D"/>
    <w:rsid w:val="627D7A8D"/>
    <w:rsid w:val="627E51DA"/>
    <w:rsid w:val="628030DA"/>
    <w:rsid w:val="62850A57"/>
    <w:rsid w:val="62862181"/>
    <w:rsid w:val="628816D8"/>
    <w:rsid w:val="628E1C9B"/>
    <w:rsid w:val="629C4DF2"/>
    <w:rsid w:val="629D3E15"/>
    <w:rsid w:val="62A0552A"/>
    <w:rsid w:val="62AA1DB0"/>
    <w:rsid w:val="62AC4080"/>
    <w:rsid w:val="62AF7E63"/>
    <w:rsid w:val="62B2525D"/>
    <w:rsid w:val="62B52802"/>
    <w:rsid w:val="62B611F1"/>
    <w:rsid w:val="62B936C9"/>
    <w:rsid w:val="62B965EC"/>
    <w:rsid w:val="62C31A76"/>
    <w:rsid w:val="62C70274"/>
    <w:rsid w:val="62C92CD3"/>
    <w:rsid w:val="62CD2097"/>
    <w:rsid w:val="62CF6AAF"/>
    <w:rsid w:val="62D11B87"/>
    <w:rsid w:val="62D13935"/>
    <w:rsid w:val="62D152C3"/>
    <w:rsid w:val="62D172D1"/>
    <w:rsid w:val="62D358FF"/>
    <w:rsid w:val="62E0001C"/>
    <w:rsid w:val="62E12624"/>
    <w:rsid w:val="62E775FD"/>
    <w:rsid w:val="62E8203F"/>
    <w:rsid w:val="62F31AFE"/>
    <w:rsid w:val="62F53AC8"/>
    <w:rsid w:val="62F615EE"/>
    <w:rsid w:val="62FA7330"/>
    <w:rsid w:val="62FD2D46"/>
    <w:rsid w:val="62FD5FB9"/>
    <w:rsid w:val="63043D0B"/>
    <w:rsid w:val="6306709B"/>
    <w:rsid w:val="630A3E66"/>
    <w:rsid w:val="630E06E5"/>
    <w:rsid w:val="63165FA7"/>
    <w:rsid w:val="632074AD"/>
    <w:rsid w:val="63212267"/>
    <w:rsid w:val="63215906"/>
    <w:rsid w:val="632225B3"/>
    <w:rsid w:val="63293771"/>
    <w:rsid w:val="632B4E06"/>
    <w:rsid w:val="632B64E7"/>
    <w:rsid w:val="632B74E9"/>
    <w:rsid w:val="632E0D88"/>
    <w:rsid w:val="6330580C"/>
    <w:rsid w:val="63340929"/>
    <w:rsid w:val="633649C0"/>
    <w:rsid w:val="63387A26"/>
    <w:rsid w:val="633914DA"/>
    <w:rsid w:val="633C08FC"/>
    <w:rsid w:val="633E1A60"/>
    <w:rsid w:val="63416D0D"/>
    <w:rsid w:val="634265E1"/>
    <w:rsid w:val="634B7B8C"/>
    <w:rsid w:val="634E64FC"/>
    <w:rsid w:val="63544194"/>
    <w:rsid w:val="63590869"/>
    <w:rsid w:val="635F3637"/>
    <w:rsid w:val="63647883"/>
    <w:rsid w:val="6367429A"/>
    <w:rsid w:val="63683A4C"/>
    <w:rsid w:val="636B3D8A"/>
    <w:rsid w:val="636F233B"/>
    <w:rsid w:val="637013A0"/>
    <w:rsid w:val="637A7682"/>
    <w:rsid w:val="638552A0"/>
    <w:rsid w:val="638769CE"/>
    <w:rsid w:val="638E55D2"/>
    <w:rsid w:val="6394356A"/>
    <w:rsid w:val="63944097"/>
    <w:rsid w:val="6397692D"/>
    <w:rsid w:val="63983766"/>
    <w:rsid w:val="639A01CB"/>
    <w:rsid w:val="639D1DD4"/>
    <w:rsid w:val="63A33228"/>
    <w:rsid w:val="63A64DC2"/>
    <w:rsid w:val="63A70B3A"/>
    <w:rsid w:val="63A977B9"/>
    <w:rsid w:val="63B02335"/>
    <w:rsid w:val="63B51154"/>
    <w:rsid w:val="63B82D47"/>
    <w:rsid w:val="63B91E59"/>
    <w:rsid w:val="63BC45E5"/>
    <w:rsid w:val="63BD210C"/>
    <w:rsid w:val="63C4067C"/>
    <w:rsid w:val="63C61B2C"/>
    <w:rsid w:val="63C65464"/>
    <w:rsid w:val="63CC234F"/>
    <w:rsid w:val="63D00091"/>
    <w:rsid w:val="63D40BE9"/>
    <w:rsid w:val="63D95197"/>
    <w:rsid w:val="63DD4B50"/>
    <w:rsid w:val="63DD630A"/>
    <w:rsid w:val="63E678B4"/>
    <w:rsid w:val="63EA2D09"/>
    <w:rsid w:val="63EB3B94"/>
    <w:rsid w:val="63EB4ECB"/>
    <w:rsid w:val="63F05DFF"/>
    <w:rsid w:val="63F10BEA"/>
    <w:rsid w:val="63F23BEA"/>
    <w:rsid w:val="63F975E8"/>
    <w:rsid w:val="63FF2724"/>
    <w:rsid w:val="64007E18"/>
    <w:rsid w:val="640146EE"/>
    <w:rsid w:val="64074BCA"/>
    <w:rsid w:val="640B49E2"/>
    <w:rsid w:val="640D4E41"/>
    <w:rsid w:val="640E2967"/>
    <w:rsid w:val="64102431"/>
    <w:rsid w:val="641066DF"/>
    <w:rsid w:val="64173EFA"/>
    <w:rsid w:val="641C5084"/>
    <w:rsid w:val="64242A33"/>
    <w:rsid w:val="64265F03"/>
    <w:rsid w:val="64267CB1"/>
    <w:rsid w:val="64285135"/>
    <w:rsid w:val="642E5A0B"/>
    <w:rsid w:val="642F125B"/>
    <w:rsid w:val="642F3009"/>
    <w:rsid w:val="642F7E17"/>
    <w:rsid w:val="643322BC"/>
    <w:rsid w:val="643A375C"/>
    <w:rsid w:val="643E39FE"/>
    <w:rsid w:val="644279E6"/>
    <w:rsid w:val="64446389"/>
    <w:rsid w:val="64452F49"/>
    <w:rsid w:val="64456942"/>
    <w:rsid w:val="64493D8F"/>
    <w:rsid w:val="644D47F0"/>
    <w:rsid w:val="644F3738"/>
    <w:rsid w:val="64520AA6"/>
    <w:rsid w:val="64671BB7"/>
    <w:rsid w:val="647A41C3"/>
    <w:rsid w:val="64840F16"/>
    <w:rsid w:val="64851E32"/>
    <w:rsid w:val="64882719"/>
    <w:rsid w:val="648A46E4"/>
    <w:rsid w:val="64902B9E"/>
    <w:rsid w:val="649C61C5"/>
    <w:rsid w:val="64A31301"/>
    <w:rsid w:val="64A42741"/>
    <w:rsid w:val="64A5243A"/>
    <w:rsid w:val="64AD03D2"/>
    <w:rsid w:val="64AD2180"/>
    <w:rsid w:val="64B654D9"/>
    <w:rsid w:val="64B81251"/>
    <w:rsid w:val="64BD0615"/>
    <w:rsid w:val="64C574CA"/>
    <w:rsid w:val="64C9520C"/>
    <w:rsid w:val="64CC6AAA"/>
    <w:rsid w:val="64CF02FD"/>
    <w:rsid w:val="64D040DE"/>
    <w:rsid w:val="64D12312"/>
    <w:rsid w:val="64D21BE7"/>
    <w:rsid w:val="64D74D2B"/>
    <w:rsid w:val="64DD2A65"/>
    <w:rsid w:val="64E14E42"/>
    <w:rsid w:val="64F47195"/>
    <w:rsid w:val="64F531DE"/>
    <w:rsid w:val="64FE29DC"/>
    <w:rsid w:val="65011063"/>
    <w:rsid w:val="650758DA"/>
    <w:rsid w:val="65167D25"/>
    <w:rsid w:val="65172C25"/>
    <w:rsid w:val="651E1886"/>
    <w:rsid w:val="65247DB9"/>
    <w:rsid w:val="65273CE0"/>
    <w:rsid w:val="652E506F"/>
    <w:rsid w:val="65310A80"/>
    <w:rsid w:val="6531690D"/>
    <w:rsid w:val="65317D45"/>
    <w:rsid w:val="65335EBC"/>
    <w:rsid w:val="65373578"/>
    <w:rsid w:val="6538351C"/>
    <w:rsid w:val="65462432"/>
    <w:rsid w:val="65462486"/>
    <w:rsid w:val="654B3ABF"/>
    <w:rsid w:val="654F3237"/>
    <w:rsid w:val="65517B28"/>
    <w:rsid w:val="655814EA"/>
    <w:rsid w:val="65604E14"/>
    <w:rsid w:val="65644F35"/>
    <w:rsid w:val="65660CAD"/>
    <w:rsid w:val="656B46CF"/>
    <w:rsid w:val="6578453C"/>
    <w:rsid w:val="657E40B7"/>
    <w:rsid w:val="657F77F3"/>
    <w:rsid w:val="658C6239"/>
    <w:rsid w:val="65944F19"/>
    <w:rsid w:val="65962C14"/>
    <w:rsid w:val="659A6BA8"/>
    <w:rsid w:val="65A272E6"/>
    <w:rsid w:val="65A92947"/>
    <w:rsid w:val="65AA7839"/>
    <w:rsid w:val="65AF18EF"/>
    <w:rsid w:val="65AF24FC"/>
    <w:rsid w:val="65B16484"/>
    <w:rsid w:val="65B242C1"/>
    <w:rsid w:val="65B337C6"/>
    <w:rsid w:val="65B41636"/>
    <w:rsid w:val="65B904AF"/>
    <w:rsid w:val="65BF28C0"/>
    <w:rsid w:val="65C14135"/>
    <w:rsid w:val="65C31EBF"/>
    <w:rsid w:val="65CB0B10"/>
    <w:rsid w:val="65D329DC"/>
    <w:rsid w:val="65D9563C"/>
    <w:rsid w:val="65DB3657"/>
    <w:rsid w:val="65DB6AE0"/>
    <w:rsid w:val="65DC6B33"/>
    <w:rsid w:val="65E12D89"/>
    <w:rsid w:val="65E816C2"/>
    <w:rsid w:val="65E971E8"/>
    <w:rsid w:val="65EC0A86"/>
    <w:rsid w:val="65EF0514"/>
    <w:rsid w:val="65FF6A0B"/>
    <w:rsid w:val="66063F8F"/>
    <w:rsid w:val="6607107C"/>
    <w:rsid w:val="660D2ED6"/>
    <w:rsid w:val="66112C08"/>
    <w:rsid w:val="66184BA2"/>
    <w:rsid w:val="661C5916"/>
    <w:rsid w:val="661F70AE"/>
    <w:rsid w:val="661F7830"/>
    <w:rsid w:val="66240220"/>
    <w:rsid w:val="66264306"/>
    <w:rsid w:val="66320B8F"/>
    <w:rsid w:val="66391F1D"/>
    <w:rsid w:val="663A7A43"/>
    <w:rsid w:val="66483D36"/>
    <w:rsid w:val="66503996"/>
    <w:rsid w:val="66575337"/>
    <w:rsid w:val="66596BBD"/>
    <w:rsid w:val="665C20B0"/>
    <w:rsid w:val="665C3D4F"/>
    <w:rsid w:val="666A0292"/>
    <w:rsid w:val="666B10DF"/>
    <w:rsid w:val="666E38DB"/>
    <w:rsid w:val="66714F40"/>
    <w:rsid w:val="66763171"/>
    <w:rsid w:val="667B0788"/>
    <w:rsid w:val="66810A05"/>
    <w:rsid w:val="66833198"/>
    <w:rsid w:val="66855E09"/>
    <w:rsid w:val="668607FC"/>
    <w:rsid w:val="66860EDB"/>
    <w:rsid w:val="668641F4"/>
    <w:rsid w:val="668A09CB"/>
    <w:rsid w:val="668F5FE1"/>
    <w:rsid w:val="6695111E"/>
    <w:rsid w:val="669D40AB"/>
    <w:rsid w:val="66A370CE"/>
    <w:rsid w:val="66A718E0"/>
    <w:rsid w:val="66A80E51"/>
    <w:rsid w:val="66AA4BC9"/>
    <w:rsid w:val="66AE3BEE"/>
    <w:rsid w:val="66C33EDD"/>
    <w:rsid w:val="66C36B8F"/>
    <w:rsid w:val="66C51AAB"/>
    <w:rsid w:val="66C9098F"/>
    <w:rsid w:val="66CD4D5B"/>
    <w:rsid w:val="66CD74EB"/>
    <w:rsid w:val="66D41C46"/>
    <w:rsid w:val="66DA706A"/>
    <w:rsid w:val="66DF6717"/>
    <w:rsid w:val="66E414EA"/>
    <w:rsid w:val="66E873CE"/>
    <w:rsid w:val="66F300FB"/>
    <w:rsid w:val="66F5632C"/>
    <w:rsid w:val="6703152B"/>
    <w:rsid w:val="670503E1"/>
    <w:rsid w:val="67073DC9"/>
    <w:rsid w:val="670752CC"/>
    <w:rsid w:val="670F7122"/>
    <w:rsid w:val="67141D0B"/>
    <w:rsid w:val="671708C5"/>
    <w:rsid w:val="67185FD7"/>
    <w:rsid w:val="67191D4F"/>
    <w:rsid w:val="671F124A"/>
    <w:rsid w:val="67206C39"/>
    <w:rsid w:val="6722070B"/>
    <w:rsid w:val="672524A2"/>
    <w:rsid w:val="67266558"/>
    <w:rsid w:val="67283D40"/>
    <w:rsid w:val="672D1356"/>
    <w:rsid w:val="67392CCC"/>
    <w:rsid w:val="67397CFB"/>
    <w:rsid w:val="673C2122"/>
    <w:rsid w:val="674067A8"/>
    <w:rsid w:val="67452246"/>
    <w:rsid w:val="6746005A"/>
    <w:rsid w:val="67467072"/>
    <w:rsid w:val="674D150B"/>
    <w:rsid w:val="674D2CD2"/>
    <w:rsid w:val="67554EF5"/>
    <w:rsid w:val="67586027"/>
    <w:rsid w:val="67590DCC"/>
    <w:rsid w:val="675A3185"/>
    <w:rsid w:val="675D091D"/>
    <w:rsid w:val="675E7762"/>
    <w:rsid w:val="67626C3F"/>
    <w:rsid w:val="67627252"/>
    <w:rsid w:val="67696832"/>
    <w:rsid w:val="67696CD9"/>
    <w:rsid w:val="67704709"/>
    <w:rsid w:val="67750BD7"/>
    <w:rsid w:val="6778132C"/>
    <w:rsid w:val="677A33C6"/>
    <w:rsid w:val="67890C82"/>
    <w:rsid w:val="678C42CF"/>
    <w:rsid w:val="67900263"/>
    <w:rsid w:val="67922539"/>
    <w:rsid w:val="679B09B6"/>
    <w:rsid w:val="679B2764"/>
    <w:rsid w:val="679D028A"/>
    <w:rsid w:val="679D5376"/>
    <w:rsid w:val="679F0344"/>
    <w:rsid w:val="679F4002"/>
    <w:rsid w:val="67A23AF2"/>
    <w:rsid w:val="67A41618"/>
    <w:rsid w:val="67A4786A"/>
    <w:rsid w:val="67AC671F"/>
    <w:rsid w:val="67AE343A"/>
    <w:rsid w:val="67BD43F3"/>
    <w:rsid w:val="67C0431C"/>
    <w:rsid w:val="67C24ADE"/>
    <w:rsid w:val="67C32A17"/>
    <w:rsid w:val="67CA4DF7"/>
    <w:rsid w:val="67D03B42"/>
    <w:rsid w:val="67D124CC"/>
    <w:rsid w:val="67D55C76"/>
    <w:rsid w:val="67D619EE"/>
    <w:rsid w:val="67D63D90"/>
    <w:rsid w:val="67DF6AF4"/>
    <w:rsid w:val="67E20393"/>
    <w:rsid w:val="67E61E8E"/>
    <w:rsid w:val="67E73BFB"/>
    <w:rsid w:val="67E91721"/>
    <w:rsid w:val="67EC20DF"/>
    <w:rsid w:val="67F818B5"/>
    <w:rsid w:val="67FF0F45"/>
    <w:rsid w:val="680102C6"/>
    <w:rsid w:val="68040309"/>
    <w:rsid w:val="68071393"/>
    <w:rsid w:val="680C5410"/>
    <w:rsid w:val="680D18B3"/>
    <w:rsid w:val="681744E0"/>
    <w:rsid w:val="681F6961"/>
    <w:rsid w:val="6828049B"/>
    <w:rsid w:val="68282344"/>
    <w:rsid w:val="683055A2"/>
    <w:rsid w:val="68306927"/>
    <w:rsid w:val="68354966"/>
    <w:rsid w:val="683573B6"/>
    <w:rsid w:val="6837248C"/>
    <w:rsid w:val="683E1412"/>
    <w:rsid w:val="68403510"/>
    <w:rsid w:val="6844104D"/>
    <w:rsid w:val="684A5B95"/>
    <w:rsid w:val="684B5F38"/>
    <w:rsid w:val="684D33EC"/>
    <w:rsid w:val="68540C60"/>
    <w:rsid w:val="6856731C"/>
    <w:rsid w:val="685814FE"/>
    <w:rsid w:val="68594E4C"/>
    <w:rsid w:val="68596203"/>
    <w:rsid w:val="685B394F"/>
    <w:rsid w:val="68610A2F"/>
    <w:rsid w:val="68641968"/>
    <w:rsid w:val="68646FFA"/>
    <w:rsid w:val="68671EE0"/>
    <w:rsid w:val="686D4DEE"/>
    <w:rsid w:val="686F5A57"/>
    <w:rsid w:val="686F7E78"/>
    <w:rsid w:val="68705C18"/>
    <w:rsid w:val="687436E1"/>
    <w:rsid w:val="687950AD"/>
    <w:rsid w:val="687C5E39"/>
    <w:rsid w:val="687E455F"/>
    <w:rsid w:val="68805514"/>
    <w:rsid w:val="68815DFE"/>
    <w:rsid w:val="688356D2"/>
    <w:rsid w:val="688651C2"/>
    <w:rsid w:val="68880F3A"/>
    <w:rsid w:val="688F20D7"/>
    <w:rsid w:val="688F37FD"/>
    <w:rsid w:val="68956452"/>
    <w:rsid w:val="689859A9"/>
    <w:rsid w:val="689E42BA"/>
    <w:rsid w:val="68A85138"/>
    <w:rsid w:val="68AA0F63"/>
    <w:rsid w:val="68AA7102"/>
    <w:rsid w:val="68AB2848"/>
    <w:rsid w:val="68B41D2F"/>
    <w:rsid w:val="68B453BE"/>
    <w:rsid w:val="68B94F26"/>
    <w:rsid w:val="68BF05A2"/>
    <w:rsid w:val="68D26659"/>
    <w:rsid w:val="68D42C30"/>
    <w:rsid w:val="68D75A1D"/>
    <w:rsid w:val="68DA22C3"/>
    <w:rsid w:val="68DC0F20"/>
    <w:rsid w:val="68E56022"/>
    <w:rsid w:val="68E57CC1"/>
    <w:rsid w:val="68E73D10"/>
    <w:rsid w:val="68F465CF"/>
    <w:rsid w:val="68FC7CF6"/>
    <w:rsid w:val="690744A3"/>
    <w:rsid w:val="690B1079"/>
    <w:rsid w:val="69126547"/>
    <w:rsid w:val="691714D9"/>
    <w:rsid w:val="691A3DDD"/>
    <w:rsid w:val="691B3B5C"/>
    <w:rsid w:val="691F66E4"/>
    <w:rsid w:val="692236F6"/>
    <w:rsid w:val="692755F0"/>
    <w:rsid w:val="692844CB"/>
    <w:rsid w:val="692A3144"/>
    <w:rsid w:val="692F4203"/>
    <w:rsid w:val="692F4396"/>
    <w:rsid w:val="69316E2F"/>
    <w:rsid w:val="69407A67"/>
    <w:rsid w:val="69485A1A"/>
    <w:rsid w:val="69485C04"/>
    <w:rsid w:val="694E2071"/>
    <w:rsid w:val="69505C13"/>
    <w:rsid w:val="695312C2"/>
    <w:rsid w:val="695706BC"/>
    <w:rsid w:val="695B03FD"/>
    <w:rsid w:val="695B6F1E"/>
    <w:rsid w:val="6962178B"/>
    <w:rsid w:val="6965127B"/>
    <w:rsid w:val="696F20FA"/>
    <w:rsid w:val="69766163"/>
    <w:rsid w:val="697935EC"/>
    <w:rsid w:val="69796AD5"/>
    <w:rsid w:val="697A3B33"/>
    <w:rsid w:val="697B284D"/>
    <w:rsid w:val="697E3764"/>
    <w:rsid w:val="69825989"/>
    <w:rsid w:val="69876A11"/>
    <w:rsid w:val="698C2047"/>
    <w:rsid w:val="698C6808"/>
    <w:rsid w:val="698E317B"/>
    <w:rsid w:val="698E6A48"/>
    <w:rsid w:val="69935DE8"/>
    <w:rsid w:val="699B47B0"/>
    <w:rsid w:val="69A00505"/>
    <w:rsid w:val="69AA5E2F"/>
    <w:rsid w:val="69AD1ECC"/>
    <w:rsid w:val="69AE33EB"/>
    <w:rsid w:val="69B1626F"/>
    <w:rsid w:val="69B60CCC"/>
    <w:rsid w:val="69B73F18"/>
    <w:rsid w:val="69B93291"/>
    <w:rsid w:val="69C2047C"/>
    <w:rsid w:val="69C53AC8"/>
    <w:rsid w:val="69C8232E"/>
    <w:rsid w:val="69CB37D4"/>
    <w:rsid w:val="69CB51EC"/>
    <w:rsid w:val="69D17924"/>
    <w:rsid w:val="69D44760"/>
    <w:rsid w:val="69D8798C"/>
    <w:rsid w:val="69DC0762"/>
    <w:rsid w:val="69DC778F"/>
    <w:rsid w:val="69E11605"/>
    <w:rsid w:val="69E8794F"/>
    <w:rsid w:val="69EA2BD4"/>
    <w:rsid w:val="69EE7718"/>
    <w:rsid w:val="69F14A8C"/>
    <w:rsid w:val="69F3202B"/>
    <w:rsid w:val="69F8149D"/>
    <w:rsid w:val="69FF2A4C"/>
    <w:rsid w:val="6A095D5D"/>
    <w:rsid w:val="6A0F07A6"/>
    <w:rsid w:val="6A136F29"/>
    <w:rsid w:val="6A1A15F6"/>
    <w:rsid w:val="6A211646"/>
    <w:rsid w:val="6A243C24"/>
    <w:rsid w:val="6A281DDE"/>
    <w:rsid w:val="6A2C6AE5"/>
    <w:rsid w:val="6A2E28DA"/>
    <w:rsid w:val="6A346104"/>
    <w:rsid w:val="6A3550F2"/>
    <w:rsid w:val="6A3D3FA6"/>
    <w:rsid w:val="6A3F1ACC"/>
    <w:rsid w:val="6A46714C"/>
    <w:rsid w:val="6A475A9B"/>
    <w:rsid w:val="6A4D7232"/>
    <w:rsid w:val="6A4E2025"/>
    <w:rsid w:val="6A520EC7"/>
    <w:rsid w:val="6A537326"/>
    <w:rsid w:val="6A563A62"/>
    <w:rsid w:val="6A57356D"/>
    <w:rsid w:val="6A58046F"/>
    <w:rsid w:val="6A58493C"/>
    <w:rsid w:val="6A64789D"/>
    <w:rsid w:val="6A6652AB"/>
    <w:rsid w:val="6A687B43"/>
    <w:rsid w:val="6A697D3C"/>
    <w:rsid w:val="6A6C5840"/>
    <w:rsid w:val="6A721EA2"/>
    <w:rsid w:val="6A7379C8"/>
    <w:rsid w:val="6A757BBE"/>
    <w:rsid w:val="6A7960E5"/>
    <w:rsid w:val="6A815C41"/>
    <w:rsid w:val="6A9364EA"/>
    <w:rsid w:val="6A9A4F55"/>
    <w:rsid w:val="6A9C0897"/>
    <w:rsid w:val="6AA81420"/>
    <w:rsid w:val="6AAD2EDA"/>
    <w:rsid w:val="6AAD4C88"/>
    <w:rsid w:val="6AAE4347"/>
    <w:rsid w:val="6AB46016"/>
    <w:rsid w:val="6AB51D8E"/>
    <w:rsid w:val="6ABA55F7"/>
    <w:rsid w:val="6ABC61BB"/>
    <w:rsid w:val="6AC43927"/>
    <w:rsid w:val="6AC47324"/>
    <w:rsid w:val="6AC527E9"/>
    <w:rsid w:val="6ACB3360"/>
    <w:rsid w:val="6AD12253"/>
    <w:rsid w:val="6AD17D83"/>
    <w:rsid w:val="6AD27DC4"/>
    <w:rsid w:val="6AD67A27"/>
    <w:rsid w:val="6AD77F57"/>
    <w:rsid w:val="6ADC7038"/>
    <w:rsid w:val="6ADF06DE"/>
    <w:rsid w:val="6AE04D82"/>
    <w:rsid w:val="6AE47CB9"/>
    <w:rsid w:val="6AE85D4F"/>
    <w:rsid w:val="6AEA5F00"/>
    <w:rsid w:val="6AEB755E"/>
    <w:rsid w:val="6AED32D6"/>
    <w:rsid w:val="6AF87E20"/>
    <w:rsid w:val="6AFA3F1E"/>
    <w:rsid w:val="6AFB4456"/>
    <w:rsid w:val="6AFC0403"/>
    <w:rsid w:val="6B030D4C"/>
    <w:rsid w:val="6B0638BC"/>
    <w:rsid w:val="6B0D1BCA"/>
    <w:rsid w:val="6B106FC5"/>
    <w:rsid w:val="6B151AB7"/>
    <w:rsid w:val="6B1C5EE7"/>
    <w:rsid w:val="6B1E16E2"/>
    <w:rsid w:val="6B21527D"/>
    <w:rsid w:val="6B227A82"/>
    <w:rsid w:val="6B233926"/>
    <w:rsid w:val="6B250CC2"/>
    <w:rsid w:val="6B264A3A"/>
    <w:rsid w:val="6B2C2051"/>
    <w:rsid w:val="6B322639"/>
    <w:rsid w:val="6B332CDE"/>
    <w:rsid w:val="6B3F1BC1"/>
    <w:rsid w:val="6B4078AA"/>
    <w:rsid w:val="6B4B22CA"/>
    <w:rsid w:val="6B4B4D56"/>
    <w:rsid w:val="6B4D0B82"/>
    <w:rsid w:val="6B546DA9"/>
    <w:rsid w:val="6B657A90"/>
    <w:rsid w:val="6B693C73"/>
    <w:rsid w:val="6B6D7F88"/>
    <w:rsid w:val="6B723553"/>
    <w:rsid w:val="6B7C16E9"/>
    <w:rsid w:val="6B8222FA"/>
    <w:rsid w:val="6B8474C6"/>
    <w:rsid w:val="6B8B1B3D"/>
    <w:rsid w:val="6B8E4D79"/>
    <w:rsid w:val="6B8E7D54"/>
    <w:rsid w:val="6B953331"/>
    <w:rsid w:val="6B9B0F84"/>
    <w:rsid w:val="6B9C01C8"/>
    <w:rsid w:val="6B9C0CC3"/>
    <w:rsid w:val="6B9E1CDF"/>
    <w:rsid w:val="6B9F653B"/>
    <w:rsid w:val="6BA047ED"/>
    <w:rsid w:val="6BA240C1"/>
    <w:rsid w:val="6BB0083E"/>
    <w:rsid w:val="6BB10A4A"/>
    <w:rsid w:val="6BB8040C"/>
    <w:rsid w:val="6BBB5A1F"/>
    <w:rsid w:val="6BBD0EFB"/>
    <w:rsid w:val="6BC02799"/>
    <w:rsid w:val="6BC1683A"/>
    <w:rsid w:val="6BC54708"/>
    <w:rsid w:val="6BCB05F1"/>
    <w:rsid w:val="6BCD120B"/>
    <w:rsid w:val="6BD050D2"/>
    <w:rsid w:val="6BD10A6B"/>
    <w:rsid w:val="6BD140C6"/>
    <w:rsid w:val="6BDC1388"/>
    <w:rsid w:val="6BE0108D"/>
    <w:rsid w:val="6BE16873"/>
    <w:rsid w:val="6BE4292B"/>
    <w:rsid w:val="6BE57FCF"/>
    <w:rsid w:val="6BEB1F0C"/>
    <w:rsid w:val="6BEC17E0"/>
    <w:rsid w:val="6BED5AC6"/>
    <w:rsid w:val="6BF426B9"/>
    <w:rsid w:val="6BF572A8"/>
    <w:rsid w:val="6BF6440D"/>
    <w:rsid w:val="6BF7178C"/>
    <w:rsid w:val="6BF74882"/>
    <w:rsid w:val="6BF87D40"/>
    <w:rsid w:val="6C021E4C"/>
    <w:rsid w:val="6C0307C0"/>
    <w:rsid w:val="6C053A5D"/>
    <w:rsid w:val="6C083AA7"/>
    <w:rsid w:val="6C0B605F"/>
    <w:rsid w:val="6C0B664D"/>
    <w:rsid w:val="6C0F5C50"/>
    <w:rsid w:val="6C11698D"/>
    <w:rsid w:val="6C1B56FB"/>
    <w:rsid w:val="6C20148A"/>
    <w:rsid w:val="6C225202"/>
    <w:rsid w:val="6C2840CC"/>
    <w:rsid w:val="6C2947E2"/>
    <w:rsid w:val="6C332C64"/>
    <w:rsid w:val="6C3917ED"/>
    <w:rsid w:val="6C3C0ACD"/>
    <w:rsid w:val="6C420F8A"/>
    <w:rsid w:val="6C423AF6"/>
    <w:rsid w:val="6C425506"/>
    <w:rsid w:val="6C4674C2"/>
    <w:rsid w:val="6C47110C"/>
    <w:rsid w:val="6C494258"/>
    <w:rsid w:val="6C4C54AA"/>
    <w:rsid w:val="6C4C64C1"/>
    <w:rsid w:val="6C4F379E"/>
    <w:rsid w:val="6C507FC1"/>
    <w:rsid w:val="6C527544"/>
    <w:rsid w:val="6C564EB1"/>
    <w:rsid w:val="6C5B6EDA"/>
    <w:rsid w:val="6C5F0204"/>
    <w:rsid w:val="6C630EC1"/>
    <w:rsid w:val="6C636C38"/>
    <w:rsid w:val="6C67530A"/>
    <w:rsid w:val="6C6E0447"/>
    <w:rsid w:val="6C730E20"/>
    <w:rsid w:val="6C7468CE"/>
    <w:rsid w:val="6C747658"/>
    <w:rsid w:val="6C747B66"/>
    <w:rsid w:val="6C7B0E38"/>
    <w:rsid w:val="6C7E2CAC"/>
    <w:rsid w:val="6C7F2654"/>
    <w:rsid w:val="6C832144"/>
    <w:rsid w:val="6C884B18"/>
    <w:rsid w:val="6C88775B"/>
    <w:rsid w:val="6C907761"/>
    <w:rsid w:val="6C9327EC"/>
    <w:rsid w:val="6C97174C"/>
    <w:rsid w:val="6CA35327"/>
    <w:rsid w:val="6CA74554"/>
    <w:rsid w:val="6CA9147F"/>
    <w:rsid w:val="6CAC2DE0"/>
    <w:rsid w:val="6CAF118B"/>
    <w:rsid w:val="6CB30550"/>
    <w:rsid w:val="6CBA0AE5"/>
    <w:rsid w:val="6CBC56D8"/>
    <w:rsid w:val="6CBE3029"/>
    <w:rsid w:val="6CBE5C36"/>
    <w:rsid w:val="6CBF4040"/>
    <w:rsid w:val="6CC12C6C"/>
    <w:rsid w:val="6CC31F64"/>
    <w:rsid w:val="6CCF37A9"/>
    <w:rsid w:val="6CD1113C"/>
    <w:rsid w:val="6CD208AF"/>
    <w:rsid w:val="6CDE737B"/>
    <w:rsid w:val="6CE34991"/>
    <w:rsid w:val="6CE84D5A"/>
    <w:rsid w:val="6CEB48D8"/>
    <w:rsid w:val="6CFC3B75"/>
    <w:rsid w:val="6CFC710B"/>
    <w:rsid w:val="6CFF5543"/>
    <w:rsid w:val="6D06067F"/>
    <w:rsid w:val="6D0936FF"/>
    <w:rsid w:val="6D0B3EE8"/>
    <w:rsid w:val="6D0C7A1B"/>
    <w:rsid w:val="6D185B70"/>
    <w:rsid w:val="6D190260"/>
    <w:rsid w:val="6D195F0B"/>
    <w:rsid w:val="6D2A3396"/>
    <w:rsid w:val="6D2E6300"/>
    <w:rsid w:val="6D355868"/>
    <w:rsid w:val="6D371181"/>
    <w:rsid w:val="6D396CA7"/>
    <w:rsid w:val="6D3A3386"/>
    <w:rsid w:val="6D411C47"/>
    <w:rsid w:val="6D426A89"/>
    <w:rsid w:val="6D467BCA"/>
    <w:rsid w:val="6D480C98"/>
    <w:rsid w:val="6D484EBB"/>
    <w:rsid w:val="6D4D4500"/>
    <w:rsid w:val="6D4E3E17"/>
    <w:rsid w:val="6D4F30B5"/>
    <w:rsid w:val="6D521B17"/>
    <w:rsid w:val="6D5B4E6F"/>
    <w:rsid w:val="6D5E1042"/>
    <w:rsid w:val="6D610E81"/>
    <w:rsid w:val="6D64426C"/>
    <w:rsid w:val="6D686AB5"/>
    <w:rsid w:val="6D6F226E"/>
    <w:rsid w:val="6D710D5E"/>
    <w:rsid w:val="6D742357"/>
    <w:rsid w:val="6D7777CF"/>
    <w:rsid w:val="6D7C6D55"/>
    <w:rsid w:val="6D8343C6"/>
    <w:rsid w:val="6D8445D4"/>
    <w:rsid w:val="6D944304"/>
    <w:rsid w:val="6D956B6F"/>
    <w:rsid w:val="6D9640F9"/>
    <w:rsid w:val="6DA06D26"/>
    <w:rsid w:val="6DA32372"/>
    <w:rsid w:val="6DA42E20"/>
    <w:rsid w:val="6DA67457"/>
    <w:rsid w:val="6DB34098"/>
    <w:rsid w:val="6DB545B6"/>
    <w:rsid w:val="6DB85411"/>
    <w:rsid w:val="6DB92C24"/>
    <w:rsid w:val="6DBE0F5A"/>
    <w:rsid w:val="6DBE53FE"/>
    <w:rsid w:val="6DC45291"/>
    <w:rsid w:val="6DCA5B51"/>
    <w:rsid w:val="6DCD0545"/>
    <w:rsid w:val="6DCE3893"/>
    <w:rsid w:val="6DD4077E"/>
    <w:rsid w:val="6DD61F24"/>
    <w:rsid w:val="6DD62748"/>
    <w:rsid w:val="6DD671D0"/>
    <w:rsid w:val="6DD8201C"/>
    <w:rsid w:val="6DD96F04"/>
    <w:rsid w:val="6DDE33AA"/>
    <w:rsid w:val="6DDF784E"/>
    <w:rsid w:val="6DE02FB4"/>
    <w:rsid w:val="6DE05374"/>
    <w:rsid w:val="6DE23187"/>
    <w:rsid w:val="6DF04A43"/>
    <w:rsid w:val="6DF42BCE"/>
    <w:rsid w:val="6DFF1C9E"/>
    <w:rsid w:val="6E032E11"/>
    <w:rsid w:val="6E040C1C"/>
    <w:rsid w:val="6E0A0B02"/>
    <w:rsid w:val="6E0D7A5D"/>
    <w:rsid w:val="6E10538A"/>
    <w:rsid w:val="6E134A97"/>
    <w:rsid w:val="6E14501E"/>
    <w:rsid w:val="6E146AD4"/>
    <w:rsid w:val="6E193A72"/>
    <w:rsid w:val="6E1B45FE"/>
    <w:rsid w:val="6E1B63AC"/>
    <w:rsid w:val="6E2434B3"/>
    <w:rsid w:val="6E26547D"/>
    <w:rsid w:val="6E313045"/>
    <w:rsid w:val="6E350903"/>
    <w:rsid w:val="6E364F94"/>
    <w:rsid w:val="6E396833"/>
    <w:rsid w:val="6E3B6A4F"/>
    <w:rsid w:val="6E3C0915"/>
    <w:rsid w:val="6E3D732E"/>
    <w:rsid w:val="6E405E13"/>
    <w:rsid w:val="6E414065"/>
    <w:rsid w:val="6E4476B1"/>
    <w:rsid w:val="6E5033BD"/>
    <w:rsid w:val="6E514CED"/>
    <w:rsid w:val="6E5242A4"/>
    <w:rsid w:val="6E536DC3"/>
    <w:rsid w:val="6E5B57C7"/>
    <w:rsid w:val="6E627D5C"/>
    <w:rsid w:val="6E675DDE"/>
    <w:rsid w:val="6E70494A"/>
    <w:rsid w:val="6E737F96"/>
    <w:rsid w:val="6E794BE2"/>
    <w:rsid w:val="6E7F4B8D"/>
    <w:rsid w:val="6E812DDF"/>
    <w:rsid w:val="6E821BA6"/>
    <w:rsid w:val="6E847E6D"/>
    <w:rsid w:val="6E8A79E7"/>
    <w:rsid w:val="6E9C37BB"/>
    <w:rsid w:val="6E9D3265"/>
    <w:rsid w:val="6E9D68A1"/>
    <w:rsid w:val="6E9F5CC8"/>
    <w:rsid w:val="6EA2087C"/>
    <w:rsid w:val="6EA51021"/>
    <w:rsid w:val="6EA55B53"/>
    <w:rsid w:val="6EA97E5C"/>
    <w:rsid w:val="6EAE2C78"/>
    <w:rsid w:val="6EB011EB"/>
    <w:rsid w:val="6EB07C51"/>
    <w:rsid w:val="6EB563D5"/>
    <w:rsid w:val="6EB760D5"/>
    <w:rsid w:val="6EB84B2A"/>
    <w:rsid w:val="6EC16F54"/>
    <w:rsid w:val="6EC24A7A"/>
    <w:rsid w:val="6ECB392F"/>
    <w:rsid w:val="6ED30E58"/>
    <w:rsid w:val="6ED44ED9"/>
    <w:rsid w:val="6ED8429D"/>
    <w:rsid w:val="6ED92677"/>
    <w:rsid w:val="6EDB59B8"/>
    <w:rsid w:val="6EE3000B"/>
    <w:rsid w:val="6EEB3FD1"/>
    <w:rsid w:val="6EEC4B1B"/>
    <w:rsid w:val="6EED435F"/>
    <w:rsid w:val="6EF83C44"/>
    <w:rsid w:val="6EFC61DE"/>
    <w:rsid w:val="6EFE2DFA"/>
    <w:rsid w:val="6F011A46"/>
    <w:rsid w:val="6F0137F4"/>
    <w:rsid w:val="6F042205"/>
    <w:rsid w:val="6F045092"/>
    <w:rsid w:val="6F0B4673"/>
    <w:rsid w:val="6F147FEC"/>
    <w:rsid w:val="6F1A6664"/>
    <w:rsid w:val="6F1B6B22"/>
    <w:rsid w:val="6F1E6154"/>
    <w:rsid w:val="6F225983"/>
    <w:rsid w:val="6F265009"/>
    <w:rsid w:val="6F2B6AC3"/>
    <w:rsid w:val="6F2C7A72"/>
    <w:rsid w:val="6F2D1032"/>
    <w:rsid w:val="6F321C00"/>
    <w:rsid w:val="6F327E52"/>
    <w:rsid w:val="6F445933"/>
    <w:rsid w:val="6F4E60E8"/>
    <w:rsid w:val="6F5112B1"/>
    <w:rsid w:val="6F524050"/>
    <w:rsid w:val="6F570744"/>
    <w:rsid w:val="6F5B73A8"/>
    <w:rsid w:val="6F5D1B11"/>
    <w:rsid w:val="6F5D1B9D"/>
    <w:rsid w:val="6F5D3D19"/>
    <w:rsid w:val="6F616DF1"/>
    <w:rsid w:val="6F667AFB"/>
    <w:rsid w:val="6F6B4515"/>
    <w:rsid w:val="6F6D7514"/>
    <w:rsid w:val="6F723E97"/>
    <w:rsid w:val="6F745D74"/>
    <w:rsid w:val="6F7B4147"/>
    <w:rsid w:val="6F7B65A5"/>
    <w:rsid w:val="6F854425"/>
    <w:rsid w:val="6F8700E6"/>
    <w:rsid w:val="6F941206"/>
    <w:rsid w:val="6F9F0ABE"/>
    <w:rsid w:val="6FA26D85"/>
    <w:rsid w:val="6FA50565"/>
    <w:rsid w:val="6FA819D5"/>
    <w:rsid w:val="6FAC19B2"/>
    <w:rsid w:val="6FAF14A2"/>
    <w:rsid w:val="6FAF4FFE"/>
    <w:rsid w:val="6FB17D13"/>
    <w:rsid w:val="6FB72105"/>
    <w:rsid w:val="6FBD3BBF"/>
    <w:rsid w:val="6FC01963"/>
    <w:rsid w:val="6FC62348"/>
    <w:rsid w:val="6FCA1E38"/>
    <w:rsid w:val="6FCA62DC"/>
    <w:rsid w:val="6FD15114"/>
    <w:rsid w:val="6FD26359"/>
    <w:rsid w:val="6FD74CF9"/>
    <w:rsid w:val="6FD9651F"/>
    <w:rsid w:val="6FDD0EAC"/>
    <w:rsid w:val="6FE0340A"/>
    <w:rsid w:val="6FE138B0"/>
    <w:rsid w:val="6FEA4288"/>
    <w:rsid w:val="6FEC7DD1"/>
    <w:rsid w:val="6FEF6EA6"/>
    <w:rsid w:val="6FF033C7"/>
    <w:rsid w:val="6FF135A7"/>
    <w:rsid w:val="6FF535A2"/>
    <w:rsid w:val="6FF60E7F"/>
    <w:rsid w:val="6FF670D1"/>
    <w:rsid w:val="6FFC4540"/>
    <w:rsid w:val="6FFC5590"/>
    <w:rsid w:val="70001E65"/>
    <w:rsid w:val="7004359C"/>
    <w:rsid w:val="700510C2"/>
    <w:rsid w:val="70052FBB"/>
    <w:rsid w:val="700C2451"/>
    <w:rsid w:val="700E61C9"/>
    <w:rsid w:val="70115618"/>
    <w:rsid w:val="7016666F"/>
    <w:rsid w:val="701745A0"/>
    <w:rsid w:val="701A2DBF"/>
    <w:rsid w:val="701A42C0"/>
    <w:rsid w:val="7024431E"/>
    <w:rsid w:val="7024575A"/>
    <w:rsid w:val="702B14E6"/>
    <w:rsid w:val="70327D62"/>
    <w:rsid w:val="70333E81"/>
    <w:rsid w:val="7047080D"/>
    <w:rsid w:val="70473A56"/>
    <w:rsid w:val="704A2F79"/>
    <w:rsid w:val="704A4B4A"/>
    <w:rsid w:val="704B29AE"/>
    <w:rsid w:val="705D2420"/>
    <w:rsid w:val="70604239"/>
    <w:rsid w:val="70611A79"/>
    <w:rsid w:val="70622B6A"/>
    <w:rsid w:val="706B26F6"/>
    <w:rsid w:val="706B471C"/>
    <w:rsid w:val="706D1DD0"/>
    <w:rsid w:val="707161D5"/>
    <w:rsid w:val="707634ED"/>
    <w:rsid w:val="707A1ADB"/>
    <w:rsid w:val="707B75D6"/>
    <w:rsid w:val="708259FC"/>
    <w:rsid w:val="70856B87"/>
    <w:rsid w:val="7086485C"/>
    <w:rsid w:val="70871AD7"/>
    <w:rsid w:val="7088272A"/>
    <w:rsid w:val="708855C3"/>
    <w:rsid w:val="708C37BF"/>
    <w:rsid w:val="709064CB"/>
    <w:rsid w:val="709443EB"/>
    <w:rsid w:val="70952446"/>
    <w:rsid w:val="7095411B"/>
    <w:rsid w:val="709D1624"/>
    <w:rsid w:val="70A258B7"/>
    <w:rsid w:val="70AE130D"/>
    <w:rsid w:val="70AE2C6B"/>
    <w:rsid w:val="70B14535"/>
    <w:rsid w:val="70B758D6"/>
    <w:rsid w:val="70BC3F26"/>
    <w:rsid w:val="70BC5C25"/>
    <w:rsid w:val="70BC660F"/>
    <w:rsid w:val="70BF4F56"/>
    <w:rsid w:val="70C07FE0"/>
    <w:rsid w:val="70C8281B"/>
    <w:rsid w:val="70C920F0"/>
    <w:rsid w:val="70C956B0"/>
    <w:rsid w:val="70CB38B7"/>
    <w:rsid w:val="70CD6C36"/>
    <w:rsid w:val="70CF0326"/>
    <w:rsid w:val="70D016D0"/>
    <w:rsid w:val="70D34F79"/>
    <w:rsid w:val="70D527EE"/>
    <w:rsid w:val="70D6602F"/>
    <w:rsid w:val="70D70CB1"/>
    <w:rsid w:val="70E17439"/>
    <w:rsid w:val="70EF250C"/>
    <w:rsid w:val="70F116B0"/>
    <w:rsid w:val="70F70BFC"/>
    <w:rsid w:val="70FD580E"/>
    <w:rsid w:val="70FE165F"/>
    <w:rsid w:val="7100498F"/>
    <w:rsid w:val="71020599"/>
    <w:rsid w:val="71025602"/>
    <w:rsid w:val="710540F1"/>
    <w:rsid w:val="71107D1F"/>
    <w:rsid w:val="71147849"/>
    <w:rsid w:val="711F4406"/>
    <w:rsid w:val="71237A52"/>
    <w:rsid w:val="71242AF6"/>
    <w:rsid w:val="712612F0"/>
    <w:rsid w:val="71295B87"/>
    <w:rsid w:val="712D0A98"/>
    <w:rsid w:val="71357E6F"/>
    <w:rsid w:val="7140061E"/>
    <w:rsid w:val="714A1482"/>
    <w:rsid w:val="714A76D4"/>
    <w:rsid w:val="714B6AB1"/>
    <w:rsid w:val="714F1A78"/>
    <w:rsid w:val="71507188"/>
    <w:rsid w:val="71523E71"/>
    <w:rsid w:val="715440AF"/>
    <w:rsid w:val="715B5300"/>
    <w:rsid w:val="715C7408"/>
    <w:rsid w:val="71711ECE"/>
    <w:rsid w:val="71775CF5"/>
    <w:rsid w:val="717E737E"/>
    <w:rsid w:val="71860688"/>
    <w:rsid w:val="718D7451"/>
    <w:rsid w:val="7199712F"/>
    <w:rsid w:val="719A3A8C"/>
    <w:rsid w:val="719A4F45"/>
    <w:rsid w:val="71A10C5A"/>
    <w:rsid w:val="71A62431"/>
    <w:rsid w:val="71A87F57"/>
    <w:rsid w:val="71AD37BF"/>
    <w:rsid w:val="71AE309E"/>
    <w:rsid w:val="71B03679"/>
    <w:rsid w:val="71B21B83"/>
    <w:rsid w:val="71B3226A"/>
    <w:rsid w:val="71B7463E"/>
    <w:rsid w:val="71BB3875"/>
    <w:rsid w:val="71C00396"/>
    <w:rsid w:val="71C01745"/>
    <w:rsid w:val="71C22860"/>
    <w:rsid w:val="71D222BD"/>
    <w:rsid w:val="71D27F8A"/>
    <w:rsid w:val="71D77D60"/>
    <w:rsid w:val="71D95ABC"/>
    <w:rsid w:val="71D97213"/>
    <w:rsid w:val="71DD7AC1"/>
    <w:rsid w:val="71E30CB7"/>
    <w:rsid w:val="71E54A92"/>
    <w:rsid w:val="71E7296F"/>
    <w:rsid w:val="71EA4432"/>
    <w:rsid w:val="71EF132F"/>
    <w:rsid w:val="71F118FE"/>
    <w:rsid w:val="71F30E81"/>
    <w:rsid w:val="71F32978"/>
    <w:rsid w:val="71F633B8"/>
    <w:rsid w:val="71F92EA9"/>
    <w:rsid w:val="7206680A"/>
    <w:rsid w:val="7207153E"/>
    <w:rsid w:val="72075BBE"/>
    <w:rsid w:val="720C2BDC"/>
    <w:rsid w:val="720D425E"/>
    <w:rsid w:val="720F7FD6"/>
    <w:rsid w:val="7227551A"/>
    <w:rsid w:val="72285514"/>
    <w:rsid w:val="722C34ED"/>
    <w:rsid w:val="722D66AE"/>
    <w:rsid w:val="722D72D6"/>
    <w:rsid w:val="722F1A94"/>
    <w:rsid w:val="72307D49"/>
    <w:rsid w:val="72343EE1"/>
    <w:rsid w:val="7235622E"/>
    <w:rsid w:val="723C018B"/>
    <w:rsid w:val="723E07D8"/>
    <w:rsid w:val="723E08BB"/>
    <w:rsid w:val="724539F8"/>
    <w:rsid w:val="724578BC"/>
    <w:rsid w:val="724E6D50"/>
    <w:rsid w:val="724F0F55"/>
    <w:rsid w:val="72553024"/>
    <w:rsid w:val="725560EA"/>
    <w:rsid w:val="725A07B6"/>
    <w:rsid w:val="725D0E4E"/>
    <w:rsid w:val="725E2516"/>
    <w:rsid w:val="72620A4E"/>
    <w:rsid w:val="726A7902"/>
    <w:rsid w:val="726C71D7"/>
    <w:rsid w:val="726E73F3"/>
    <w:rsid w:val="7270316B"/>
    <w:rsid w:val="727350C6"/>
    <w:rsid w:val="727506AD"/>
    <w:rsid w:val="72797301"/>
    <w:rsid w:val="727B2178"/>
    <w:rsid w:val="727C14DD"/>
    <w:rsid w:val="727C3800"/>
    <w:rsid w:val="727E6F0A"/>
    <w:rsid w:val="72810D31"/>
    <w:rsid w:val="728468F7"/>
    <w:rsid w:val="72897D89"/>
    <w:rsid w:val="728A58AF"/>
    <w:rsid w:val="728B1D53"/>
    <w:rsid w:val="728C5898"/>
    <w:rsid w:val="728D0BCE"/>
    <w:rsid w:val="728F1117"/>
    <w:rsid w:val="7298446F"/>
    <w:rsid w:val="72987FCC"/>
    <w:rsid w:val="7299722C"/>
    <w:rsid w:val="729B64BC"/>
    <w:rsid w:val="729D55E2"/>
    <w:rsid w:val="72A10155"/>
    <w:rsid w:val="72A11576"/>
    <w:rsid w:val="72A20E4A"/>
    <w:rsid w:val="72A252EE"/>
    <w:rsid w:val="72A66B8C"/>
    <w:rsid w:val="72AA50AE"/>
    <w:rsid w:val="72AE0E98"/>
    <w:rsid w:val="72B1108D"/>
    <w:rsid w:val="72B172DF"/>
    <w:rsid w:val="72BA30C7"/>
    <w:rsid w:val="72BD38CB"/>
    <w:rsid w:val="72C62D8B"/>
    <w:rsid w:val="72C7744F"/>
    <w:rsid w:val="72C9287B"/>
    <w:rsid w:val="72CB0EC5"/>
    <w:rsid w:val="72CC4119"/>
    <w:rsid w:val="72D27981"/>
    <w:rsid w:val="72D31915"/>
    <w:rsid w:val="72D609D7"/>
    <w:rsid w:val="72D74F98"/>
    <w:rsid w:val="72EF4A6F"/>
    <w:rsid w:val="73021314"/>
    <w:rsid w:val="73045661"/>
    <w:rsid w:val="73063468"/>
    <w:rsid w:val="73093C85"/>
    <w:rsid w:val="730E59D8"/>
    <w:rsid w:val="73122968"/>
    <w:rsid w:val="731B43AB"/>
    <w:rsid w:val="731F5D5E"/>
    <w:rsid w:val="7320405D"/>
    <w:rsid w:val="73214465"/>
    <w:rsid w:val="73216977"/>
    <w:rsid w:val="73251266"/>
    <w:rsid w:val="73263829"/>
    <w:rsid w:val="73292630"/>
    <w:rsid w:val="732B7092"/>
    <w:rsid w:val="73337CF4"/>
    <w:rsid w:val="73361E3A"/>
    <w:rsid w:val="733777E5"/>
    <w:rsid w:val="733C4E98"/>
    <w:rsid w:val="733E5017"/>
    <w:rsid w:val="734105D0"/>
    <w:rsid w:val="7342107F"/>
    <w:rsid w:val="7343581A"/>
    <w:rsid w:val="73463ECB"/>
    <w:rsid w:val="7349294A"/>
    <w:rsid w:val="73494758"/>
    <w:rsid w:val="734B14E2"/>
    <w:rsid w:val="734D5DB1"/>
    <w:rsid w:val="73551CF6"/>
    <w:rsid w:val="7357396F"/>
    <w:rsid w:val="735E01CF"/>
    <w:rsid w:val="7360798C"/>
    <w:rsid w:val="73683E42"/>
    <w:rsid w:val="736E51D0"/>
    <w:rsid w:val="736F3422"/>
    <w:rsid w:val="7370719A"/>
    <w:rsid w:val="73722F12"/>
    <w:rsid w:val="73724CC1"/>
    <w:rsid w:val="737B1503"/>
    <w:rsid w:val="73880040"/>
    <w:rsid w:val="738E5E29"/>
    <w:rsid w:val="73903399"/>
    <w:rsid w:val="73903C8D"/>
    <w:rsid w:val="7393089D"/>
    <w:rsid w:val="73942E89"/>
    <w:rsid w:val="73983C24"/>
    <w:rsid w:val="73A65E31"/>
    <w:rsid w:val="73A94CE3"/>
    <w:rsid w:val="73B06CF5"/>
    <w:rsid w:val="73BC1BA6"/>
    <w:rsid w:val="73C3376E"/>
    <w:rsid w:val="73C51AD5"/>
    <w:rsid w:val="73C5522F"/>
    <w:rsid w:val="73C7469B"/>
    <w:rsid w:val="73C8056E"/>
    <w:rsid w:val="73C80B76"/>
    <w:rsid w:val="73CD3073"/>
    <w:rsid w:val="73CF5C6F"/>
    <w:rsid w:val="73D24856"/>
    <w:rsid w:val="73D61646"/>
    <w:rsid w:val="73E120A3"/>
    <w:rsid w:val="73E81FA9"/>
    <w:rsid w:val="73E9464B"/>
    <w:rsid w:val="73EB4C4F"/>
    <w:rsid w:val="73ED2A0E"/>
    <w:rsid w:val="73EE0034"/>
    <w:rsid w:val="73EF3D7E"/>
    <w:rsid w:val="73F6488E"/>
    <w:rsid w:val="73FB4CB6"/>
    <w:rsid w:val="7407365B"/>
    <w:rsid w:val="740873D3"/>
    <w:rsid w:val="7416389E"/>
    <w:rsid w:val="741E2752"/>
    <w:rsid w:val="741E793C"/>
    <w:rsid w:val="74222528"/>
    <w:rsid w:val="742F670E"/>
    <w:rsid w:val="743326A2"/>
    <w:rsid w:val="743C0E2B"/>
    <w:rsid w:val="743C5F09"/>
    <w:rsid w:val="743D6C43"/>
    <w:rsid w:val="74412611"/>
    <w:rsid w:val="74420371"/>
    <w:rsid w:val="74463A57"/>
    <w:rsid w:val="74542E8B"/>
    <w:rsid w:val="745439F0"/>
    <w:rsid w:val="74560447"/>
    <w:rsid w:val="745A07ED"/>
    <w:rsid w:val="745C1741"/>
    <w:rsid w:val="745D14CD"/>
    <w:rsid w:val="745E3944"/>
    <w:rsid w:val="74640AAD"/>
    <w:rsid w:val="746B5893"/>
    <w:rsid w:val="746E3096"/>
    <w:rsid w:val="74793E2D"/>
    <w:rsid w:val="747B7BA5"/>
    <w:rsid w:val="747D6759"/>
    <w:rsid w:val="7487479C"/>
    <w:rsid w:val="748C1DB2"/>
    <w:rsid w:val="748C3B60"/>
    <w:rsid w:val="748F0CA1"/>
    <w:rsid w:val="74922CC2"/>
    <w:rsid w:val="749D16C4"/>
    <w:rsid w:val="74A74054"/>
    <w:rsid w:val="74AE7F7A"/>
    <w:rsid w:val="74B26CA0"/>
    <w:rsid w:val="74B3476A"/>
    <w:rsid w:val="74B60BDD"/>
    <w:rsid w:val="74B82BA7"/>
    <w:rsid w:val="74B86703"/>
    <w:rsid w:val="74B937A2"/>
    <w:rsid w:val="74C002E8"/>
    <w:rsid w:val="74C0720A"/>
    <w:rsid w:val="74C26F1A"/>
    <w:rsid w:val="74C65252"/>
    <w:rsid w:val="74DB7B36"/>
    <w:rsid w:val="74E0311C"/>
    <w:rsid w:val="74E05C5A"/>
    <w:rsid w:val="74E2144F"/>
    <w:rsid w:val="74E602A5"/>
    <w:rsid w:val="74E73AF3"/>
    <w:rsid w:val="74E85F78"/>
    <w:rsid w:val="74FE790A"/>
    <w:rsid w:val="75023E22"/>
    <w:rsid w:val="75114065"/>
    <w:rsid w:val="75155F2F"/>
    <w:rsid w:val="75173422"/>
    <w:rsid w:val="75187F68"/>
    <w:rsid w:val="75261896"/>
    <w:rsid w:val="75271ADB"/>
    <w:rsid w:val="752E2E69"/>
    <w:rsid w:val="752F7239"/>
    <w:rsid w:val="753C7334"/>
    <w:rsid w:val="75432889"/>
    <w:rsid w:val="7547624C"/>
    <w:rsid w:val="7553467E"/>
    <w:rsid w:val="75556648"/>
    <w:rsid w:val="75563DE9"/>
    <w:rsid w:val="7557416E"/>
    <w:rsid w:val="755C3532"/>
    <w:rsid w:val="755D56CA"/>
    <w:rsid w:val="7561323F"/>
    <w:rsid w:val="75616D9B"/>
    <w:rsid w:val="75630BE3"/>
    <w:rsid w:val="75630D65"/>
    <w:rsid w:val="756845CD"/>
    <w:rsid w:val="756939EE"/>
    <w:rsid w:val="756B7C19"/>
    <w:rsid w:val="757765BE"/>
    <w:rsid w:val="75792336"/>
    <w:rsid w:val="7579698A"/>
    <w:rsid w:val="757F0471"/>
    <w:rsid w:val="75823A34"/>
    <w:rsid w:val="758525CD"/>
    <w:rsid w:val="75991DD3"/>
    <w:rsid w:val="759E3B7B"/>
    <w:rsid w:val="75A4312B"/>
    <w:rsid w:val="75A768DA"/>
    <w:rsid w:val="75AB270C"/>
    <w:rsid w:val="75B02F5C"/>
    <w:rsid w:val="75B0387E"/>
    <w:rsid w:val="75B23A9A"/>
    <w:rsid w:val="75BA1B6E"/>
    <w:rsid w:val="75BC2223"/>
    <w:rsid w:val="75BE243F"/>
    <w:rsid w:val="75BE5F9B"/>
    <w:rsid w:val="75C06DDC"/>
    <w:rsid w:val="75C14B91"/>
    <w:rsid w:val="75C314B9"/>
    <w:rsid w:val="75C75614"/>
    <w:rsid w:val="75C94940"/>
    <w:rsid w:val="75D77BEA"/>
    <w:rsid w:val="75DB08AC"/>
    <w:rsid w:val="75DB165A"/>
    <w:rsid w:val="75E5499B"/>
    <w:rsid w:val="75E7638A"/>
    <w:rsid w:val="75E7791A"/>
    <w:rsid w:val="75EC7227"/>
    <w:rsid w:val="75EF084A"/>
    <w:rsid w:val="75F145C2"/>
    <w:rsid w:val="75F63F3A"/>
    <w:rsid w:val="75FB2AD6"/>
    <w:rsid w:val="75FB71EF"/>
    <w:rsid w:val="75FC4D15"/>
    <w:rsid w:val="75FD4D73"/>
    <w:rsid w:val="76004806"/>
    <w:rsid w:val="76045C08"/>
    <w:rsid w:val="76053BCA"/>
    <w:rsid w:val="760836BA"/>
    <w:rsid w:val="76096858"/>
    <w:rsid w:val="760F59F0"/>
    <w:rsid w:val="76196862"/>
    <w:rsid w:val="761B5E70"/>
    <w:rsid w:val="761C14AF"/>
    <w:rsid w:val="761F3F13"/>
    <w:rsid w:val="76226F35"/>
    <w:rsid w:val="76227814"/>
    <w:rsid w:val="7635099D"/>
    <w:rsid w:val="76372875"/>
    <w:rsid w:val="763D7808"/>
    <w:rsid w:val="763E0E8A"/>
    <w:rsid w:val="7641561A"/>
    <w:rsid w:val="764B552E"/>
    <w:rsid w:val="764E6AD3"/>
    <w:rsid w:val="764F753B"/>
    <w:rsid w:val="76500C84"/>
    <w:rsid w:val="76503571"/>
    <w:rsid w:val="76516E0F"/>
    <w:rsid w:val="76532D99"/>
    <w:rsid w:val="76555F5A"/>
    <w:rsid w:val="765863F0"/>
    <w:rsid w:val="76595CC4"/>
    <w:rsid w:val="765B1A3C"/>
    <w:rsid w:val="765E4736"/>
    <w:rsid w:val="76654669"/>
    <w:rsid w:val="76666712"/>
    <w:rsid w:val="766D6E76"/>
    <w:rsid w:val="76726D86"/>
    <w:rsid w:val="767717AF"/>
    <w:rsid w:val="767825EE"/>
    <w:rsid w:val="767B06FC"/>
    <w:rsid w:val="767D7C04"/>
    <w:rsid w:val="76854EC0"/>
    <w:rsid w:val="76880357"/>
    <w:rsid w:val="768B609B"/>
    <w:rsid w:val="769211D6"/>
    <w:rsid w:val="76936B2F"/>
    <w:rsid w:val="769907B6"/>
    <w:rsid w:val="769A5E93"/>
    <w:rsid w:val="76A62091"/>
    <w:rsid w:val="76A90E52"/>
    <w:rsid w:val="76AC04E9"/>
    <w:rsid w:val="76AC62C1"/>
    <w:rsid w:val="76B01037"/>
    <w:rsid w:val="76BC72B4"/>
    <w:rsid w:val="76BF646F"/>
    <w:rsid w:val="76C570F0"/>
    <w:rsid w:val="76C67745"/>
    <w:rsid w:val="76C802F8"/>
    <w:rsid w:val="76CD24B2"/>
    <w:rsid w:val="76CF41D8"/>
    <w:rsid w:val="76D0242A"/>
    <w:rsid w:val="76D57A40"/>
    <w:rsid w:val="76DF7DC1"/>
    <w:rsid w:val="76E74CCF"/>
    <w:rsid w:val="76E85717"/>
    <w:rsid w:val="76E97048"/>
    <w:rsid w:val="76F00FF8"/>
    <w:rsid w:val="76F55000"/>
    <w:rsid w:val="76F824BC"/>
    <w:rsid w:val="76F854DD"/>
    <w:rsid w:val="76F9750B"/>
    <w:rsid w:val="76FA1DA2"/>
    <w:rsid w:val="76FC1C39"/>
    <w:rsid w:val="77006DD1"/>
    <w:rsid w:val="7706686D"/>
    <w:rsid w:val="77072987"/>
    <w:rsid w:val="77073C31"/>
    <w:rsid w:val="77091498"/>
    <w:rsid w:val="770E2F52"/>
    <w:rsid w:val="77250B48"/>
    <w:rsid w:val="77271598"/>
    <w:rsid w:val="772B58B2"/>
    <w:rsid w:val="772E53A2"/>
    <w:rsid w:val="77305033"/>
    <w:rsid w:val="77334C37"/>
    <w:rsid w:val="773804C7"/>
    <w:rsid w:val="773F4EBA"/>
    <w:rsid w:val="77414717"/>
    <w:rsid w:val="774150D6"/>
    <w:rsid w:val="77422BFC"/>
    <w:rsid w:val="77493394"/>
    <w:rsid w:val="774E2C56"/>
    <w:rsid w:val="774F52A3"/>
    <w:rsid w:val="77514BED"/>
    <w:rsid w:val="77517FDB"/>
    <w:rsid w:val="775546DD"/>
    <w:rsid w:val="775D7DE6"/>
    <w:rsid w:val="77664B3C"/>
    <w:rsid w:val="77731007"/>
    <w:rsid w:val="77732816"/>
    <w:rsid w:val="77756B2D"/>
    <w:rsid w:val="77762421"/>
    <w:rsid w:val="778063F1"/>
    <w:rsid w:val="7782124A"/>
    <w:rsid w:val="77847601"/>
    <w:rsid w:val="778F3FED"/>
    <w:rsid w:val="778F7D5F"/>
    <w:rsid w:val="779807BE"/>
    <w:rsid w:val="779F1915"/>
    <w:rsid w:val="779F1DFC"/>
    <w:rsid w:val="77A0511A"/>
    <w:rsid w:val="77A0522A"/>
    <w:rsid w:val="77B04009"/>
    <w:rsid w:val="77B56B1F"/>
    <w:rsid w:val="77BF5FFA"/>
    <w:rsid w:val="77C57C02"/>
    <w:rsid w:val="77C61018"/>
    <w:rsid w:val="77CB2BF1"/>
    <w:rsid w:val="77CD4BBB"/>
    <w:rsid w:val="77D41B61"/>
    <w:rsid w:val="77DC4BB9"/>
    <w:rsid w:val="77DE2A7C"/>
    <w:rsid w:val="77DE6580"/>
    <w:rsid w:val="77F4039A"/>
    <w:rsid w:val="77F43800"/>
    <w:rsid w:val="780103C1"/>
    <w:rsid w:val="78054355"/>
    <w:rsid w:val="780B56E4"/>
    <w:rsid w:val="780C6C3C"/>
    <w:rsid w:val="780F09F4"/>
    <w:rsid w:val="780F62B6"/>
    <w:rsid w:val="781118D9"/>
    <w:rsid w:val="781547E3"/>
    <w:rsid w:val="78174144"/>
    <w:rsid w:val="781817D7"/>
    <w:rsid w:val="78202F3D"/>
    <w:rsid w:val="78212811"/>
    <w:rsid w:val="7822288A"/>
    <w:rsid w:val="782335FF"/>
    <w:rsid w:val="78270D8E"/>
    <w:rsid w:val="78280044"/>
    <w:rsid w:val="782F3180"/>
    <w:rsid w:val="78343ACE"/>
    <w:rsid w:val="783469E8"/>
    <w:rsid w:val="783E7867"/>
    <w:rsid w:val="784A66BD"/>
    <w:rsid w:val="784F55D0"/>
    <w:rsid w:val="78520C1D"/>
    <w:rsid w:val="78540E39"/>
    <w:rsid w:val="78564BB1"/>
    <w:rsid w:val="785B21C7"/>
    <w:rsid w:val="785B5D23"/>
    <w:rsid w:val="785D3378"/>
    <w:rsid w:val="7860158C"/>
    <w:rsid w:val="786719A8"/>
    <w:rsid w:val="78680440"/>
    <w:rsid w:val="78736DE3"/>
    <w:rsid w:val="787768D5"/>
    <w:rsid w:val="78780C5B"/>
    <w:rsid w:val="7879089F"/>
    <w:rsid w:val="78834720"/>
    <w:rsid w:val="78857244"/>
    <w:rsid w:val="788A2AAC"/>
    <w:rsid w:val="78917997"/>
    <w:rsid w:val="78956095"/>
    <w:rsid w:val="789C1FE2"/>
    <w:rsid w:val="78A13AE1"/>
    <w:rsid w:val="78A46A79"/>
    <w:rsid w:val="78A51694"/>
    <w:rsid w:val="78A70F68"/>
    <w:rsid w:val="78A90480"/>
    <w:rsid w:val="78AA2807"/>
    <w:rsid w:val="78AA52E1"/>
    <w:rsid w:val="78B11DBB"/>
    <w:rsid w:val="78B13B17"/>
    <w:rsid w:val="78B24758"/>
    <w:rsid w:val="78B2790D"/>
    <w:rsid w:val="78B33DB1"/>
    <w:rsid w:val="78B6564F"/>
    <w:rsid w:val="78BC253A"/>
    <w:rsid w:val="78BF076D"/>
    <w:rsid w:val="78BF1C53"/>
    <w:rsid w:val="78C45911"/>
    <w:rsid w:val="78C6353E"/>
    <w:rsid w:val="78CC6C21"/>
    <w:rsid w:val="78CD4747"/>
    <w:rsid w:val="78CF4B42"/>
    <w:rsid w:val="78D238C9"/>
    <w:rsid w:val="78E0091E"/>
    <w:rsid w:val="78E201F2"/>
    <w:rsid w:val="78E7188D"/>
    <w:rsid w:val="78E73A5B"/>
    <w:rsid w:val="78EE4DE9"/>
    <w:rsid w:val="78F16688"/>
    <w:rsid w:val="78F35090"/>
    <w:rsid w:val="78F37B6E"/>
    <w:rsid w:val="78FB7506"/>
    <w:rsid w:val="78FD3C99"/>
    <w:rsid w:val="79013CB3"/>
    <w:rsid w:val="79032BF7"/>
    <w:rsid w:val="79035E58"/>
    <w:rsid w:val="790408DA"/>
    <w:rsid w:val="79053EE1"/>
    <w:rsid w:val="7908577F"/>
    <w:rsid w:val="790F4586"/>
    <w:rsid w:val="79102FB2"/>
    <w:rsid w:val="7916110B"/>
    <w:rsid w:val="791709EF"/>
    <w:rsid w:val="79175AE9"/>
    <w:rsid w:val="7924651E"/>
    <w:rsid w:val="792516D5"/>
    <w:rsid w:val="79254583"/>
    <w:rsid w:val="79292468"/>
    <w:rsid w:val="79312F28"/>
    <w:rsid w:val="79314097"/>
    <w:rsid w:val="79330A4E"/>
    <w:rsid w:val="7935614D"/>
    <w:rsid w:val="79366790"/>
    <w:rsid w:val="79377700"/>
    <w:rsid w:val="793A1DDD"/>
    <w:rsid w:val="793D367B"/>
    <w:rsid w:val="7941371E"/>
    <w:rsid w:val="7947052B"/>
    <w:rsid w:val="794A141B"/>
    <w:rsid w:val="794C13E9"/>
    <w:rsid w:val="794C5FB4"/>
    <w:rsid w:val="79501641"/>
    <w:rsid w:val="79502E50"/>
    <w:rsid w:val="79507852"/>
    <w:rsid w:val="795310F0"/>
    <w:rsid w:val="79537342"/>
    <w:rsid w:val="796706F8"/>
    <w:rsid w:val="7967694A"/>
    <w:rsid w:val="79690914"/>
    <w:rsid w:val="796C21B2"/>
    <w:rsid w:val="796D486C"/>
    <w:rsid w:val="79725F8B"/>
    <w:rsid w:val="7980657F"/>
    <w:rsid w:val="79892D64"/>
    <w:rsid w:val="798E3ED6"/>
    <w:rsid w:val="79954CA1"/>
    <w:rsid w:val="79974F22"/>
    <w:rsid w:val="7997722F"/>
    <w:rsid w:val="79983856"/>
    <w:rsid w:val="799A287B"/>
    <w:rsid w:val="799F3C44"/>
    <w:rsid w:val="79A12DC0"/>
    <w:rsid w:val="79A22246"/>
    <w:rsid w:val="79A90F38"/>
    <w:rsid w:val="79AD1EA7"/>
    <w:rsid w:val="79B31B8F"/>
    <w:rsid w:val="79B86715"/>
    <w:rsid w:val="79BC4EE7"/>
    <w:rsid w:val="79BC6C95"/>
    <w:rsid w:val="79BD2A0E"/>
    <w:rsid w:val="79BE7E2E"/>
    <w:rsid w:val="79C542E2"/>
    <w:rsid w:val="79C773E8"/>
    <w:rsid w:val="79CB2FD9"/>
    <w:rsid w:val="79D57D57"/>
    <w:rsid w:val="79D73ACF"/>
    <w:rsid w:val="79DC656D"/>
    <w:rsid w:val="79DE4AF9"/>
    <w:rsid w:val="79DF2984"/>
    <w:rsid w:val="79E32474"/>
    <w:rsid w:val="79E35352"/>
    <w:rsid w:val="79E61318"/>
    <w:rsid w:val="79EB1329"/>
    <w:rsid w:val="79EE471E"/>
    <w:rsid w:val="79F01792"/>
    <w:rsid w:val="79F77C3D"/>
    <w:rsid w:val="79F9126F"/>
    <w:rsid w:val="79F91C98"/>
    <w:rsid w:val="79FA77BE"/>
    <w:rsid w:val="79FC3536"/>
    <w:rsid w:val="79FF0771"/>
    <w:rsid w:val="79FF6B82"/>
    <w:rsid w:val="79FF71A2"/>
    <w:rsid w:val="7A0A7A6A"/>
    <w:rsid w:val="7A0C2CC5"/>
    <w:rsid w:val="7A1169E4"/>
    <w:rsid w:val="7A123E69"/>
    <w:rsid w:val="7A124B07"/>
    <w:rsid w:val="7A141EC2"/>
    <w:rsid w:val="7A1C773B"/>
    <w:rsid w:val="7A28432B"/>
    <w:rsid w:val="7A324B89"/>
    <w:rsid w:val="7A3507F6"/>
    <w:rsid w:val="7A356A48"/>
    <w:rsid w:val="7A364017"/>
    <w:rsid w:val="7A37543D"/>
    <w:rsid w:val="7A3E3B4E"/>
    <w:rsid w:val="7A3E50D3"/>
    <w:rsid w:val="7A41363F"/>
    <w:rsid w:val="7A415B80"/>
    <w:rsid w:val="7A450BEA"/>
    <w:rsid w:val="7A4B1DC7"/>
    <w:rsid w:val="7A4F3F08"/>
    <w:rsid w:val="7A523156"/>
    <w:rsid w:val="7A590988"/>
    <w:rsid w:val="7A5A200A"/>
    <w:rsid w:val="7A6645E3"/>
    <w:rsid w:val="7A6A40CD"/>
    <w:rsid w:val="7A73373A"/>
    <w:rsid w:val="7A772BBC"/>
    <w:rsid w:val="7A777060"/>
    <w:rsid w:val="7A7C01D3"/>
    <w:rsid w:val="7A7E4E00"/>
    <w:rsid w:val="7A7E7E6C"/>
    <w:rsid w:val="7A8265E1"/>
    <w:rsid w:val="7A903C7E"/>
    <w:rsid w:val="7A9B68AB"/>
    <w:rsid w:val="7AA317C2"/>
    <w:rsid w:val="7AA717C2"/>
    <w:rsid w:val="7AAC4F5C"/>
    <w:rsid w:val="7AAD2A82"/>
    <w:rsid w:val="7AAF67FA"/>
    <w:rsid w:val="7AB27FAA"/>
    <w:rsid w:val="7AB40EEF"/>
    <w:rsid w:val="7AB51971"/>
    <w:rsid w:val="7AB67B89"/>
    <w:rsid w:val="7AC06311"/>
    <w:rsid w:val="7AC2483D"/>
    <w:rsid w:val="7AC81DE4"/>
    <w:rsid w:val="7ACC13AD"/>
    <w:rsid w:val="7ACF29F8"/>
    <w:rsid w:val="7ACF6BB6"/>
    <w:rsid w:val="7AD4203F"/>
    <w:rsid w:val="7AD95625"/>
    <w:rsid w:val="7ADB139D"/>
    <w:rsid w:val="7ADD5115"/>
    <w:rsid w:val="7AE71284"/>
    <w:rsid w:val="7AE849D9"/>
    <w:rsid w:val="7AE909AA"/>
    <w:rsid w:val="7AE973D5"/>
    <w:rsid w:val="7AEA5977"/>
    <w:rsid w:val="7AED2E7F"/>
    <w:rsid w:val="7AF46CD4"/>
    <w:rsid w:val="7AF67F85"/>
    <w:rsid w:val="7AF7341E"/>
    <w:rsid w:val="7AFD63C8"/>
    <w:rsid w:val="7B055DF4"/>
    <w:rsid w:val="7B087367"/>
    <w:rsid w:val="7B09420D"/>
    <w:rsid w:val="7B1B798E"/>
    <w:rsid w:val="7B2C7682"/>
    <w:rsid w:val="7B337B8D"/>
    <w:rsid w:val="7B406C9B"/>
    <w:rsid w:val="7B446F42"/>
    <w:rsid w:val="7B465346"/>
    <w:rsid w:val="7B4C229B"/>
    <w:rsid w:val="7B4C4049"/>
    <w:rsid w:val="7B4C5DF7"/>
    <w:rsid w:val="7B5B24DE"/>
    <w:rsid w:val="7B5F7149"/>
    <w:rsid w:val="7B615D46"/>
    <w:rsid w:val="7B686D42"/>
    <w:rsid w:val="7B782467"/>
    <w:rsid w:val="7B7A081D"/>
    <w:rsid w:val="7B7A2964"/>
    <w:rsid w:val="7B841746"/>
    <w:rsid w:val="7B8869E6"/>
    <w:rsid w:val="7B8A5F60"/>
    <w:rsid w:val="7B9E726C"/>
    <w:rsid w:val="7BA07EF1"/>
    <w:rsid w:val="7BA1502A"/>
    <w:rsid w:val="7BA30F4E"/>
    <w:rsid w:val="7BA31081"/>
    <w:rsid w:val="7BA37D65"/>
    <w:rsid w:val="7BA44CC3"/>
    <w:rsid w:val="7BA80414"/>
    <w:rsid w:val="7BAA07FA"/>
    <w:rsid w:val="7BB24622"/>
    <w:rsid w:val="7BBA00F8"/>
    <w:rsid w:val="7BBA7205"/>
    <w:rsid w:val="7BBE352C"/>
    <w:rsid w:val="7BBF1AC8"/>
    <w:rsid w:val="7BC41E31"/>
    <w:rsid w:val="7BC63DFB"/>
    <w:rsid w:val="7BCF0129"/>
    <w:rsid w:val="7BD0720C"/>
    <w:rsid w:val="7BD30100"/>
    <w:rsid w:val="7BD32074"/>
    <w:rsid w:val="7BDB1C4D"/>
    <w:rsid w:val="7BDD2EF3"/>
    <w:rsid w:val="7BDF6C6B"/>
    <w:rsid w:val="7BDF7FCA"/>
    <w:rsid w:val="7BE326F8"/>
    <w:rsid w:val="7BE349AD"/>
    <w:rsid w:val="7BE55CEF"/>
    <w:rsid w:val="7BE75540"/>
    <w:rsid w:val="7BEB5610"/>
    <w:rsid w:val="7BEF48E5"/>
    <w:rsid w:val="7BF5274F"/>
    <w:rsid w:val="7BF70CB5"/>
    <w:rsid w:val="7BF8465F"/>
    <w:rsid w:val="7C012278"/>
    <w:rsid w:val="7C013085"/>
    <w:rsid w:val="7C047936"/>
    <w:rsid w:val="7C073B61"/>
    <w:rsid w:val="7C0C4936"/>
    <w:rsid w:val="7C0E0B16"/>
    <w:rsid w:val="7C1A5BAA"/>
    <w:rsid w:val="7C1B6D71"/>
    <w:rsid w:val="7C2157BA"/>
    <w:rsid w:val="7C2428D0"/>
    <w:rsid w:val="7C260E9D"/>
    <w:rsid w:val="7C2C66D7"/>
    <w:rsid w:val="7C2E460D"/>
    <w:rsid w:val="7C3175AE"/>
    <w:rsid w:val="7C330D65"/>
    <w:rsid w:val="7C372603"/>
    <w:rsid w:val="7C3821BC"/>
    <w:rsid w:val="7C396E77"/>
    <w:rsid w:val="7C3D3207"/>
    <w:rsid w:val="7C3F6017"/>
    <w:rsid w:val="7C4371FA"/>
    <w:rsid w:val="7C464B65"/>
    <w:rsid w:val="7C47503C"/>
    <w:rsid w:val="7C5A2796"/>
    <w:rsid w:val="7C5C4760"/>
    <w:rsid w:val="7C5E2286"/>
    <w:rsid w:val="7C60214C"/>
    <w:rsid w:val="7C607043"/>
    <w:rsid w:val="7C640BA7"/>
    <w:rsid w:val="7C6813C3"/>
    <w:rsid w:val="7C6A0C2B"/>
    <w:rsid w:val="7C6C5AC7"/>
    <w:rsid w:val="7C783B35"/>
    <w:rsid w:val="7C7970C0"/>
    <w:rsid w:val="7C7D22D7"/>
    <w:rsid w:val="7C815F74"/>
    <w:rsid w:val="7C863B69"/>
    <w:rsid w:val="7C8D66C7"/>
    <w:rsid w:val="7C8E6168"/>
    <w:rsid w:val="7C9537CE"/>
    <w:rsid w:val="7C9D5C0E"/>
    <w:rsid w:val="7C9E2682"/>
    <w:rsid w:val="7C9E6B26"/>
    <w:rsid w:val="7CA24237"/>
    <w:rsid w:val="7CA2788D"/>
    <w:rsid w:val="7CA659DB"/>
    <w:rsid w:val="7CA852AF"/>
    <w:rsid w:val="7CB079A3"/>
    <w:rsid w:val="7CB55689"/>
    <w:rsid w:val="7CB75F27"/>
    <w:rsid w:val="7CB93960"/>
    <w:rsid w:val="7CBD19F6"/>
    <w:rsid w:val="7CC16371"/>
    <w:rsid w:val="7CC6544B"/>
    <w:rsid w:val="7CD87B19"/>
    <w:rsid w:val="7CD97B5E"/>
    <w:rsid w:val="7CDC31A1"/>
    <w:rsid w:val="7CDC31AB"/>
    <w:rsid w:val="7CE147EB"/>
    <w:rsid w:val="7CE2717A"/>
    <w:rsid w:val="7CE32B26"/>
    <w:rsid w:val="7CEA1D6C"/>
    <w:rsid w:val="7CED0323"/>
    <w:rsid w:val="7CF23C24"/>
    <w:rsid w:val="7CF76237"/>
    <w:rsid w:val="7CF77FE5"/>
    <w:rsid w:val="7CF82511"/>
    <w:rsid w:val="7CF91FAF"/>
    <w:rsid w:val="7CF95B0B"/>
    <w:rsid w:val="7CFB5AA5"/>
    <w:rsid w:val="7CFF6CFC"/>
    <w:rsid w:val="7D00333D"/>
    <w:rsid w:val="7D012C11"/>
    <w:rsid w:val="7D0163F4"/>
    <w:rsid w:val="7D0239FF"/>
    <w:rsid w:val="7D0B14FB"/>
    <w:rsid w:val="7D0C7EE6"/>
    <w:rsid w:val="7D0F63A0"/>
    <w:rsid w:val="7D1110A6"/>
    <w:rsid w:val="7D11554A"/>
    <w:rsid w:val="7D133070"/>
    <w:rsid w:val="7D157FB6"/>
    <w:rsid w:val="7D18560A"/>
    <w:rsid w:val="7D1D3EEF"/>
    <w:rsid w:val="7D21425A"/>
    <w:rsid w:val="7D215236"/>
    <w:rsid w:val="7D252DA4"/>
    <w:rsid w:val="7D253473"/>
    <w:rsid w:val="7D2B2488"/>
    <w:rsid w:val="7D325284"/>
    <w:rsid w:val="7D3354C1"/>
    <w:rsid w:val="7D342A41"/>
    <w:rsid w:val="7D3D0E71"/>
    <w:rsid w:val="7D3E3E65"/>
    <w:rsid w:val="7D40198C"/>
    <w:rsid w:val="7D455C6D"/>
    <w:rsid w:val="7D457FAA"/>
    <w:rsid w:val="7D47589E"/>
    <w:rsid w:val="7D502AF4"/>
    <w:rsid w:val="7D513B99"/>
    <w:rsid w:val="7D587A0A"/>
    <w:rsid w:val="7D5B0573"/>
    <w:rsid w:val="7D5B394E"/>
    <w:rsid w:val="7D5E40CD"/>
    <w:rsid w:val="7D625DA6"/>
    <w:rsid w:val="7D6A4EF9"/>
    <w:rsid w:val="7D742DD1"/>
    <w:rsid w:val="7D7635FF"/>
    <w:rsid w:val="7D7713AE"/>
    <w:rsid w:val="7D791035"/>
    <w:rsid w:val="7D7C5D4D"/>
    <w:rsid w:val="7D847ACA"/>
    <w:rsid w:val="7D8E26F7"/>
    <w:rsid w:val="7D8E57CF"/>
    <w:rsid w:val="7DB36601"/>
    <w:rsid w:val="7DB67EA0"/>
    <w:rsid w:val="7DBC6FF3"/>
    <w:rsid w:val="7DBE1B3B"/>
    <w:rsid w:val="7DC73E5B"/>
    <w:rsid w:val="7DC8310F"/>
    <w:rsid w:val="7DCA74A7"/>
    <w:rsid w:val="7DCC3AD8"/>
    <w:rsid w:val="7DCD56F2"/>
    <w:rsid w:val="7DD138CC"/>
    <w:rsid w:val="7DD36A7D"/>
    <w:rsid w:val="7DE16EE5"/>
    <w:rsid w:val="7DE451F8"/>
    <w:rsid w:val="7DE85257"/>
    <w:rsid w:val="7DEC20D2"/>
    <w:rsid w:val="7DEC709C"/>
    <w:rsid w:val="7DF033B2"/>
    <w:rsid w:val="7DF10ED8"/>
    <w:rsid w:val="7DF63F66"/>
    <w:rsid w:val="7DFA4415"/>
    <w:rsid w:val="7DFD5ACF"/>
    <w:rsid w:val="7E01111B"/>
    <w:rsid w:val="7E0D1B9F"/>
    <w:rsid w:val="7E0D3F64"/>
    <w:rsid w:val="7E17093E"/>
    <w:rsid w:val="7E2B43EA"/>
    <w:rsid w:val="7E2E3EDA"/>
    <w:rsid w:val="7E372D8F"/>
    <w:rsid w:val="7E3824B7"/>
    <w:rsid w:val="7E3E0F87"/>
    <w:rsid w:val="7E417769"/>
    <w:rsid w:val="7E447259"/>
    <w:rsid w:val="7E470AF8"/>
    <w:rsid w:val="7E4920F0"/>
    <w:rsid w:val="7E4E1E86"/>
    <w:rsid w:val="7E5036DA"/>
    <w:rsid w:val="7E521464"/>
    <w:rsid w:val="7E543906"/>
    <w:rsid w:val="7E54763A"/>
    <w:rsid w:val="7E5B4207"/>
    <w:rsid w:val="7E657E8A"/>
    <w:rsid w:val="7E6B71E3"/>
    <w:rsid w:val="7E6D4A02"/>
    <w:rsid w:val="7E71280E"/>
    <w:rsid w:val="7E727045"/>
    <w:rsid w:val="7E730245"/>
    <w:rsid w:val="7E775881"/>
    <w:rsid w:val="7E7A5BE3"/>
    <w:rsid w:val="7E7A711F"/>
    <w:rsid w:val="7E7E09BD"/>
    <w:rsid w:val="7E7E4059"/>
    <w:rsid w:val="7E7F4735"/>
    <w:rsid w:val="7E800E52"/>
    <w:rsid w:val="7E856B85"/>
    <w:rsid w:val="7E8B4E88"/>
    <w:rsid w:val="7E960413"/>
    <w:rsid w:val="7E994615"/>
    <w:rsid w:val="7E9C52E7"/>
    <w:rsid w:val="7EAC2C32"/>
    <w:rsid w:val="7EB1094C"/>
    <w:rsid w:val="7EBE1F99"/>
    <w:rsid w:val="7EBE688F"/>
    <w:rsid w:val="7EC05876"/>
    <w:rsid w:val="7ECA271F"/>
    <w:rsid w:val="7ECC585B"/>
    <w:rsid w:val="7ED93E46"/>
    <w:rsid w:val="7EE03426"/>
    <w:rsid w:val="7EE051D4"/>
    <w:rsid w:val="7EE54970"/>
    <w:rsid w:val="7EE66A56"/>
    <w:rsid w:val="7EE9101C"/>
    <w:rsid w:val="7EEF3951"/>
    <w:rsid w:val="7EEF4D6E"/>
    <w:rsid w:val="7EEF71C5"/>
    <w:rsid w:val="7EF35A49"/>
    <w:rsid w:val="7EF51DF4"/>
    <w:rsid w:val="7EF5291F"/>
    <w:rsid w:val="7EFC5D86"/>
    <w:rsid w:val="7F001CE7"/>
    <w:rsid w:val="7F026BC0"/>
    <w:rsid w:val="7F0F1615"/>
    <w:rsid w:val="7F10538E"/>
    <w:rsid w:val="7F137755"/>
    <w:rsid w:val="7F1B4EB8"/>
    <w:rsid w:val="7F1F7D58"/>
    <w:rsid w:val="7F210E94"/>
    <w:rsid w:val="7F233313"/>
    <w:rsid w:val="7F233E95"/>
    <w:rsid w:val="7F250E39"/>
    <w:rsid w:val="7F2552DD"/>
    <w:rsid w:val="7F2F7F0A"/>
    <w:rsid w:val="7F313C82"/>
    <w:rsid w:val="7F316AC2"/>
    <w:rsid w:val="7F355E5B"/>
    <w:rsid w:val="7F36260E"/>
    <w:rsid w:val="7F3D4789"/>
    <w:rsid w:val="7F414D3C"/>
    <w:rsid w:val="7F416D20"/>
    <w:rsid w:val="7F42716B"/>
    <w:rsid w:val="7F443DFC"/>
    <w:rsid w:val="7F527438"/>
    <w:rsid w:val="7F533FA1"/>
    <w:rsid w:val="7F5977EB"/>
    <w:rsid w:val="7F606315"/>
    <w:rsid w:val="7F6317BF"/>
    <w:rsid w:val="7F661BEE"/>
    <w:rsid w:val="7F676E48"/>
    <w:rsid w:val="7F7A1ED6"/>
    <w:rsid w:val="7F7B4EFD"/>
    <w:rsid w:val="7F80048F"/>
    <w:rsid w:val="7F811A2C"/>
    <w:rsid w:val="7F824B73"/>
    <w:rsid w:val="7F960830"/>
    <w:rsid w:val="7F9E12D9"/>
    <w:rsid w:val="7FA04963"/>
    <w:rsid w:val="7FA309A1"/>
    <w:rsid w:val="7FA33A73"/>
    <w:rsid w:val="7FA50238"/>
    <w:rsid w:val="7FA73F44"/>
    <w:rsid w:val="7FB13432"/>
    <w:rsid w:val="7FB3182A"/>
    <w:rsid w:val="7FBD3767"/>
    <w:rsid w:val="7FC20D7E"/>
    <w:rsid w:val="7FCB1B74"/>
    <w:rsid w:val="7FD1668B"/>
    <w:rsid w:val="7FD745AF"/>
    <w:rsid w:val="7FD92360"/>
    <w:rsid w:val="7FDA60C7"/>
    <w:rsid w:val="7FDB21E3"/>
    <w:rsid w:val="7FDD1166"/>
    <w:rsid w:val="7FE47E50"/>
    <w:rsid w:val="7FF54CAF"/>
    <w:rsid w:val="7FF8479F"/>
    <w:rsid w:val="7FFD59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iPriority="0" w:semiHidden="0" w:name="heading 6" w:locked="1"/>
    <w:lsdException w:qFormat="1" w:uiPriority="0" w:semiHidden="0" w:name="heading 7" w:locked="1"/>
    <w:lsdException w:qFormat="1" w:uiPriority="0" w:semiHidden="0" w:name="heading 8" w:locked="1"/>
    <w:lsdException w:qFormat="1" w:uiPriority="0" w:semiHidden="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sdException w:qFormat="1" w:unhideWhenUsed="0" w:uiPriority="0" w:semiHidden="0" w:name="toc 2" w:locked="1"/>
    <w:lsdException w:qFormat="1" w:unhideWhenUsed="0" w:uiPriority="0" w:semiHidden="0" w:name="toc 3" w:locked="1"/>
    <w:lsdException w:qFormat="1" w:unhideWhenUsed="0" w:uiPriority="0" w:semiHidden="0" w:name="toc 4" w:locked="1"/>
    <w:lsdException w:qFormat="1" w:unhideWhenUsed="0" w:uiPriority="0" w:semiHidden="0" w:name="toc 5" w:locked="1"/>
    <w:lsdException w:unhideWhenUsed="0" w:uiPriority="0" w:semiHidden="0" w:name="toc 6" w:locked="1"/>
    <w:lsdException w:qFormat="1" w:unhideWhenUsed="0" w:uiPriority="39"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unhideWhenUsed="0" w:uiPriority="0" w:semiHidden="0" w:name="page number"/>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iPriority="99" w:semiHidden="0" w:name="List"/>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unhideWhenUsed="0" w:uiPriority="0" w:semiHidden="0" w:name="Date"/>
    <w:lsdException w:qFormat="1" w:unhideWhenUsed="0" w:uiPriority="0" w:semiHidden="0" w:name="Body Text First Indent"/>
    <w:lsdException w:qFormat="1" w:uiPriority="0" w:semiHidden="0" w:name="Body Text First Indent 2"/>
    <w:lsdException w:qFormat="1" w:unhideWhenUsed="0" w:uiPriority="0" w:semiHidden="0" w:name="Note Heading"/>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sdException w:qFormat="1" w:unhideWhenUsed="0" w:uiPriority="0" w:semiHidden="0" w:name="FollowedHyperlink"/>
    <w:lsdException w:qFormat="1" w:unhideWhenUsed="0" w:uiPriority="0" w:semiHidden="0" w:name="Strong" w:locked="1"/>
    <w:lsdException w:qFormat="1" w:unhideWhenUsed="0" w:uiPriority="0" w:semiHidden="0" w:name="Emphasis"/>
    <w:lsdException w:unhideWhenUsed="0" w:uiPriority="0" w:semiHidden="0" w:name="Document Map" w:locked="1"/>
    <w:lsdException w:qFormat="1" w:unhideWhenUsed="0" w:uiPriority="0" w:semiHidden="0" w:name="Plain Text"/>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unhideWhenUsed="0" w:uiPriority="0" w:semiHidden="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1"/>
    <w:qFormat/>
    <w:locked/>
    <w:uiPriority w:val="99"/>
    <w:pPr>
      <w:keepNext/>
      <w:numPr>
        <w:ilvl w:val="0"/>
        <w:numId w:val="1"/>
      </w:numPr>
      <w:tabs>
        <w:tab w:val="left" w:pos="420"/>
        <w:tab w:val="clear" w:pos="0"/>
      </w:tabs>
      <w:overflowPunct w:val="0"/>
      <w:snapToGrid w:val="0"/>
      <w:spacing w:line="360" w:lineRule="auto"/>
      <w:ind w:left="432" w:hanging="432"/>
      <w:jc w:val="center"/>
      <w:outlineLvl w:val="0"/>
    </w:pPr>
    <w:rPr>
      <w:rFonts w:ascii="Times New Roman" w:hAnsi="Times New Roman" w:eastAsia="宋体"/>
      <w:b/>
      <w:bCs/>
      <w:color w:val="000000"/>
      <w:kern w:val="44"/>
      <w:sz w:val="30"/>
      <w:szCs w:val="30"/>
    </w:rPr>
  </w:style>
  <w:style w:type="paragraph" w:styleId="3">
    <w:name w:val="heading 2"/>
    <w:basedOn w:val="1"/>
    <w:next w:val="1"/>
    <w:link w:val="40"/>
    <w:qFormat/>
    <w:locked/>
    <w:uiPriority w:val="9"/>
    <w:pPr>
      <w:keepNext/>
      <w:keepLines/>
      <w:numPr>
        <w:ilvl w:val="1"/>
        <w:numId w:val="1"/>
      </w:numPr>
      <w:spacing w:before="120" w:after="120" w:line="360" w:lineRule="auto"/>
      <w:ind w:left="0"/>
      <w:outlineLvl w:val="1"/>
    </w:pPr>
    <w:rPr>
      <w:rFonts w:ascii="Times New Roman" w:hAnsi="Times New Roman" w:eastAsia="宋体"/>
      <w:b/>
      <w:bCs/>
      <w:sz w:val="28"/>
      <w:szCs w:val="32"/>
    </w:rPr>
  </w:style>
  <w:style w:type="paragraph" w:styleId="4">
    <w:name w:val="heading 3"/>
    <w:basedOn w:val="1"/>
    <w:next w:val="1"/>
    <w:link w:val="48"/>
    <w:qFormat/>
    <w:locked/>
    <w:uiPriority w:val="0"/>
    <w:pPr>
      <w:keepNext/>
      <w:keepLines/>
      <w:numPr>
        <w:ilvl w:val="2"/>
        <w:numId w:val="1"/>
      </w:numPr>
      <w:tabs>
        <w:tab w:val="left" w:pos="420"/>
        <w:tab w:val="clear" w:pos="0"/>
      </w:tabs>
      <w:spacing w:before="120" w:after="120" w:line="360" w:lineRule="auto"/>
      <w:ind w:left="720" w:hanging="720"/>
      <w:outlineLvl w:val="2"/>
    </w:pPr>
    <w:rPr>
      <w:rFonts w:ascii="Times New Roman" w:hAnsi="Times New Roman" w:eastAsia="宋体"/>
      <w:b/>
      <w:bCs/>
      <w:sz w:val="24"/>
      <w:szCs w:val="32"/>
    </w:rPr>
  </w:style>
  <w:style w:type="paragraph" w:styleId="5">
    <w:name w:val="heading 4"/>
    <w:basedOn w:val="1"/>
    <w:next w:val="1"/>
    <w:link w:val="50"/>
    <w:qFormat/>
    <w:locked/>
    <w:uiPriority w:val="0"/>
    <w:pPr>
      <w:keepNext/>
      <w:keepLines/>
      <w:numPr>
        <w:ilvl w:val="3"/>
        <w:numId w:val="1"/>
      </w:numPr>
      <w:tabs>
        <w:tab w:val="left" w:pos="420"/>
        <w:tab w:val="clear" w:pos="0"/>
      </w:tabs>
      <w:spacing w:line="360" w:lineRule="auto"/>
      <w:ind w:left="864" w:hanging="864"/>
      <w:jc w:val="left"/>
      <w:outlineLvl w:val="3"/>
    </w:pPr>
    <w:rPr>
      <w:rFonts w:ascii="Times New Roman" w:hAnsi="Times New Roman" w:eastAsia="宋体"/>
      <w:b/>
      <w:bCs/>
      <w:sz w:val="24"/>
      <w:szCs w:val="28"/>
    </w:rPr>
  </w:style>
  <w:style w:type="paragraph" w:styleId="6">
    <w:name w:val="heading 5"/>
    <w:basedOn w:val="1"/>
    <w:next w:val="1"/>
    <w:link w:val="61"/>
    <w:qFormat/>
    <w:locked/>
    <w:uiPriority w:val="0"/>
    <w:pPr>
      <w:keepNext/>
      <w:keepLines/>
      <w:numPr>
        <w:ilvl w:val="4"/>
        <w:numId w:val="2"/>
      </w:numPr>
      <w:spacing w:before="280" w:after="290" w:line="376" w:lineRule="auto"/>
      <w:ind w:left="1366"/>
      <w:outlineLvl w:val="4"/>
    </w:pPr>
    <w:rPr>
      <w:b/>
      <w:bCs/>
      <w:sz w:val="28"/>
      <w:szCs w:val="28"/>
    </w:rPr>
  </w:style>
  <w:style w:type="paragraph" w:styleId="7">
    <w:name w:val="heading 6"/>
    <w:basedOn w:val="1"/>
    <w:next w:val="1"/>
    <w:unhideWhenUsed/>
    <w:qFormat/>
    <w:locked/>
    <w:uiPriority w:val="0"/>
    <w:pPr>
      <w:keepNext/>
      <w:keepLines/>
      <w:numPr>
        <w:ilvl w:val="5"/>
        <w:numId w:val="2"/>
      </w:numPr>
      <w:spacing w:before="240" w:after="64" w:line="317" w:lineRule="auto"/>
      <w:ind w:left="1509"/>
      <w:outlineLvl w:val="5"/>
    </w:pPr>
    <w:rPr>
      <w:rFonts w:ascii="Arial" w:hAnsi="Arial" w:eastAsia="黑体"/>
      <w:b/>
      <w:sz w:val="24"/>
    </w:rPr>
  </w:style>
  <w:style w:type="paragraph" w:styleId="8">
    <w:name w:val="heading 7"/>
    <w:basedOn w:val="1"/>
    <w:next w:val="1"/>
    <w:unhideWhenUsed/>
    <w:qFormat/>
    <w:locked/>
    <w:uiPriority w:val="0"/>
    <w:pPr>
      <w:keepNext/>
      <w:keepLines/>
      <w:numPr>
        <w:ilvl w:val="6"/>
        <w:numId w:val="2"/>
      </w:numPr>
      <w:spacing w:before="240" w:after="64" w:line="317" w:lineRule="auto"/>
      <w:ind w:left="1654"/>
      <w:outlineLvl w:val="6"/>
    </w:pPr>
    <w:rPr>
      <w:b/>
      <w:sz w:val="24"/>
    </w:rPr>
  </w:style>
  <w:style w:type="paragraph" w:styleId="9">
    <w:name w:val="heading 8"/>
    <w:basedOn w:val="1"/>
    <w:next w:val="1"/>
    <w:unhideWhenUsed/>
    <w:qFormat/>
    <w:locked/>
    <w:uiPriority w:val="0"/>
    <w:pPr>
      <w:keepNext/>
      <w:keepLines/>
      <w:numPr>
        <w:ilvl w:val="7"/>
        <w:numId w:val="3"/>
      </w:numPr>
      <w:spacing w:before="240" w:after="64" w:line="317" w:lineRule="auto"/>
      <w:ind w:left="1440"/>
      <w:outlineLvl w:val="7"/>
    </w:pPr>
    <w:rPr>
      <w:rFonts w:ascii="Arial" w:hAnsi="Arial" w:eastAsia="黑体"/>
      <w:sz w:val="24"/>
    </w:rPr>
  </w:style>
  <w:style w:type="paragraph" w:styleId="10">
    <w:name w:val="heading 9"/>
    <w:basedOn w:val="1"/>
    <w:next w:val="1"/>
    <w:unhideWhenUsed/>
    <w:qFormat/>
    <w:locked/>
    <w:uiPriority w:val="0"/>
    <w:pPr>
      <w:keepNext/>
      <w:keepLines/>
      <w:numPr>
        <w:ilvl w:val="8"/>
        <w:numId w:val="4"/>
      </w:numPr>
      <w:spacing w:before="240" w:after="64" w:line="317" w:lineRule="auto"/>
      <w:ind w:left="1941"/>
      <w:outlineLvl w:val="8"/>
    </w:pPr>
    <w:rPr>
      <w:rFonts w:ascii="Arial" w:hAnsi="Arial" w:eastAsia="黑体"/>
    </w:rPr>
  </w:style>
  <w:style w:type="character" w:default="1" w:styleId="34">
    <w:name w:val="Default Paragraph Font"/>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locked/>
    <w:uiPriority w:val="39"/>
    <w:pPr>
      <w:ind w:left="2520" w:leftChars="1200"/>
    </w:pPr>
  </w:style>
  <w:style w:type="paragraph" w:styleId="12">
    <w:name w:val="Note Heading"/>
    <w:basedOn w:val="1"/>
    <w:next w:val="1"/>
    <w:qFormat/>
    <w:uiPriority w:val="0"/>
    <w:pPr>
      <w:jc w:val="center"/>
    </w:pPr>
  </w:style>
  <w:style w:type="paragraph" w:styleId="13">
    <w:name w:val="Normal Indent"/>
    <w:basedOn w:val="1"/>
    <w:link w:val="135"/>
    <w:qFormat/>
    <w:uiPriority w:val="0"/>
    <w:pPr>
      <w:spacing w:before="50" w:beforeLines="50" w:line="360" w:lineRule="auto"/>
      <w:ind w:firstLine="560" w:firstLineChars="200"/>
    </w:pPr>
    <w:rPr>
      <w:rFonts w:ascii="Calibri" w:hAnsi="Calibri"/>
      <w:sz w:val="28"/>
    </w:rPr>
  </w:style>
  <w:style w:type="paragraph" w:styleId="14">
    <w:name w:val="annotation text"/>
    <w:basedOn w:val="1"/>
    <w:qFormat/>
    <w:uiPriority w:val="0"/>
    <w:pPr>
      <w:jc w:val="left"/>
    </w:pPr>
  </w:style>
  <w:style w:type="paragraph" w:styleId="15">
    <w:name w:val="Body Text"/>
    <w:basedOn w:val="1"/>
    <w:next w:val="16"/>
    <w:qFormat/>
    <w:uiPriority w:val="0"/>
    <w:pPr>
      <w:widowControl/>
      <w:snapToGrid w:val="0"/>
      <w:spacing w:before="60" w:after="160" w:line="259" w:lineRule="auto"/>
      <w:ind w:right="113"/>
    </w:pPr>
    <w:rPr>
      <w:rFonts w:ascii="Times New Roman" w:hAnsi="Times New Roman" w:eastAsia="宋体"/>
      <w:kern w:val="0"/>
      <w:sz w:val="18"/>
      <w:szCs w:val="20"/>
    </w:rPr>
  </w:style>
  <w:style w:type="paragraph" w:styleId="16">
    <w:name w:val="Plain Text"/>
    <w:basedOn w:val="1"/>
    <w:next w:val="1"/>
    <w:qFormat/>
    <w:uiPriority w:val="0"/>
    <w:rPr>
      <w:rFonts w:ascii="宋体" w:hAnsi="Courier New"/>
      <w:szCs w:val="20"/>
    </w:rPr>
  </w:style>
  <w:style w:type="paragraph" w:styleId="17">
    <w:name w:val="Body Text Indent"/>
    <w:basedOn w:val="1"/>
    <w:next w:val="18"/>
    <w:qFormat/>
    <w:uiPriority w:val="0"/>
    <w:pPr>
      <w:ind w:firstLine="560" w:firstLineChars="200"/>
    </w:pPr>
    <w:rPr>
      <w:sz w:val="28"/>
    </w:rPr>
  </w:style>
  <w:style w:type="paragraph" w:styleId="18">
    <w:name w:val="Body Text First Indent 2"/>
    <w:basedOn w:val="17"/>
    <w:next w:val="19"/>
    <w:unhideWhenUsed/>
    <w:qFormat/>
    <w:uiPriority w:val="0"/>
    <w:pPr>
      <w:spacing w:after="120"/>
      <w:ind w:left="420" w:leftChars="200" w:firstLine="420"/>
    </w:pPr>
    <w:rPr>
      <w:sz w:val="21"/>
    </w:rPr>
  </w:style>
  <w:style w:type="paragraph" w:styleId="19">
    <w:name w:val="Body Text First Indent"/>
    <w:basedOn w:val="15"/>
    <w:next w:val="1"/>
    <w:qFormat/>
    <w:uiPriority w:val="0"/>
    <w:pPr>
      <w:ind w:firstLine="420" w:firstLineChars="100"/>
    </w:pPr>
  </w:style>
  <w:style w:type="paragraph" w:styleId="20">
    <w:name w:val="toc 5"/>
    <w:basedOn w:val="1"/>
    <w:next w:val="1"/>
    <w:qFormat/>
    <w:locked/>
    <w:uiPriority w:val="0"/>
    <w:pPr>
      <w:ind w:left="1680" w:leftChars="800"/>
    </w:pPr>
  </w:style>
  <w:style w:type="paragraph" w:styleId="21">
    <w:name w:val="toc 3"/>
    <w:basedOn w:val="1"/>
    <w:next w:val="1"/>
    <w:qFormat/>
    <w:locked/>
    <w:uiPriority w:val="0"/>
    <w:pPr>
      <w:ind w:left="840" w:leftChars="400"/>
    </w:pPr>
  </w:style>
  <w:style w:type="paragraph" w:styleId="22">
    <w:name w:val="Body Text Indent 2"/>
    <w:basedOn w:val="1"/>
    <w:next w:val="1"/>
    <w:qFormat/>
    <w:locked/>
    <w:uiPriority w:val="0"/>
    <w:pPr>
      <w:spacing w:after="120" w:afterLines="0" w:line="480" w:lineRule="auto"/>
      <w:ind w:left="420" w:leftChars="200"/>
    </w:pPr>
  </w:style>
  <w:style w:type="paragraph" w:styleId="23">
    <w:name w:val="Balloon Text"/>
    <w:basedOn w:val="1"/>
    <w:semiHidden/>
    <w:qFormat/>
    <w:uiPriority w:val="0"/>
    <w:rPr>
      <w:kern w:val="0"/>
      <w:sz w:val="18"/>
      <w:szCs w:val="20"/>
    </w:rPr>
  </w:style>
  <w:style w:type="paragraph" w:styleId="24">
    <w:name w:val="footer"/>
    <w:basedOn w:val="1"/>
    <w:qFormat/>
    <w:uiPriority w:val="0"/>
    <w:pPr>
      <w:tabs>
        <w:tab w:val="center" w:pos="4153"/>
        <w:tab w:val="right" w:pos="8306"/>
      </w:tabs>
      <w:snapToGrid w:val="0"/>
    </w:pPr>
    <w:rPr>
      <w:sz w:val="18"/>
    </w:rPr>
  </w:style>
  <w:style w:type="paragraph" w:styleId="2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26">
    <w:name w:val="toc 1"/>
    <w:basedOn w:val="1"/>
    <w:next w:val="1"/>
    <w:qFormat/>
    <w:uiPriority w:val="0"/>
    <w:pPr>
      <w:spacing w:line="312" w:lineRule="auto"/>
    </w:pPr>
    <w:rPr>
      <w:rFonts w:ascii="Times New Roman" w:hAnsi="Times New Roman" w:eastAsia="宋体"/>
      <w:sz w:val="24"/>
    </w:rPr>
  </w:style>
  <w:style w:type="paragraph" w:styleId="27">
    <w:name w:val="toc 4"/>
    <w:basedOn w:val="1"/>
    <w:next w:val="1"/>
    <w:qFormat/>
    <w:locked/>
    <w:uiPriority w:val="0"/>
    <w:pPr>
      <w:ind w:left="1260" w:leftChars="600"/>
    </w:pPr>
  </w:style>
  <w:style w:type="paragraph" w:styleId="28">
    <w:name w:val="List"/>
    <w:basedOn w:val="1"/>
    <w:unhideWhenUsed/>
    <w:qFormat/>
    <w:uiPriority w:val="99"/>
    <w:pPr>
      <w:ind w:left="200" w:hanging="200" w:hangingChars="200"/>
      <w:contextualSpacing/>
    </w:pPr>
  </w:style>
  <w:style w:type="paragraph" w:styleId="29">
    <w:name w:val="toc 2"/>
    <w:basedOn w:val="1"/>
    <w:next w:val="1"/>
    <w:qFormat/>
    <w:locked/>
    <w:uiPriority w:val="0"/>
    <w:pPr>
      <w:ind w:left="420" w:leftChars="200"/>
    </w:pPr>
  </w:style>
  <w:style w:type="paragraph" w:styleId="30">
    <w:name w:val="Normal (Web)"/>
    <w:basedOn w:val="1"/>
    <w:qFormat/>
    <w:uiPriority w:val="0"/>
    <w:pPr>
      <w:spacing w:before="0" w:beforeAutospacing="1" w:after="0" w:afterAutospacing="1"/>
      <w:ind w:left="0" w:right="0"/>
      <w:jc w:val="left"/>
    </w:pPr>
    <w:rPr>
      <w:kern w:val="0"/>
      <w:sz w:val="24"/>
      <w:lang w:val="en-US" w:eastAsia="zh-CN" w:bidi="ar"/>
    </w:rPr>
  </w:style>
  <w:style w:type="paragraph" w:styleId="31">
    <w:name w:val="Title"/>
    <w:basedOn w:val="1"/>
    <w:next w:val="1"/>
    <w:link w:val="62"/>
    <w:qFormat/>
    <w:locked/>
    <w:uiPriority w:val="0"/>
    <w:pPr>
      <w:spacing w:before="240" w:after="60"/>
      <w:jc w:val="center"/>
      <w:outlineLvl w:val="0"/>
    </w:pPr>
    <w:rPr>
      <w:rFonts w:ascii="Cambria" w:hAnsi="Cambria"/>
      <w:b/>
      <w:bCs/>
      <w:sz w:val="32"/>
      <w:szCs w:val="32"/>
    </w:rPr>
  </w:style>
  <w:style w:type="table" w:styleId="33">
    <w:name w:val="Table Grid"/>
    <w:basedOn w:val="3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Strong"/>
    <w:basedOn w:val="34"/>
    <w:qFormat/>
    <w:locked/>
    <w:uiPriority w:val="0"/>
    <w:rPr>
      <w:b/>
    </w:rPr>
  </w:style>
  <w:style w:type="character" w:styleId="36">
    <w:name w:val="FollowedHyperlink"/>
    <w:basedOn w:val="34"/>
    <w:qFormat/>
    <w:uiPriority w:val="0"/>
    <w:rPr>
      <w:color w:val="800080"/>
      <w:u w:val="none"/>
    </w:rPr>
  </w:style>
  <w:style w:type="character" w:styleId="37">
    <w:name w:val="Emphasis"/>
    <w:basedOn w:val="34"/>
    <w:qFormat/>
    <w:uiPriority w:val="0"/>
  </w:style>
  <w:style w:type="character" w:styleId="38">
    <w:name w:val="Hyperlink"/>
    <w:basedOn w:val="34"/>
    <w:qFormat/>
    <w:uiPriority w:val="0"/>
    <w:rPr>
      <w:color w:val="0000FF"/>
      <w:u w:val="none"/>
    </w:rPr>
  </w:style>
  <w:style w:type="character" w:styleId="39">
    <w:name w:val="annotation reference"/>
    <w:basedOn w:val="34"/>
    <w:qFormat/>
    <w:uiPriority w:val="0"/>
    <w:rPr>
      <w:sz w:val="21"/>
      <w:szCs w:val="21"/>
    </w:rPr>
  </w:style>
  <w:style w:type="character" w:customStyle="1" w:styleId="40">
    <w:name w:val="标题 2 Char"/>
    <w:link w:val="3"/>
    <w:qFormat/>
    <w:uiPriority w:val="9"/>
    <w:rPr>
      <w:rFonts w:ascii="Times New Roman" w:hAnsi="Times New Roman" w:eastAsia="宋体" w:cs="Times New Roman"/>
      <w:b/>
      <w:bCs/>
      <w:kern w:val="2"/>
      <w:sz w:val="28"/>
      <w:szCs w:val="32"/>
    </w:rPr>
  </w:style>
  <w:style w:type="character" w:customStyle="1" w:styleId="41">
    <w:name w:val="标题 1 Char"/>
    <w:link w:val="2"/>
    <w:qFormat/>
    <w:uiPriority w:val="99"/>
    <w:rPr>
      <w:rFonts w:ascii="Times New Roman" w:hAnsi="Times New Roman" w:eastAsia="宋体"/>
      <w:b/>
      <w:bCs/>
      <w:color w:val="000000"/>
      <w:kern w:val="44"/>
      <w:sz w:val="30"/>
      <w:szCs w:val="30"/>
    </w:rPr>
  </w:style>
  <w:style w:type="paragraph" w:customStyle="1" w:styleId="42">
    <w:name w:val="表格标题"/>
    <w:basedOn w:val="43"/>
    <w:next w:val="1"/>
    <w:qFormat/>
    <w:uiPriority w:val="0"/>
    <w:pPr>
      <w:numPr>
        <w:ilvl w:val="7"/>
        <w:numId w:val="1"/>
      </w:numPr>
      <w:tabs>
        <w:tab w:val="left" w:pos="420"/>
        <w:tab w:val="clear" w:pos="0"/>
      </w:tabs>
      <w:spacing w:line="240" w:lineRule="auto"/>
      <w:ind w:left="0" w:firstLine="0" w:firstLineChars="0"/>
      <w:jc w:val="center"/>
    </w:pPr>
    <w:rPr>
      <w:rFonts w:ascii="Times New Roman" w:hAnsi="Times New Roman" w:eastAsia="宋体"/>
      <w:b/>
      <w:bCs/>
      <w:color w:val="auto"/>
      <w:szCs w:val="21"/>
    </w:rPr>
  </w:style>
  <w:style w:type="paragraph" w:customStyle="1" w:styleId="43">
    <w:name w:val="正文内容"/>
    <w:basedOn w:val="1"/>
    <w:qFormat/>
    <w:uiPriority w:val="0"/>
    <w:pPr>
      <w:adjustRightInd w:val="0"/>
      <w:spacing w:line="360" w:lineRule="auto"/>
    </w:pPr>
    <w:rPr>
      <w:color w:val="000000"/>
      <w:sz w:val="24"/>
    </w:rPr>
  </w:style>
  <w:style w:type="paragraph" w:customStyle="1" w:styleId="44">
    <w:name w:val="闽创报告正文"/>
    <w:basedOn w:val="45"/>
    <w:link w:val="98"/>
    <w:qFormat/>
    <w:uiPriority w:val="0"/>
    <w:pPr>
      <w:widowControl w:val="0"/>
      <w:tabs>
        <w:tab w:val="left" w:pos="0"/>
      </w:tabs>
      <w:autoSpaceDE w:val="0"/>
      <w:autoSpaceDN w:val="0"/>
      <w:spacing w:line="360" w:lineRule="auto"/>
      <w:ind w:firstLine="200" w:firstLineChars="200"/>
      <w:jc w:val="both"/>
    </w:pPr>
    <w:rPr>
      <w:rFonts w:ascii="Times New Roman" w:hAnsi="Times New Roman" w:eastAsia="宋体" w:cs="宋体"/>
      <w:color w:val="FF0000"/>
      <w:kern w:val="0"/>
      <w:sz w:val="24"/>
      <w:szCs w:val="20"/>
      <w:lang w:val="zh-CN" w:eastAsia="zh-CN" w:bidi="ar-SA"/>
    </w:rPr>
  </w:style>
  <w:style w:type="paragraph" w:customStyle="1" w:styleId="45">
    <w:name w:val="0正文"/>
    <w:basedOn w:val="17"/>
    <w:unhideWhenUsed/>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paragraph" w:customStyle="1" w:styleId="46">
    <w:name w:val="表格内容"/>
    <w:basedOn w:val="28"/>
    <w:next w:val="1"/>
    <w:link w:val="56"/>
    <w:qFormat/>
    <w:uiPriority w:val="0"/>
    <w:pPr>
      <w:numPr>
        <w:ilvl w:val="0"/>
        <w:numId w:val="0"/>
      </w:numPr>
      <w:spacing w:line="240" w:lineRule="auto"/>
      <w:ind w:left="0" w:firstLine="0" w:firstLineChars="0"/>
      <w:jc w:val="center"/>
    </w:pPr>
    <w:rPr>
      <w:rFonts w:ascii="Times New Roman" w:hAnsi="Times New Roman" w:eastAsia="宋体" w:cs="Times New Roman"/>
      <w:sz w:val="21"/>
    </w:rPr>
  </w:style>
  <w:style w:type="paragraph" w:customStyle="1" w:styleId="47">
    <w:name w:val="图文标题"/>
    <w:basedOn w:val="1"/>
    <w:next w:val="1"/>
    <w:link w:val="64"/>
    <w:qFormat/>
    <w:uiPriority w:val="0"/>
    <w:pPr>
      <w:numPr>
        <w:ilvl w:val="8"/>
        <w:numId w:val="1"/>
      </w:numPr>
      <w:spacing w:line="360" w:lineRule="auto"/>
      <w:ind w:left="1583" w:hanging="1583" w:firstLineChars="0"/>
      <w:jc w:val="center"/>
    </w:pPr>
    <w:rPr>
      <w:rFonts w:ascii="Times New Roman" w:hAnsi="Times New Roman" w:eastAsia="宋体"/>
      <w:b/>
      <w:bCs/>
      <w:color w:val="auto"/>
      <w:sz w:val="24"/>
      <w:szCs w:val="21"/>
    </w:rPr>
  </w:style>
  <w:style w:type="character" w:customStyle="1" w:styleId="48">
    <w:name w:val="标题 3 Char"/>
    <w:link w:val="4"/>
    <w:semiHidden/>
    <w:qFormat/>
    <w:uiPriority w:val="0"/>
    <w:rPr>
      <w:rFonts w:ascii="Times New Roman" w:hAnsi="Times New Roman" w:eastAsia="宋体"/>
      <w:b/>
      <w:bCs/>
      <w:kern w:val="2"/>
      <w:sz w:val="24"/>
      <w:szCs w:val="32"/>
    </w:rPr>
  </w:style>
  <w:style w:type="paragraph" w:customStyle="1" w:styleId="49">
    <w:name w:val="表格"/>
    <w:basedOn w:val="1"/>
    <w:next w:val="1"/>
    <w:qFormat/>
    <w:uiPriority w:val="0"/>
    <w:pPr>
      <w:adjustRightInd w:val="0"/>
      <w:snapToGrid w:val="0"/>
      <w:spacing w:beforeLines="10" w:afterLines="10" w:line="259" w:lineRule="auto"/>
      <w:jc w:val="center"/>
    </w:pPr>
    <w:rPr>
      <w:rFonts w:ascii="宋体"/>
      <w:kern w:val="0"/>
      <w:szCs w:val="20"/>
    </w:rPr>
  </w:style>
  <w:style w:type="character" w:customStyle="1" w:styleId="50">
    <w:name w:val="标题 4 Char"/>
    <w:link w:val="5"/>
    <w:semiHidden/>
    <w:qFormat/>
    <w:uiPriority w:val="0"/>
    <w:rPr>
      <w:rFonts w:ascii="Times New Roman" w:hAnsi="Times New Roman" w:eastAsia="宋体" w:cs="Times New Roman"/>
      <w:b/>
      <w:bCs/>
      <w:kern w:val="2"/>
      <w:sz w:val="24"/>
      <w:szCs w:val="28"/>
    </w:rPr>
  </w:style>
  <w:style w:type="paragraph" w:customStyle="1" w:styleId="51">
    <w:name w:val="Default"/>
    <w:basedOn w:val="52"/>
    <w:next w:val="53"/>
    <w:qFormat/>
    <w:uiPriority w:val="0"/>
    <w:pPr>
      <w:widowControl w:val="0"/>
      <w:autoSpaceDE w:val="0"/>
      <w:autoSpaceDN w:val="0"/>
      <w:adjustRightInd w:val="0"/>
    </w:pPr>
    <w:rPr>
      <w:color w:val="000000"/>
      <w:sz w:val="24"/>
      <w:szCs w:val="24"/>
      <w:lang w:val="en-US" w:eastAsia="zh-CN" w:bidi="ar-SA"/>
    </w:rPr>
  </w:style>
  <w:style w:type="paragraph" w:customStyle="1" w:styleId="52">
    <w:name w:val="纯文本1"/>
    <w:basedOn w:val="1"/>
    <w:next w:val="16"/>
    <w:qFormat/>
    <w:uiPriority w:val="0"/>
    <w:pPr>
      <w:textAlignment w:val="baseline"/>
    </w:pPr>
    <w:rPr>
      <w:rFonts w:ascii="宋体" w:hAnsi="Courier New"/>
    </w:rPr>
  </w:style>
  <w:style w:type="paragraph" w:customStyle="1" w:styleId="53">
    <w:name w:val="样式35"/>
    <w:next w:val="54"/>
    <w:qFormat/>
    <w:uiPriority w:val="99"/>
    <w:pPr>
      <w:widowControl w:val="0"/>
      <w:spacing w:line="312" w:lineRule="auto"/>
      <w:ind w:firstLine="567"/>
      <w:jc w:val="both"/>
    </w:pPr>
    <w:rPr>
      <w:rFonts w:ascii="宋体" w:hAnsi="Times New Roman" w:eastAsia="宋体" w:cs="Times New Roman"/>
      <w:kern w:val="2"/>
      <w:sz w:val="21"/>
      <w:szCs w:val="22"/>
      <w:lang w:val="en-US" w:eastAsia="zh-CN" w:bidi="ar-SA"/>
    </w:rPr>
  </w:style>
  <w:style w:type="paragraph" w:customStyle="1" w:styleId="54">
    <w:name w:val="font6"/>
    <w:basedOn w:val="1"/>
    <w:next w:val="29"/>
    <w:qFormat/>
    <w:uiPriority w:val="99"/>
    <w:pPr>
      <w:widowControl/>
      <w:spacing w:before="100" w:beforeAutospacing="1" w:after="100" w:afterAutospacing="1"/>
      <w:jc w:val="left"/>
    </w:pPr>
    <w:rPr>
      <w:rFonts w:ascii="宋体" w:hAnsi="宋体"/>
      <w:sz w:val="20"/>
      <w:szCs w:val="20"/>
    </w:rPr>
  </w:style>
  <w:style w:type="paragraph" w:customStyle="1" w:styleId="55">
    <w:name w:val="xl27"/>
    <w:basedOn w:val="1"/>
    <w:next w:val="22"/>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character" w:customStyle="1" w:styleId="56">
    <w:name w:val="表格内容 Char1"/>
    <w:link w:val="46"/>
    <w:qFormat/>
    <w:uiPriority w:val="0"/>
    <w:rPr>
      <w:rFonts w:ascii="Times New Roman" w:hAnsi="Times New Roman" w:eastAsia="宋体" w:cs="Times New Roman"/>
      <w:sz w:val="21"/>
    </w:rPr>
  </w:style>
  <w:style w:type="paragraph" w:customStyle="1" w:styleId="57">
    <w:name w:val="表格标题无编号"/>
    <w:basedOn w:val="42"/>
    <w:qFormat/>
    <w:uiPriority w:val="0"/>
    <w:pPr>
      <w:widowControl w:val="0"/>
      <w:numPr>
        <w:ilvl w:val="7"/>
        <w:numId w:val="0"/>
      </w:numPr>
      <w:autoSpaceDE w:val="0"/>
      <w:autoSpaceDN w:val="0"/>
      <w:spacing w:line="360" w:lineRule="auto"/>
      <w:ind w:left="1440" w:hanging="1440" w:firstLineChars="0"/>
      <w:jc w:val="center"/>
      <w:outlineLvl w:val="9"/>
    </w:pPr>
    <w:rPr>
      <w:rFonts w:ascii="Times New Roman" w:hAnsi="Times New Roman" w:eastAsia="宋体" w:cs="宋体"/>
      <w:kern w:val="0"/>
      <w:sz w:val="24"/>
      <w:szCs w:val="22"/>
      <w:lang w:val="zh-CN" w:eastAsia="zh-CN" w:bidi="ar-SA"/>
    </w:rPr>
  </w:style>
  <w:style w:type="table" w:customStyle="1" w:styleId="58">
    <w:name w:val="网格型1"/>
    <w:basedOn w:val="32"/>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9">
    <w:name w:val="6表格（锐）"/>
    <w:basedOn w:val="33"/>
    <w:qFormat/>
    <w:locked/>
    <w:uiPriority w:val="99"/>
    <w:pPr>
      <w:jc w:val="center"/>
    </w:pPr>
    <w:rPr>
      <w:sz w:val="21"/>
    </w:rPr>
    <w:tblPr>
      <w:tblBorders>
        <w:top w:val="single" w:color="auto" w:sz="12" w:space="0"/>
        <w:bottom w:val="single" w:color="auto" w:sz="12" w:space="0"/>
      </w:tblBorders>
      <w:tblCellMar>
        <w:top w:w="0" w:type="dxa"/>
        <w:left w:w="108" w:type="dxa"/>
        <w:bottom w:w="0" w:type="dxa"/>
        <w:right w:w="108" w:type="dxa"/>
      </w:tblCellMar>
    </w:tblPr>
    <w:trPr>
      <w:tblHeader/>
    </w:trPr>
    <w:tcPr>
      <w:vAlign w:val="center"/>
    </w:tcPr>
  </w:style>
  <w:style w:type="paragraph" w:customStyle="1" w:styleId="60">
    <w:name w:val="表格表头"/>
    <w:basedOn w:val="1"/>
    <w:unhideWhenUsed/>
    <w:qFormat/>
    <w:uiPriority w:val="0"/>
    <w:pPr>
      <w:adjustRightInd w:val="0"/>
      <w:snapToGrid w:val="0"/>
      <w:spacing w:beforeLines="0" w:afterLines="0" w:line="240" w:lineRule="auto"/>
      <w:ind w:firstLine="0" w:firstLineChars="0"/>
      <w:jc w:val="center"/>
    </w:pPr>
    <w:rPr>
      <w:rFonts w:hint="eastAsia" w:ascii="Times New Roman" w:hAnsi="Times New Roman"/>
      <w:b/>
      <w:sz w:val="21"/>
    </w:rPr>
  </w:style>
  <w:style w:type="character" w:customStyle="1" w:styleId="61">
    <w:name w:val="标题 5 Char"/>
    <w:link w:val="6"/>
    <w:semiHidden/>
    <w:qFormat/>
    <w:uiPriority w:val="0"/>
    <w:rPr>
      <w:b/>
      <w:bCs/>
      <w:kern w:val="2"/>
      <w:sz w:val="28"/>
      <w:szCs w:val="28"/>
    </w:rPr>
  </w:style>
  <w:style w:type="character" w:customStyle="1" w:styleId="62">
    <w:name w:val="标题 Char"/>
    <w:link w:val="31"/>
    <w:qFormat/>
    <w:uiPriority w:val="0"/>
    <w:rPr>
      <w:rFonts w:ascii="Cambria" w:hAnsi="Cambria" w:cs="Times New Roman"/>
      <w:b/>
      <w:bCs/>
      <w:kern w:val="2"/>
      <w:sz w:val="32"/>
      <w:szCs w:val="32"/>
    </w:rPr>
  </w:style>
  <w:style w:type="character" w:customStyle="1" w:styleId="63">
    <w:name w:val="闽创报告正文 Char"/>
    <w:link w:val="44"/>
    <w:qFormat/>
    <w:uiPriority w:val="0"/>
    <w:rPr>
      <w:rFonts w:ascii="Times New Roman" w:hAnsi="Times New Roman" w:eastAsia="宋体" w:cs="宋体"/>
      <w:color w:val="FF0000"/>
      <w:kern w:val="0"/>
      <w:sz w:val="24"/>
      <w:szCs w:val="20"/>
      <w:lang w:val="zh-CN" w:eastAsia="zh-CN" w:bidi="ar-SA"/>
    </w:rPr>
  </w:style>
  <w:style w:type="character" w:customStyle="1" w:styleId="64">
    <w:name w:val="图文标题 Char1"/>
    <w:link w:val="47"/>
    <w:qFormat/>
    <w:uiPriority w:val="0"/>
    <w:rPr>
      <w:rFonts w:ascii="Times New Roman" w:hAnsi="Times New Roman" w:eastAsia="宋体"/>
      <w:b/>
      <w:bCs/>
      <w:color w:val="auto"/>
      <w:sz w:val="24"/>
      <w:szCs w:val="21"/>
    </w:rPr>
  </w:style>
  <w:style w:type="paragraph" w:customStyle="1" w:styleId="65">
    <w:name w:val="表字体"/>
    <w:next w:val="1"/>
    <w:unhideWhenUsed/>
    <w:qFormat/>
    <w:uiPriority w:val="0"/>
    <w:pPr>
      <w:jc w:val="center"/>
    </w:pPr>
    <w:rPr>
      <w:rFonts w:hint="eastAsia" w:ascii="Times New Roman" w:hAnsi="Times New Roman" w:eastAsia="宋体" w:cs="Times New Roman"/>
      <w:sz w:val="21"/>
      <w:lang w:val="en-US" w:eastAsia="zh-CN" w:bidi="ar-SA"/>
    </w:rPr>
  </w:style>
  <w:style w:type="character" w:customStyle="1" w:styleId="66">
    <w:name w:val="font21"/>
    <w:basedOn w:val="34"/>
    <w:qFormat/>
    <w:uiPriority w:val="0"/>
    <w:rPr>
      <w:rFonts w:hint="eastAsia" w:ascii="宋体" w:hAnsi="宋体" w:eastAsia="宋体" w:cs="宋体"/>
      <w:color w:val="000000"/>
      <w:sz w:val="21"/>
      <w:szCs w:val="21"/>
      <w:u w:val="none"/>
    </w:rPr>
  </w:style>
  <w:style w:type="character" w:customStyle="1" w:styleId="67">
    <w:name w:val="font11"/>
    <w:basedOn w:val="34"/>
    <w:qFormat/>
    <w:uiPriority w:val="0"/>
    <w:rPr>
      <w:rFonts w:hint="default" w:ascii="Times New Roman" w:hAnsi="Times New Roman" w:cs="Times New Roman"/>
      <w:color w:val="000000"/>
      <w:sz w:val="21"/>
      <w:szCs w:val="21"/>
      <w:u w:val="none"/>
    </w:rPr>
  </w:style>
  <w:style w:type="character" w:customStyle="1" w:styleId="68">
    <w:name w:val="font31"/>
    <w:basedOn w:val="34"/>
    <w:qFormat/>
    <w:uiPriority w:val="0"/>
    <w:rPr>
      <w:rFonts w:hint="default" w:ascii="Times New Roman" w:hAnsi="Times New Roman" w:cs="Times New Roman"/>
      <w:color w:val="000000"/>
      <w:sz w:val="21"/>
      <w:szCs w:val="21"/>
      <w:u w:val="none"/>
      <w:vertAlign w:val="superscript"/>
    </w:rPr>
  </w:style>
  <w:style w:type="character" w:customStyle="1" w:styleId="69">
    <w:name w:val="font41"/>
    <w:basedOn w:val="34"/>
    <w:qFormat/>
    <w:uiPriority w:val="0"/>
    <w:rPr>
      <w:rFonts w:hint="default" w:ascii="Times New Roman" w:hAnsi="Times New Roman" w:cs="Times New Roman"/>
      <w:color w:val="000000"/>
      <w:sz w:val="21"/>
      <w:szCs w:val="21"/>
      <w:u w:val="none"/>
    </w:rPr>
  </w:style>
  <w:style w:type="paragraph" w:customStyle="1" w:styleId="70">
    <w:name w:val=" Char Char Char Char Char Char Char Char Char Char Char"/>
    <w:basedOn w:val="1"/>
    <w:qFormat/>
    <w:uiPriority w:val="0"/>
    <w:rPr>
      <w:sz w:val="24"/>
    </w:rPr>
  </w:style>
  <w:style w:type="paragraph" w:customStyle="1" w:styleId="71">
    <w:name w:val="6表文（锐）"/>
    <w:basedOn w:val="72"/>
    <w:qFormat/>
    <w:uiPriority w:val="0"/>
    <w:pPr>
      <w:topLinePunct/>
      <w:spacing w:line="240" w:lineRule="auto"/>
      <w:ind w:firstLine="0" w:firstLineChars="0"/>
      <w:jc w:val="center"/>
    </w:pPr>
    <w:rPr>
      <w:rFonts w:ascii="Times New Roman" w:hAnsi="Times New Roman" w:eastAsia="宋体" w:cs="Times New Roman"/>
      <w:color w:val="FF0000"/>
      <w:sz w:val="21"/>
      <w:szCs w:val="21"/>
    </w:rPr>
  </w:style>
  <w:style w:type="paragraph" w:customStyle="1" w:styleId="72">
    <w:name w:val="7正文（锐）"/>
    <w:basedOn w:val="1"/>
    <w:qFormat/>
    <w:uiPriority w:val="0"/>
    <w:pPr>
      <w:topLinePunct/>
      <w:spacing w:line="360" w:lineRule="auto"/>
      <w:ind w:firstLine="480" w:firstLineChars="200"/>
    </w:pPr>
    <w:rPr>
      <w:rFonts w:ascii="Times New Roman" w:hAnsi="Times New Roman" w:eastAsia="宋体" w:cs="Times New Roman"/>
      <w:sz w:val="24"/>
      <w:szCs w:val="24"/>
    </w:rPr>
  </w:style>
  <w:style w:type="paragraph" w:customStyle="1" w:styleId="73">
    <w:name w:val="表标题"/>
    <w:qFormat/>
    <w:uiPriority w:val="0"/>
    <w:pPr>
      <w:jc w:val="center"/>
    </w:pPr>
    <w:rPr>
      <w:rFonts w:ascii="Times New Roman" w:hAnsi="Times New Roman" w:eastAsia="宋体" w:cs="Times New Roman"/>
      <w:b/>
      <w:sz w:val="21"/>
      <w:lang w:val="en-US" w:eastAsia="zh-CN" w:bidi="ar-SA"/>
    </w:rPr>
  </w:style>
  <w:style w:type="paragraph" w:customStyle="1" w:styleId="74">
    <w:name w:val="表头1"/>
    <w:basedOn w:val="1"/>
    <w:next w:val="1"/>
    <w:qFormat/>
    <w:uiPriority w:val="0"/>
    <w:pPr>
      <w:numPr>
        <w:ilvl w:val="4"/>
        <w:numId w:val="5"/>
      </w:numPr>
      <w:tabs>
        <w:tab w:val="left" w:pos="0"/>
        <w:tab w:val="clear" w:pos="420"/>
      </w:tabs>
      <w:adjustRightInd/>
      <w:snapToGrid/>
      <w:spacing w:line="360" w:lineRule="auto"/>
      <w:ind w:left="0" w:firstLine="0" w:firstLineChars="0"/>
      <w:jc w:val="center"/>
      <w:outlineLvl w:val="7"/>
    </w:pPr>
    <w:rPr>
      <w:rFonts w:ascii="Times New Roman" w:hAnsi="Times New Roman" w:eastAsia="宋体"/>
      <w:b/>
    </w:rPr>
  </w:style>
  <w:style w:type="character" w:customStyle="1" w:styleId="75">
    <w:name w:val="font71"/>
    <w:basedOn w:val="34"/>
    <w:qFormat/>
    <w:uiPriority w:val="0"/>
    <w:rPr>
      <w:rFonts w:hint="default" w:ascii="Times New Roman" w:hAnsi="Times New Roman" w:cs="Times New Roman"/>
      <w:color w:val="FF0000"/>
      <w:sz w:val="21"/>
      <w:szCs w:val="21"/>
      <w:u w:val="none"/>
    </w:rPr>
  </w:style>
  <w:style w:type="character" w:customStyle="1" w:styleId="76">
    <w:name w:val="font101"/>
    <w:basedOn w:val="34"/>
    <w:qFormat/>
    <w:uiPriority w:val="0"/>
    <w:rPr>
      <w:rFonts w:hint="default" w:ascii="Times New Roman" w:hAnsi="Times New Roman" w:cs="Times New Roman"/>
      <w:color w:val="FF0000"/>
      <w:sz w:val="21"/>
      <w:szCs w:val="21"/>
      <w:u w:val="none"/>
      <w:vertAlign w:val="superscript"/>
    </w:rPr>
  </w:style>
  <w:style w:type="character" w:customStyle="1" w:styleId="77">
    <w:name w:val="font51"/>
    <w:basedOn w:val="34"/>
    <w:qFormat/>
    <w:uiPriority w:val="0"/>
    <w:rPr>
      <w:rFonts w:hint="default" w:ascii="Times New Roman" w:hAnsi="Times New Roman" w:cs="Times New Roman"/>
      <w:color w:val="0000FF"/>
      <w:sz w:val="21"/>
      <w:szCs w:val="21"/>
      <w:u w:val="none"/>
    </w:rPr>
  </w:style>
  <w:style w:type="character" w:customStyle="1" w:styleId="78">
    <w:name w:val="font112"/>
    <w:basedOn w:val="34"/>
    <w:qFormat/>
    <w:uiPriority w:val="0"/>
    <w:rPr>
      <w:rFonts w:hint="default" w:ascii="Times New Roman" w:hAnsi="Times New Roman" w:cs="Times New Roman"/>
      <w:color w:val="0000FF"/>
      <w:sz w:val="21"/>
      <w:szCs w:val="21"/>
      <w:u w:val="none"/>
      <w:vertAlign w:val="superscript"/>
    </w:rPr>
  </w:style>
  <w:style w:type="character" w:customStyle="1" w:styleId="79">
    <w:name w:val="font91"/>
    <w:basedOn w:val="34"/>
    <w:qFormat/>
    <w:uiPriority w:val="0"/>
    <w:rPr>
      <w:rFonts w:hint="default" w:ascii="Times New Roman" w:hAnsi="Times New Roman" w:cs="Times New Roman"/>
      <w:color w:val="7030A0"/>
      <w:sz w:val="21"/>
      <w:szCs w:val="21"/>
      <w:u w:val="none"/>
    </w:rPr>
  </w:style>
  <w:style w:type="character" w:customStyle="1" w:styleId="80">
    <w:name w:val="font121"/>
    <w:basedOn w:val="34"/>
    <w:qFormat/>
    <w:uiPriority w:val="0"/>
    <w:rPr>
      <w:rFonts w:hint="default" w:ascii="Times New Roman" w:hAnsi="Times New Roman" w:cs="Times New Roman"/>
      <w:color w:val="7030A0"/>
      <w:sz w:val="21"/>
      <w:szCs w:val="21"/>
      <w:u w:val="none"/>
      <w:vertAlign w:val="superscript"/>
    </w:rPr>
  </w:style>
  <w:style w:type="character" w:customStyle="1" w:styleId="81">
    <w:name w:val="font61"/>
    <w:basedOn w:val="34"/>
    <w:qFormat/>
    <w:uiPriority w:val="0"/>
    <w:rPr>
      <w:rFonts w:hint="eastAsia" w:ascii="宋体" w:hAnsi="宋体" w:eastAsia="宋体" w:cs="宋体"/>
      <w:color w:val="FF0000"/>
      <w:sz w:val="20"/>
      <w:szCs w:val="20"/>
      <w:u w:val="none"/>
    </w:rPr>
  </w:style>
  <w:style w:type="character" w:customStyle="1" w:styleId="82">
    <w:name w:val="font01"/>
    <w:basedOn w:val="34"/>
    <w:qFormat/>
    <w:uiPriority w:val="0"/>
    <w:rPr>
      <w:rFonts w:hint="default" w:ascii="Times New Roman" w:hAnsi="Times New Roman" w:cs="Times New Roman"/>
      <w:color w:val="FF0000"/>
      <w:sz w:val="20"/>
      <w:szCs w:val="20"/>
      <w:u w:val="none"/>
    </w:rPr>
  </w:style>
  <w:style w:type="character" w:customStyle="1" w:styleId="83">
    <w:name w:val="font81"/>
    <w:basedOn w:val="34"/>
    <w:qFormat/>
    <w:uiPriority w:val="0"/>
    <w:rPr>
      <w:rFonts w:hint="default" w:ascii="Times New Roman" w:hAnsi="Times New Roman" w:cs="Times New Roman"/>
      <w:color w:val="FF0000"/>
      <w:sz w:val="20"/>
      <w:szCs w:val="20"/>
      <w:u w:val="none"/>
      <w:vertAlign w:val="superscript"/>
    </w:rPr>
  </w:style>
  <w:style w:type="table" w:customStyle="1" w:styleId="84">
    <w:name w:val="Table Normal"/>
    <w:unhideWhenUsed/>
    <w:qFormat/>
    <w:uiPriority w:val="0"/>
    <w:tblPr>
      <w:tblCellMar>
        <w:top w:w="0" w:type="dxa"/>
        <w:left w:w="0" w:type="dxa"/>
        <w:bottom w:w="0" w:type="dxa"/>
        <w:right w:w="0" w:type="dxa"/>
      </w:tblCellMar>
    </w:tblPr>
  </w:style>
  <w:style w:type="paragraph" w:customStyle="1" w:styleId="85">
    <w:name w:val="表格内容bg"/>
    <w:basedOn w:val="1"/>
    <w:qFormat/>
    <w:uiPriority w:val="0"/>
    <w:pPr>
      <w:spacing w:line="240" w:lineRule="auto"/>
      <w:ind w:firstLine="0" w:firstLineChars="0"/>
      <w:jc w:val="center"/>
    </w:pPr>
    <w:rPr>
      <w:rFonts w:ascii="Times New Roman" w:hAnsi="Times New Roman" w:eastAsia="宋体"/>
      <w:sz w:val="21"/>
    </w:rPr>
  </w:style>
  <w:style w:type="paragraph" w:customStyle="1" w:styleId="86">
    <w:name w:val="16正文"/>
    <w:basedOn w:val="1"/>
    <w:qFormat/>
    <w:uiPriority w:val="0"/>
    <w:pPr>
      <w:widowControl/>
      <w:shd w:val="clear" w:color="auto" w:fill="FFFFFF"/>
      <w:spacing w:after="50" w:afterLines="50" w:line="360" w:lineRule="auto"/>
      <w:ind w:firstLine="880" w:firstLineChars="200"/>
      <w:jc w:val="left"/>
    </w:pPr>
    <w:rPr>
      <w:rFonts w:hint="eastAsia" w:ascii="Times New Roman" w:hAnsi="Times New Roman" w:eastAsia="宋体" w:cs="黑体"/>
      <w:bCs/>
      <w:color w:val="000000" w:themeColor="text1"/>
      <w:kern w:val="0"/>
      <w:sz w:val="24"/>
      <w:szCs w:val="24"/>
      <w14:textFill>
        <w14:solidFill>
          <w14:schemeClr w14:val="tx1"/>
        </w14:solidFill>
      </w14:textFill>
    </w:rPr>
  </w:style>
  <w:style w:type="paragraph" w:customStyle="1" w:styleId="87">
    <w:name w:val="正文(首行缩进)"/>
    <w:basedOn w:val="1"/>
    <w:qFormat/>
    <w:uiPriority w:val="0"/>
    <w:pPr>
      <w:ind w:firstLine="420"/>
    </w:pPr>
    <w:rPr>
      <w:kern w:val="24"/>
    </w:rPr>
  </w:style>
  <w:style w:type="paragraph" w:customStyle="1" w:styleId="88">
    <w:name w:val="表正文"/>
    <w:basedOn w:val="1"/>
    <w:qFormat/>
    <w:uiPriority w:val="0"/>
    <w:pPr>
      <w:spacing w:line="360" w:lineRule="auto"/>
      <w:ind w:firstLine="200" w:firstLineChars="200"/>
    </w:pPr>
    <w:rPr>
      <w:sz w:val="24"/>
    </w:rPr>
  </w:style>
  <w:style w:type="paragraph" w:customStyle="1" w:styleId="89">
    <w:name w:val="表哥的格式"/>
    <w:qFormat/>
    <w:uiPriority w:val="0"/>
    <w:pPr>
      <w:widowControl w:val="0"/>
      <w:autoSpaceDE w:val="0"/>
      <w:autoSpaceDN w:val="0"/>
      <w:adjustRightInd w:val="0"/>
      <w:snapToGrid w:val="0"/>
      <w:spacing w:line="360" w:lineRule="auto"/>
      <w:jc w:val="center"/>
    </w:pPr>
    <w:rPr>
      <w:rFonts w:ascii="Times New Roman" w:hAnsi="Times New Roman" w:eastAsia="宋体" w:cs="Times New Roman"/>
      <w:sz w:val="24"/>
      <w:szCs w:val="21"/>
      <w:lang w:val="en-US" w:eastAsia="zh-CN" w:bidi="ar-SA"/>
    </w:rPr>
  </w:style>
  <w:style w:type="paragraph" w:customStyle="1" w:styleId="90">
    <w:name w:val="z表格内文字"/>
    <w:basedOn w:val="1"/>
    <w:qFormat/>
    <w:uiPriority w:val="0"/>
    <w:pPr>
      <w:jc w:val="center"/>
    </w:pPr>
    <w:rPr>
      <w:color w:val="000000"/>
      <w:szCs w:val="21"/>
    </w:rPr>
  </w:style>
  <w:style w:type="paragraph" w:customStyle="1" w:styleId="91">
    <w:name w:val="书表文字"/>
    <w:qFormat/>
    <w:uiPriority w:val="0"/>
    <w:pPr>
      <w:widowControl w:val="0"/>
    </w:pPr>
    <w:rPr>
      <w:rFonts w:ascii="Times New Roman" w:hAnsi="Times New Roman" w:eastAsia="宋体" w:cs="Courier New"/>
      <w:kern w:val="2"/>
      <w:sz w:val="21"/>
      <w:szCs w:val="21"/>
      <w:lang w:val="en-US" w:eastAsia="zh-CN" w:bidi="ar-SA"/>
    </w:rPr>
  </w:style>
  <w:style w:type="character" w:customStyle="1" w:styleId="92">
    <w:name w:val="fontstyle01"/>
    <w:basedOn w:val="34"/>
    <w:qFormat/>
    <w:uiPriority w:val="0"/>
    <w:rPr>
      <w:rFonts w:ascii="宋体" w:hAnsi="宋体" w:eastAsia="宋体" w:cs="宋体"/>
      <w:color w:val="000000"/>
      <w:sz w:val="22"/>
      <w:szCs w:val="22"/>
    </w:rPr>
  </w:style>
  <w:style w:type="paragraph" w:customStyle="1" w:styleId="93">
    <w:name w:val="表格内文字"/>
    <w:basedOn w:val="94"/>
    <w:next w:val="1"/>
    <w:qFormat/>
    <w:uiPriority w:val="0"/>
    <w:pPr>
      <w:widowControl w:val="0"/>
      <w:tabs>
        <w:tab w:val="left" w:pos="3825"/>
        <w:tab w:val="left" w:pos="4680"/>
      </w:tabs>
      <w:adjustRightInd w:val="0"/>
      <w:snapToGrid w:val="0"/>
      <w:spacing w:line="240" w:lineRule="auto"/>
      <w:ind w:firstLine="480" w:firstLineChars="200"/>
    </w:pPr>
    <w:rPr>
      <w:rFonts w:ascii="Calibri" w:hAnsi="Calibri" w:cs="宋体"/>
      <w:b w:val="0"/>
      <w:sz w:val="21"/>
      <w:szCs w:val="24"/>
    </w:rPr>
  </w:style>
  <w:style w:type="paragraph" w:customStyle="1" w:styleId="94">
    <w:name w:val="表格名称"/>
    <w:qFormat/>
    <w:uiPriority w:val="0"/>
    <w:pPr>
      <w:tabs>
        <w:tab w:val="left" w:pos="3825"/>
        <w:tab w:val="left" w:pos="4680"/>
      </w:tabs>
      <w:spacing w:line="360" w:lineRule="auto"/>
      <w:jc w:val="center"/>
    </w:pPr>
    <w:rPr>
      <w:rFonts w:ascii="Times New Roman" w:hAnsi="Times New Roman" w:eastAsia="宋体" w:cs="Times New Roman"/>
      <w:b/>
      <w:sz w:val="24"/>
      <w:szCs w:val="21"/>
      <w:lang w:val="en-US" w:eastAsia="zh-CN" w:bidi="ar-SA"/>
    </w:rPr>
  </w:style>
  <w:style w:type="paragraph" w:customStyle="1" w:styleId="95">
    <w:name w:val="Table Paragraph"/>
    <w:basedOn w:val="1"/>
    <w:qFormat/>
    <w:uiPriority w:val="1"/>
    <w:pPr>
      <w:jc w:val="center"/>
    </w:pPr>
    <w:rPr>
      <w:rFonts w:ascii="宋体" w:hAnsi="宋体" w:cs="宋体"/>
      <w:lang w:val="zh-CN" w:bidi="zh-CN"/>
    </w:rPr>
  </w:style>
  <w:style w:type="paragraph" w:customStyle="1" w:styleId="96">
    <w:name w:val="注释"/>
    <w:qFormat/>
    <w:uiPriority w:val="0"/>
    <w:pPr>
      <w:widowControl w:val="0"/>
      <w:adjustRightInd w:val="0"/>
      <w:snapToGrid w:val="0"/>
      <w:spacing w:line="360" w:lineRule="auto"/>
      <w:jc w:val="both"/>
      <w:textAlignment w:val="baseline"/>
    </w:pPr>
    <w:rPr>
      <w:rFonts w:ascii="Calibri" w:hAnsi="Calibri" w:eastAsia="宋体" w:cs="宋体"/>
      <w:snapToGrid w:val="0"/>
      <w:spacing w:val="4"/>
      <w:sz w:val="24"/>
      <w:szCs w:val="21"/>
      <w:lang w:val="en-US" w:eastAsia="zh-CN" w:bidi="ar-SA"/>
    </w:rPr>
  </w:style>
  <w:style w:type="paragraph" w:customStyle="1" w:styleId="97">
    <w:name w:val="表内容"/>
    <w:basedOn w:val="1"/>
    <w:qFormat/>
    <w:uiPriority w:val="0"/>
    <w:pPr>
      <w:widowControl/>
      <w:adjustRightInd w:val="0"/>
      <w:jc w:val="center"/>
    </w:pPr>
    <w:rPr>
      <w:szCs w:val="21"/>
    </w:rPr>
  </w:style>
  <w:style w:type="character" w:customStyle="1" w:styleId="98">
    <w:name w:val="报告正文 Char"/>
    <w:link w:val="44"/>
    <w:qFormat/>
    <w:uiPriority w:val="0"/>
    <w:rPr>
      <w:rFonts w:ascii="Times New Roman" w:hAnsi="Times New Roman" w:eastAsia="宋体"/>
      <w:color w:val="000000"/>
      <w:sz w:val="24"/>
      <w:szCs w:val="24"/>
    </w:rPr>
  </w:style>
  <w:style w:type="paragraph" w:customStyle="1" w:styleId="99">
    <w:name w:val="表 内容"/>
    <w:qFormat/>
    <w:uiPriority w:val="0"/>
    <w:pPr>
      <w:widowControl w:val="0"/>
      <w:spacing w:line="360" w:lineRule="auto"/>
      <w:jc w:val="center"/>
    </w:pPr>
    <w:rPr>
      <w:rFonts w:ascii="Calibri" w:hAnsi="宋体" w:eastAsia="宋体" w:cs="Times New Roman"/>
      <w:kern w:val="2"/>
      <w:sz w:val="24"/>
      <w:lang w:val="en-US" w:eastAsia="zh-CN" w:bidi="ar-SA"/>
    </w:rPr>
  </w:style>
  <w:style w:type="paragraph" w:customStyle="1" w:styleId="100">
    <w:name w:val="样式 首行缩进:  2 字符1"/>
    <w:basedOn w:val="1"/>
    <w:qFormat/>
    <w:uiPriority w:val="0"/>
    <w:pPr>
      <w:adjustRightInd w:val="0"/>
      <w:snapToGrid w:val="0"/>
      <w:spacing w:line="360" w:lineRule="auto"/>
      <w:ind w:firstLine="480" w:firstLineChars="200"/>
    </w:pPr>
    <w:rPr>
      <w:rFonts w:hint="eastAsia" w:ascii="宋体" w:hAnsi="宋体"/>
      <w:sz w:val="24"/>
      <w:szCs w:val="20"/>
    </w:rPr>
  </w:style>
  <w:style w:type="paragraph" w:customStyle="1" w:styleId="101">
    <w:name w:val="0报告正文"/>
    <w:basedOn w:val="1"/>
    <w:qFormat/>
    <w:uiPriority w:val="0"/>
    <w:pPr>
      <w:autoSpaceDE w:val="0"/>
      <w:autoSpaceDN w:val="0"/>
      <w:spacing w:line="360" w:lineRule="auto"/>
      <w:ind w:firstLine="482"/>
    </w:pPr>
    <w:rPr>
      <w:rFonts w:eastAsia="Times New Roman"/>
      <w:color w:val="000000"/>
      <w:kern w:val="0"/>
      <w:sz w:val="24"/>
      <w:szCs w:val="20"/>
    </w:rPr>
  </w:style>
  <w:style w:type="paragraph" w:customStyle="1" w:styleId="102">
    <w:name w:val="表格内容b"/>
    <w:basedOn w:val="1"/>
    <w:qFormat/>
    <w:uiPriority w:val="0"/>
    <w:pPr>
      <w:jc w:val="center"/>
    </w:pPr>
  </w:style>
  <w:style w:type="paragraph" w:customStyle="1" w:styleId="103">
    <w:name w:val="文"/>
    <w:basedOn w:val="1"/>
    <w:qFormat/>
    <w:uiPriority w:val="0"/>
    <w:pPr>
      <w:widowControl/>
      <w:spacing w:line="360" w:lineRule="auto"/>
      <w:ind w:firstLine="200" w:firstLineChars="200"/>
    </w:pPr>
    <w:rPr>
      <w:bCs/>
      <w:kern w:val="0"/>
      <w:sz w:val="24"/>
      <w:szCs w:val="28"/>
    </w:rPr>
  </w:style>
  <w:style w:type="paragraph" w:customStyle="1" w:styleId="104">
    <w:name w:val="a表格内文字"/>
    <w:basedOn w:val="1"/>
    <w:qFormat/>
    <w:uiPriority w:val="0"/>
    <w:pPr>
      <w:jc w:val="center"/>
    </w:pPr>
    <w:rPr>
      <w:color w:val="000000"/>
      <w:szCs w:val="21"/>
    </w:rPr>
  </w:style>
  <w:style w:type="paragraph" w:customStyle="1" w:styleId="105">
    <w:name w:val="金皇-正文"/>
    <w:basedOn w:val="1"/>
    <w:qFormat/>
    <w:uiPriority w:val="0"/>
    <w:pPr>
      <w:spacing w:line="360" w:lineRule="auto"/>
      <w:ind w:firstLine="200" w:firstLineChars="200"/>
    </w:pPr>
    <w:rPr>
      <w:sz w:val="24"/>
    </w:rPr>
  </w:style>
  <w:style w:type="paragraph" w:customStyle="1" w:styleId="106">
    <w:name w:val="样式 黑色 行距: 最小值 26 磅"/>
    <w:basedOn w:val="1"/>
    <w:qFormat/>
    <w:uiPriority w:val="0"/>
    <w:pPr>
      <w:ind w:firstLine="200" w:firstLineChars="200"/>
      <w:jc w:val="left"/>
    </w:pPr>
    <w:rPr>
      <w:rFonts w:eastAsia="楷体_GB2312" w:cs="宋体"/>
      <w:color w:val="000000"/>
      <w:spacing w:val="6"/>
      <w:sz w:val="28"/>
      <w:szCs w:val="20"/>
    </w:rPr>
  </w:style>
  <w:style w:type="paragraph" w:customStyle="1" w:styleId="107">
    <w:name w:val="北京表格内容"/>
    <w:basedOn w:val="1"/>
    <w:next w:val="1"/>
    <w:qFormat/>
    <w:uiPriority w:val="0"/>
    <w:pPr>
      <w:widowControl/>
      <w:spacing w:line="280" w:lineRule="exact"/>
      <w:jc w:val="center"/>
    </w:pPr>
    <w:rPr>
      <w:bCs/>
      <w:color w:val="000000"/>
      <w:sz w:val="18"/>
    </w:rPr>
  </w:style>
  <w:style w:type="paragraph" w:customStyle="1" w:styleId="108">
    <w:name w:val="金皇-标题3"/>
    <w:basedOn w:val="4"/>
    <w:qFormat/>
    <w:uiPriority w:val="0"/>
    <w:pPr>
      <w:keepNext w:val="0"/>
      <w:keepLines w:val="0"/>
      <w:numPr>
        <w:numId w:val="6"/>
      </w:numPr>
      <w:tabs>
        <w:tab w:val="left" w:pos="644"/>
        <w:tab w:val="clear" w:pos="420"/>
      </w:tabs>
      <w:adjustRightInd w:val="0"/>
      <w:jc w:val="left"/>
    </w:pPr>
    <w:rPr>
      <w:rFonts w:eastAsia="黑体"/>
      <w:sz w:val="28"/>
      <w:szCs w:val="30"/>
    </w:rPr>
  </w:style>
  <w:style w:type="paragraph" w:customStyle="1" w:styleId="109">
    <w:name w:val="表格内文字（两端对齐）"/>
    <w:basedOn w:val="93"/>
    <w:qFormat/>
    <w:uiPriority w:val="0"/>
    <w:pPr>
      <w:tabs>
        <w:tab w:val="left" w:pos="1980"/>
      </w:tabs>
      <w:jc w:val="both"/>
    </w:pPr>
  </w:style>
  <w:style w:type="paragraph" w:customStyle="1" w:styleId="110">
    <w:name w:val="无编号标题2"/>
    <w:basedOn w:val="3"/>
    <w:next w:val="1"/>
    <w:link w:val="145"/>
    <w:qFormat/>
    <w:uiPriority w:val="0"/>
    <w:pPr>
      <w:numPr>
        <w:ilvl w:val="0"/>
        <w:numId w:val="0"/>
      </w:numPr>
      <w:tabs>
        <w:tab w:val="left" w:pos="0"/>
        <w:tab w:val="clear" w:pos="420"/>
      </w:tabs>
    </w:pPr>
    <w:rPr>
      <w:rFonts w:ascii="Times New Roman" w:hAnsi="Times New Roman" w:eastAsia="宋体"/>
      <w:sz w:val="24"/>
    </w:rPr>
  </w:style>
  <w:style w:type="character" w:customStyle="1" w:styleId="111">
    <w:name w:val="disabled"/>
    <w:basedOn w:val="34"/>
    <w:qFormat/>
    <w:uiPriority w:val="0"/>
    <w:rPr>
      <w:vanish/>
    </w:rPr>
  </w:style>
  <w:style w:type="character" w:customStyle="1" w:styleId="112">
    <w:name w:val="znspantitle"/>
    <w:basedOn w:val="34"/>
    <w:qFormat/>
    <w:uiPriority w:val="0"/>
    <w:rPr>
      <w:b/>
      <w:bCs/>
      <w:color w:val="333333"/>
    </w:rPr>
  </w:style>
  <w:style w:type="paragraph" w:customStyle="1" w:styleId="113">
    <w:name w:val="Table Text"/>
    <w:basedOn w:val="1"/>
    <w:semiHidden/>
    <w:qFormat/>
    <w:uiPriority w:val="0"/>
    <w:rPr>
      <w:rFonts w:ascii="宋体" w:hAnsi="宋体" w:eastAsia="宋体" w:cs="宋体"/>
      <w:sz w:val="24"/>
      <w:szCs w:val="24"/>
      <w:lang w:val="en-US" w:eastAsia="en-US" w:bidi="ar-SA"/>
    </w:rPr>
  </w:style>
  <w:style w:type="paragraph" w:customStyle="1" w:styleId="114">
    <w:name w:val="文本"/>
    <w:basedOn w:val="1"/>
    <w:qFormat/>
    <w:uiPriority w:val="0"/>
    <w:pPr>
      <w:spacing w:line="360" w:lineRule="auto"/>
      <w:ind w:firstLine="200" w:firstLineChars="200"/>
    </w:pPr>
    <w:rPr>
      <w:rFonts w:ascii="Calibri" w:hAnsi="Calibri" w:cs="宋体"/>
      <w:sz w:val="24"/>
    </w:rPr>
  </w:style>
  <w:style w:type="paragraph" w:customStyle="1" w:styleId="115">
    <w:name w:val="报告书表格文（林）"/>
    <w:basedOn w:val="1"/>
    <w:qFormat/>
    <w:uiPriority w:val="0"/>
    <w:pPr>
      <w:spacing w:line="280" w:lineRule="exact"/>
      <w:ind w:firstLine="0" w:firstLineChars="0"/>
      <w:jc w:val="center"/>
    </w:pPr>
    <w:rPr>
      <w:rFonts w:ascii="Times New Roman" w:hAnsi="Times New Roman"/>
      <w:sz w:val="21"/>
    </w:rPr>
  </w:style>
  <w:style w:type="paragraph" w:customStyle="1" w:styleId="116">
    <w:name w:val="正文格式111"/>
    <w:basedOn w:val="1"/>
    <w:qFormat/>
    <w:uiPriority w:val="0"/>
    <w:pPr>
      <w:spacing w:line="420" w:lineRule="auto"/>
      <w:ind w:firstLine="480" w:firstLineChars="200"/>
    </w:pPr>
    <w:rPr>
      <w:bCs/>
      <w:kern w:val="0"/>
      <w:sz w:val="24"/>
    </w:rPr>
  </w:style>
  <w:style w:type="paragraph" w:customStyle="1" w:styleId="117">
    <w:name w:val="正文11111111111"/>
    <w:basedOn w:val="1"/>
    <w:qFormat/>
    <w:uiPriority w:val="0"/>
    <w:pPr>
      <w:spacing w:line="360" w:lineRule="auto"/>
      <w:ind w:firstLine="480" w:firstLineChars="200"/>
    </w:pPr>
    <w:rPr>
      <w:rFonts w:ascii="宋体" w:hAnsi="宋体"/>
      <w:sz w:val="24"/>
    </w:rPr>
  </w:style>
  <w:style w:type="paragraph" w:customStyle="1" w:styleId="118">
    <w:name w:val="111正文的格式"/>
    <w:basedOn w:val="1"/>
    <w:qFormat/>
    <w:uiPriority w:val="0"/>
    <w:pPr>
      <w:adjustRightInd w:val="0"/>
      <w:snapToGrid w:val="0"/>
      <w:spacing w:line="360" w:lineRule="auto"/>
      <w:ind w:firstLine="480" w:firstLineChars="200"/>
    </w:pPr>
    <w:rPr>
      <w:color w:val="0000FF"/>
      <w:sz w:val="24"/>
    </w:rPr>
  </w:style>
  <w:style w:type="paragraph" w:customStyle="1" w:styleId="119">
    <w:name w:val="标题3"/>
    <w:basedOn w:val="1"/>
    <w:qFormat/>
    <w:uiPriority w:val="0"/>
    <w:pPr>
      <w:spacing w:line="360" w:lineRule="auto"/>
      <w:outlineLvl w:val="2"/>
    </w:pPr>
    <w:rPr>
      <w:b/>
      <w:sz w:val="24"/>
    </w:rPr>
  </w:style>
  <w:style w:type="paragraph" w:customStyle="1" w:styleId="120">
    <w:name w:val="Other|1"/>
    <w:basedOn w:val="1"/>
    <w:qFormat/>
    <w:uiPriority w:val="0"/>
    <w:pPr>
      <w:widowControl w:val="0"/>
      <w:spacing w:after="30" w:line="425" w:lineRule="auto"/>
      <w:ind w:firstLine="400"/>
      <w:jc w:val="both"/>
    </w:pPr>
    <w:rPr>
      <w:rFonts w:ascii="宋体" w:hAnsi="宋体" w:cs="宋体"/>
      <w:sz w:val="24"/>
      <w:lang w:val="zh-TW" w:eastAsia="zh-TW" w:bidi="zh-TW"/>
    </w:rPr>
  </w:style>
  <w:style w:type="paragraph" w:customStyle="1" w:styleId="121">
    <w:name w:val="表格内容（）"/>
    <w:basedOn w:val="1"/>
    <w:qFormat/>
    <w:uiPriority w:val="0"/>
    <w:pPr>
      <w:adjustRightInd w:val="0"/>
      <w:snapToGrid w:val="0"/>
      <w:jc w:val="center"/>
    </w:pPr>
    <w:rPr>
      <w:color w:val="00B0F0"/>
      <w:szCs w:val="21"/>
      <w:lang w:val="zh-CN"/>
    </w:rPr>
  </w:style>
  <w:style w:type="paragraph" w:customStyle="1" w:styleId="122">
    <w:name w:val="表表表表"/>
    <w:basedOn w:val="123"/>
    <w:qFormat/>
    <w:uiPriority w:val="0"/>
    <w:pPr>
      <w:jc w:val="center"/>
    </w:pPr>
    <w:rPr>
      <w:rFonts w:eastAsia="仿宋"/>
      <w:szCs w:val="21"/>
    </w:rPr>
  </w:style>
  <w:style w:type="paragraph" w:customStyle="1" w:styleId="123">
    <w:name w:val="表格文字"/>
    <w:basedOn w:val="1"/>
    <w:qFormat/>
    <w:uiPriority w:val="0"/>
    <w:pPr>
      <w:spacing w:line="560" w:lineRule="exact"/>
      <w:ind w:firstLine="0" w:firstLineChars="0"/>
      <w:jc w:val="center"/>
    </w:pPr>
    <w:rPr>
      <w:rFonts w:eastAsia="方正楷体简体"/>
      <w:szCs w:val="24"/>
    </w:rPr>
  </w:style>
  <w:style w:type="character" w:customStyle="1" w:styleId="124">
    <w:name w:val="fontstyle21"/>
    <w:basedOn w:val="34"/>
    <w:qFormat/>
    <w:uiPriority w:val="0"/>
    <w:rPr>
      <w:rFonts w:ascii="TimesNewRomanPSMT" w:hAnsi="TimesNewRomanPSMT" w:eastAsia="TimesNewRomanPSMT" w:cs="TimesNewRomanPSMT"/>
      <w:color w:val="000000"/>
      <w:sz w:val="24"/>
      <w:szCs w:val="24"/>
    </w:rPr>
  </w:style>
  <w:style w:type="paragraph" w:customStyle="1" w:styleId="125">
    <w:name w:val="22标题2"/>
    <w:basedOn w:val="126"/>
    <w:qFormat/>
    <w:uiPriority w:val="99"/>
    <w:pPr>
      <w:adjustRightInd w:val="0"/>
      <w:snapToGrid w:val="0"/>
    </w:pPr>
    <w:rPr>
      <w:color w:val="0000FF"/>
    </w:rPr>
  </w:style>
  <w:style w:type="paragraph" w:customStyle="1" w:styleId="126">
    <w:name w:val="标题2"/>
    <w:basedOn w:val="16"/>
    <w:qFormat/>
    <w:uiPriority w:val="99"/>
    <w:pPr>
      <w:spacing w:line="360" w:lineRule="auto"/>
      <w:outlineLvl w:val="1"/>
    </w:pPr>
    <w:rPr>
      <w:rFonts w:ascii="Times New Roman" w:hAnsi="Times New Roman" w:eastAsia="黑体"/>
      <w:sz w:val="30"/>
      <w:szCs w:val="30"/>
    </w:rPr>
  </w:style>
  <w:style w:type="paragraph" w:customStyle="1" w:styleId="127">
    <w:name w:val="三级标题（）"/>
    <w:basedOn w:val="1"/>
    <w:qFormat/>
    <w:uiPriority w:val="99"/>
    <w:pPr>
      <w:tabs>
        <w:tab w:val="left" w:pos="3840"/>
      </w:tabs>
      <w:spacing w:line="360" w:lineRule="auto"/>
      <w:outlineLvl w:val="2"/>
    </w:pPr>
    <w:rPr>
      <w:rFonts w:eastAsia="黑体"/>
      <w:color w:val="5B9BD5"/>
      <w:sz w:val="28"/>
      <w:szCs w:val="30"/>
    </w:rPr>
  </w:style>
  <w:style w:type="paragraph" w:customStyle="1" w:styleId="128">
    <w:name w:val="111表格"/>
    <w:basedOn w:val="1"/>
    <w:qFormat/>
    <w:uiPriority w:val="99"/>
    <w:pPr>
      <w:autoSpaceDE w:val="0"/>
      <w:autoSpaceDN w:val="0"/>
      <w:adjustRightInd w:val="0"/>
      <w:snapToGrid w:val="0"/>
      <w:spacing w:line="360" w:lineRule="auto"/>
      <w:ind w:firstLine="200" w:firstLineChars="200"/>
    </w:pPr>
    <w:rPr>
      <w:kern w:val="0"/>
      <w:szCs w:val="21"/>
    </w:rPr>
  </w:style>
  <w:style w:type="paragraph" w:customStyle="1" w:styleId="129">
    <w:name w:val="表头"/>
    <w:basedOn w:val="1"/>
    <w:next w:val="1"/>
    <w:qFormat/>
    <w:uiPriority w:val="0"/>
    <w:pPr>
      <w:numPr>
        <w:ilvl w:val="4"/>
        <w:numId w:val="7"/>
      </w:numPr>
      <w:tabs>
        <w:tab w:val="left" w:pos="420"/>
        <w:tab w:val="clear" w:pos="0"/>
      </w:tabs>
      <w:spacing w:line="360" w:lineRule="auto"/>
      <w:ind w:left="0" w:firstLine="0" w:firstLineChars="0"/>
      <w:jc w:val="center"/>
    </w:pPr>
    <w:rPr>
      <w:b/>
      <w:szCs w:val="22"/>
    </w:rPr>
  </w:style>
  <w:style w:type="paragraph" w:customStyle="1" w:styleId="130">
    <w:name w:val="@正文"/>
    <w:basedOn w:val="1"/>
    <w:qFormat/>
    <w:uiPriority w:val="0"/>
    <w:pPr>
      <w:tabs>
        <w:tab w:val="left" w:pos="1980"/>
        <w:tab w:val="left" w:pos="3825"/>
        <w:tab w:val="left" w:pos="4680"/>
      </w:tabs>
      <w:spacing w:line="360" w:lineRule="auto"/>
      <w:ind w:firstLine="200" w:firstLineChars="200"/>
      <w:jc w:val="left"/>
    </w:pPr>
    <w:rPr>
      <w:rFonts w:hAnsi="宋体"/>
      <w:kern w:val="0"/>
      <w:szCs w:val="21"/>
    </w:rPr>
  </w:style>
  <w:style w:type="character" w:customStyle="1" w:styleId="131">
    <w:name w:val="15"/>
    <w:qFormat/>
    <w:uiPriority w:val="0"/>
    <w:rPr>
      <w:rFonts w:hint="default" w:ascii="Times New Roman" w:hAnsi="Times New Roman" w:cs="Times New Roman"/>
    </w:rPr>
  </w:style>
  <w:style w:type="paragraph" w:customStyle="1" w:styleId="132">
    <w:name w:val="金皇-表（图）头"/>
    <w:basedOn w:val="1"/>
    <w:qFormat/>
    <w:uiPriority w:val="0"/>
    <w:pPr>
      <w:adjustRightInd w:val="0"/>
      <w:snapToGrid w:val="0"/>
      <w:jc w:val="center"/>
      <w:outlineLvl w:val="4"/>
    </w:pPr>
    <w:rPr>
      <w:rFonts w:eastAsia="黑体"/>
      <w:b/>
      <w:sz w:val="24"/>
    </w:rPr>
  </w:style>
  <w:style w:type="paragraph" w:customStyle="1" w:styleId="133">
    <w:name w:val="111正文格式111"/>
    <w:basedOn w:val="1"/>
    <w:qFormat/>
    <w:uiPriority w:val="99"/>
    <w:pPr>
      <w:adjustRightInd w:val="0"/>
      <w:snapToGrid w:val="0"/>
      <w:spacing w:line="360" w:lineRule="auto"/>
      <w:ind w:firstLine="200" w:firstLineChars="200"/>
    </w:pPr>
    <w:rPr>
      <w:kern w:val="0"/>
    </w:rPr>
  </w:style>
  <w:style w:type="paragraph" w:customStyle="1" w:styleId="134">
    <w:name w:val="（环评）表格内容"/>
    <w:basedOn w:val="1"/>
    <w:next w:val="15"/>
    <w:qFormat/>
    <w:uiPriority w:val="0"/>
    <w:pPr>
      <w:adjustRightInd w:val="0"/>
      <w:snapToGrid w:val="0"/>
      <w:spacing w:line="240" w:lineRule="auto"/>
      <w:ind w:firstLine="0" w:firstLineChars="0"/>
      <w:jc w:val="center"/>
    </w:pPr>
    <w:rPr>
      <w:rFonts w:ascii="Times New Roman" w:hAnsi="Times New Roman" w:eastAsia="宋体"/>
      <w:iCs/>
      <w:szCs w:val="21"/>
    </w:rPr>
  </w:style>
  <w:style w:type="character" w:customStyle="1" w:styleId="135">
    <w:name w:val="正文缩进 Char"/>
    <w:link w:val="13"/>
    <w:qFormat/>
    <w:uiPriority w:val="0"/>
    <w:rPr>
      <w:rFonts w:ascii="Calibri" w:hAnsi="Calibri"/>
      <w:sz w:val="28"/>
    </w:rPr>
  </w:style>
  <w:style w:type="paragraph" w:customStyle="1" w:styleId="136">
    <w:name w:val="1表格（5宋.）"/>
    <w:basedOn w:val="1"/>
    <w:qFormat/>
    <w:uiPriority w:val="0"/>
    <w:pPr>
      <w:shd w:val="clear" w:color="auto" w:fill="auto"/>
      <w:spacing w:line="240" w:lineRule="auto"/>
      <w:ind w:firstLine="0" w:firstLineChars="0"/>
      <w:jc w:val="center"/>
    </w:pPr>
    <w:rPr>
      <w:rFonts w:ascii="宋体" w:hAnsi="宋体" w:eastAsia="宋体" w:cs="宋体"/>
      <w:color w:val="000000"/>
      <w:sz w:val="21"/>
      <w:szCs w:val="22"/>
      <w:u w:val="none"/>
      <w:shd w:val="clear" w:color="auto" w:fill="auto"/>
      <w:lang w:val="zh-TW" w:eastAsia="zh-TW" w:bidi="zh-TW"/>
    </w:rPr>
  </w:style>
  <w:style w:type="paragraph" w:customStyle="1" w:styleId="137">
    <w:name w:val="11正文"/>
    <w:basedOn w:val="138"/>
    <w:qFormat/>
    <w:uiPriority w:val="99"/>
  </w:style>
  <w:style w:type="paragraph" w:customStyle="1" w:styleId="138">
    <w:name w:val="正文111"/>
    <w:basedOn w:val="139"/>
    <w:qFormat/>
    <w:uiPriority w:val="99"/>
    <w:pPr>
      <w:ind w:firstLine="480"/>
    </w:pPr>
  </w:style>
  <w:style w:type="paragraph" w:customStyle="1" w:styleId="139">
    <w:name w:val="正文的格式52"/>
    <w:basedOn w:val="1"/>
    <w:qFormat/>
    <w:uiPriority w:val="99"/>
    <w:pPr>
      <w:spacing w:line="360" w:lineRule="auto"/>
      <w:ind w:firstLine="200" w:firstLineChars="200"/>
    </w:pPr>
    <w:rPr>
      <w:kern w:val="0"/>
      <w:sz w:val="24"/>
      <w:szCs w:val="20"/>
    </w:rPr>
  </w:style>
  <w:style w:type="paragraph" w:customStyle="1" w:styleId="140">
    <w:name w:val="10、表格内容"/>
    <w:basedOn w:val="15"/>
    <w:qFormat/>
    <w:uiPriority w:val="0"/>
    <w:pPr>
      <w:widowControl w:val="0"/>
      <w:adjustRightInd w:val="0"/>
      <w:spacing w:before="0" w:after="0" w:line="280" w:lineRule="exact"/>
      <w:ind w:right="0"/>
      <w:jc w:val="center"/>
    </w:pPr>
    <w:rPr>
      <w:color w:val="000000"/>
      <w:kern w:val="2"/>
      <w:sz w:val="21"/>
      <w:szCs w:val="24"/>
    </w:rPr>
  </w:style>
  <w:style w:type="paragraph" w:customStyle="1" w:styleId="141">
    <w:name w:val="22表格"/>
    <w:basedOn w:val="122"/>
    <w:qFormat/>
    <w:uiPriority w:val="0"/>
    <w:pPr>
      <w:adjustRightInd w:val="0"/>
      <w:snapToGrid w:val="0"/>
      <w:textAlignment w:val="center"/>
    </w:pPr>
    <w:rPr>
      <w:rFonts w:eastAsia="宋体"/>
      <w:color w:val="000000"/>
    </w:rPr>
  </w:style>
  <w:style w:type="paragraph" w:customStyle="1" w:styleId="142">
    <w:name w:val="111正文"/>
    <w:basedOn w:val="1"/>
    <w:qFormat/>
    <w:uiPriority w:val="99"/>
    <w:pPr>
      <w:widowControl/>
      <w:tabs>
        <w:tab w:val="left" w:pos="7276"/>
      </w:tabs>
      <w:adjustRightInd w:val="0"/>
      <w:snapToGrid w:val="0"/>
      <w:spacing w:line="360" w:lineRule="auto"/>
      <w:ind w:firstLine="480" w:firstLineChars="200"/>
      <w:jc w:val="left"/>
    </w:pPr>
    <w:rPr>
      <w:color w:val="C00000"/>
      <w:kern w:val="0"/>
      <w:sz w:val="24"/>
      <w:szCs w:val="32"/>
    </w:rPr>
  </w:style>
  <w:style w:type="paragraph" w:customStyle="1" w:styleId="143">
    <w:name w:val="WPSOffice手动目录 1"/>
    <w:qFormat/>
    <w:uiPriority w:val="0"/>
    <w:pPr>
      <w:ind w:leftChars="0"/>
    </w:pPr>
    <w:rPr>
      <w:rFonts w:ascii="Times New Roman" w:hAnsi="Times New Roman" w:eastAsia="宋体" w:cs="Times New Roman"/>
      <w:sz w:val="20"/>
      <w:szCs w:val="20"/>
    </w:rPr>
  </w:style>
  <w:style w:type="paragraph" w:styleId="144">
    <w:name w:val="List Paragraph"/>
    <w:basedOn w:val="1"/>
    <w:qFormat/>
    <w:uiPriority w:val="1"/>
    <w:pPr>
      <w:ind w:left="1286" w:hanging="277"/>
    </w:pPr>
    <w:rPr>
      <w:rFonts w:ascii="宋体" w:hAnsi="宋体" w:eastAsia="宋体" w:cs="宋体"/>
      <w:lang w:val="en-US" w:eastAsia="zh-CN" w:bidi="ar-SA"/>
    </w:rPr>
  </w:style>
  <w:style w:type="character" w:customStyle="1" w:styleId="145">
    <w:name w:val="无编号标题2 Char"/>
    <w:link w:val="110"/>
    <w:qFormat/>
    <w:uiPriority w:val="0"/>
    <w:rPr>
      <w:rFonts w:ascii="Times New Roman" w:hAnsi="Times New Roman" w:eastAsia="宋体"/>
      <w:sz w:val="24"/>
    </w:rPr>
  </w:style>
  <w:style w:type="paragraph" w:customStyle="1" w:styleId="146">
    <w:name w:val="7表格(治)"/>
    <w:next w:val="1"/>
    <w:qFormat/>
    <w:uiPriority w:val="0"/>
    <w:pPr>
      <w:jc w:val="center"/>
    </w:pPr>
    <w:rPr>
      <w:rFonts w:ascii="Times New Roman" w:hAnsi="Times New Roman" w:eastAsia="宋体" w:cs="Times New Roman"/>
      <w:sz w:val="21"/>
      <w:lang w:val="en-US" w:eastAsia="zh-CN" w:bidi="ar-SA"/>
    </w:rPr>
  </w:style>
  <w:style w:type="paragraph" w:customStyle="1" w:styleId="147">
    <w:name w:val="5段落"/>
    <w:basedOn w:val="1"/>
    <w:qFormat/>
    <w:uiPriority w:val="0"/>
    <w:pPr>
      <w:spacing w:line="360" w:lineRule="auto"/>
      <w:ind w:firstLine="200" w:firstLineChars="200"/>
    </w:pPr>
    <w:rPr>
      <w:szCs w:val="28"/>
    </w:rPr>
  </w:style>
  <w:style w:type="paragraph" w:customStyle="1" w:styleId="148">
    <w:name w:val="环评 表格"/>
    <w:basedOn w:val="149"/>
    <w:qFormat/>
    <w:uiPriority w:val="0"/>
    <w:pPr>
      <w:pBdr>
        <w:top w:val="none" w:color="auto" w:sz="0" w:space="1"/>
        <w:left w:val="dashed" w:color="FFFFFF" w:sz="4" w:space="4"/>
        <w:bottom w:val="none" w:color="auto" w:sz="0" w:space="1"/>
        <w:right w:val="dashed" w:color="FFFFFF" w:sz="4" w:space="4"/>
      </w:pBdr>
      <w:ind w:firstLine="0" w:firstLineChars="0"/>
      <w:jc w:val="center"/>
    </w:pPr>
    <w:rPr>
      <w:sz w:val="21"/>
      <w:szCs w:val="21"/>
      <w:lang w:eastAsia="en-US"/>
    </w:rPr>
  </w:style>
  <w:style w:type="paragraph" w:customStyle="1" w:styleId="149">
    <w:name w:val="无间隔1"/>
    <w:qFormat/>
    <w:uiPriority w:val="1"/>
    <w:pPr>
      <w:widowControl w:val="0"/>
      <w:ind w:firstLine="200" w:firstLineChars="200"/>
      <w:jc w:val="both"/>
    </w:pPr>
    <w:rPr>
      <w:rFonts w:ascii="Calibri" w:hAnsi="Calibri" w:eastAsia="宋体" w:cs="Calibri"/>
      <w:kern w:val="2"/>
      <w:sz w:val="24"/>
      <w:szCs w:val="24"/>
      <w:lang w:val="en-US" w:eastAsia="zh-CN" w:bidi="ar-SA"/>
    </w:rPr>
  </w:style>
  <w:style w:type="paragraph" w:customStyle="1" w:styleId="150">
    <w:name w:val="刘正文正文正文正文正文正文正文"/>
    <w:basedOn w:val="1"/>
    <w:link w:val="153"/>
    <w:qFormat/>
    <w:uiPriority w:val="0"/>
    <w:pPr>
      <w:adjustRightInd w:val="0"/>
      <w:snapToGrid w:val="0"/>
      <w:spacing w:line="360" w:lineRule="auto"/>
      <w:ind w:firstLine="720" w:firstLineChars="200"/>
    </w:pPr>
    <w:rPr>
      <w:rFonts w:ascii="Times New Roman" w:hAnsi="Times New Roman" w:eastAsia="宋体"/>
    </w:rPr>
  </w:style>
  <w:style w:type="paragraph" w:customStyle="1" w:styleId="151">
    <w:name w:val="S正文"/>
    <w:basedOn w:val="1"/>
    <w:qFormat/>
    <w:uiPriority w:val="0"/>
    <w:pPr>
      <w:tabs>
        <w:tab w:val="left" w:pos="3840"/>
      </w:tabs>
      <w:snapToGrid w:val="0"/>
      <w:spacing w:line="360" w:lineRule="auto"/>
      <w:ind w:firstLine="200" w:firstLineChars="200"/>
    </w:pPr>
    <w:rPr>
      <w:rFonts w:ascii="Times New Roman" w:hAnsi="Times New Roman" w:eastAsia="仿宋" w:cs="Times New Roman"/>
      <w:snapToGrid w:val="0"/>
      <w:kern w:val="0"/>
      <w:sz w:val="28"/>
    </w:rPr>
  </w:style>
  <w:style w:type="paragraph" w:customStyle="1" w:styleId="152">
    <w:name w:val="表格正文"/>
    <w:basedOn w:val="1"/>
    <w:qFormat/>
    <w:uiPriority w:val="0"/>
    <w:pPr>
      <w:spacing w:line="360" w:lineRule="auto"/>
      <w:ind w:firstLine="420" w:firstLineChars="200"/>
      <w:jc w:val="left"/>
    </w:pPr>
    <w:rPr>
      <w:szCs w:val="24"/>
    </w:rPr>
  </w:style>
  <w:style w:type="character" w:customStyle="1" w:styleId="153">
    <w:name w:val="刘正文正文正文正文正文正文正文 Char"/>
    <w:link w:val="150"/>
    <w:qFormat/>
    <w:uiPriority w:val="0"/>
    <w:rPr>
      <w:rFonts w:ascii="Times New Roman" w:hAnsi="Times New Roman" w:eastAsia="宋体"/>
    </w:rPr>
  </w:style>
  <w:style w:type="paragraph" w:styleId="154">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55">
    <w:name w:val="验收正文"/>
    <w:basedOn w:val="1"/>
    <w:autoRedefine/>
    <w:qFormat/>
    <w:uiPriority w:val="0"/>
    <w:pPr>
      <w:spacing w:line="360" w:lineRule="auto"/>
      <w:ind w:firstLine="1044" w:firstLineChars="200"/>
    </w:pPr>
    <w:rPr>
      <w:rFonts w:ascii="Times New Roman" w:hAnsi="Times New Roman" w:eastAsia="宋体"/>
      <w:sz w:val="24"/>
    </w:rPr>
  </w:style>
  <w:style w:type="paragraph" w:customStyle="1" w:styleId="156">
    <w:name w:val="表格格式"/>
    <w:basedOn w:val="1"/>
    <w:next w:val="1"/>
    <w:qFormat/>
    <w:uiPriority w:val="0"/>
    <w:pPr>
      <w:spacing w:line="240" w:lineRule="auto"/>
      <w:ind w:firstLine="0" w:firstLineChars="0"/>
      <w:jc w:val="center"/>
    </w:pPr>
    <w:rPr>
      <w:sz w:val="21"/>
    </w:rPr>
  </w:style>
  <w:style w:type="paragraph" w:customStyle="1" w:styleId="157">
    <w:name w:val="表格的格式"/>
    <w:basedOn w:val="1"/>
    <w:qFormat/>
    <w:uiPriority w:val="0"/>
    <w:pPr>
      <w:jc w:val="center"/>
    </w:pPr>
    <w:rPr>
      <w:rFonts w:ascii="Times New Roman" w:hAnsi="Times New Roman"/>
      <w:kern w:val="0"/>
      <w:sz w:val="21"/>
      <w:szCs w:val="21"/>
    </w:rPr>
  </w:style>
  <w:style w:type="paragraph" w:customStyle="1" w:styleId="158">
    <w:name w:val="正文（小四）"/>
    <w:qFormat/>
    <w:uiPriority w:val="0"/>
    <w:pPr>
      <w:spacing w:line="360" w:lineRule="auto"/>
      <w:ind w:firstLine="200" w:firstLineChars="200"/>
      <w:jc w:val="both"/>
    </w:pPr>
    <w:rPr>
      <w:rFonts w:ascii="Times New Roman" w:hAnsi="Times New Roman" w:eastAsia="宋体" w:cs="Times New Roman"/>
      <w:bCs/>
      <w:color w:val="000000"/>
      <w:kern w:val="2"/>
      <w:sz w:val="24"/>
      <w:szCs w:val="32"/>
      <w:lang w:val="en-US" w:eastAsia="zh-CN" w:bidi="ar-SA"/>
    </w:rPr>
  </w:style>
  <w:style w:type="paragraph" w:customStyle="1" w:styleId="159">
    <w:name w:val="表111111111111111111"/>
    <w:basedOn w:val="1"/>
    <w:qFormat/>
    <w:uiPriority w:val="0"/>
    <w:pPr>
      <w:spacing w:line="240" w:lineRule="auto"/>
      <w:ind w:firstLine="0" w:firstLineChars="0"/>
      <w:jc w:val="center"/>
    </w:pPr>
    <w:rPr>
      <w:rFonts w:ascii="宋体" w:hAnsi="宋体" w:eastAsia="宋体"/>
      <w:sz w:val="21"/>
      <w:szCs w:val="21"/>
    </w:rPr>
  </w:style>
  <w:style w:type="paragraph" w:customStyle="1" w:styleId="160">
    <w:name w:val="表格样式"/>
    <w:basedOn w:val="1"/>
    <w:qFormat/>
    <w:uiPriority w:val="0"/>
    <w:pPr>
      <w:adjustRightInd w:val="0"/>
      <w:snapToGrid w:val="0"/>
      <w:jc w:val="center"/>
    </w:pPr>
    <w:rPr>
      <w:bCs/>
      <w:szCs w:val="21"/>
    </w:rPr>
  </w:style>
  <w:style w:type="paragraph" w:customStyle="1" w:styleId="161">
    <w:name w:val="附件标题"/>
    <w:basedOn w:val="1"/>
    <w:autoRedefine/>
    <w:qFormat/>
    <w:uiPriority w:val="0"/>
    <w:pPr>
      <w:spacing w:line="240" w:lineRule="atLeast"/>
      <w:jc w:val="left"/>
    </w:pPr>
    <w:rPr>
      <w:rFonts w:ascii="Times New Roman" w:hAnsi="Times New Roman" w:eastAsia="宋体"/>
      <w:b/>
      <w:sz w:val="28"/>
      <w:szCs w:val="28"/>
    </w:rPr>
  </w:style>
  <w:style w:type="paragraph" w:customStyle="1" w:styleId="162">
    <w:name w:val="zhang正文"/>
    <w:basedOn w:val="17"/>
    <w:next w:val="1"/>
    <w:qFormat/>
    <w:uiPriority w:val="0"/>
    <w:pPr>
      <w:autoSpaceDE w:val="0"/>
      <w:autoSpaceDN w:val="0"/>
      <w:adjustRightInd w:val="0"/>
      <w:snapToGrid w:val="0"/>
      <w:spacing w:line="500" w:lineRule="exact"/>
      <w:ind w:firstLine="539"/>
      <w:textAlignment w:val="baseline"/>
    </w:pPr>
    <w:rPr>
      <w:rFonts w:eastAsia="楷体_GB2312"/>
      <w:kern w:val="0"/>
    </w:rPr>
  </w:style>
  <w:style w:type="paragraph" w:customStyle="1" w:styleId="163">
    <w:name w:val="表头表头表头表头表头表头"/>
    <w:basedOn w:val="1"/>
    <w:qFormat/>
    <w:uiPriority w:val="0"/>
    <w:pPr>
      <w:spacing w:line="240" w:lineRule="auto"/>
      <w:ind w:firstLine="0" w:firstLineChars="0"/>
      <w:jc w:val="center"/>
    </w:pPr>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microsoft.com/office/2006/relationships/keyMapCustomizations" Target="customizations.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8.png"/><Relationship Id="rId30" Type="http://schemas.openxmlformats.org/officeDocument/2006/relationships/image" Target="media/image17.jpe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wmf"/><Relationship Id="rId25" Type="http://schemas.openxmlformats.org/officeDocument/2006/relationships/oleObject" Target="embeddings/oleObject5.bin"/><Relationship Id="rId24" Type="http://schemas.openxmlformats.org/officeDocument/2006/relationships/image" Target="media/image12.wmf"/><Relationship Id="rId23" Type="http://schemas.openxmlformats.org/officeDocument/2006/relationships/oleObject" Target="embeddings/oleObject4.bin"/><Relationship Id="rId22" Type="http://schemas.openxmlformats.org/officeDocument/2006/relationships/image" Target="media/image11.wmf"/><Relationship Id="rId21" Type="http://schemas.openxmlformats.org/officeDocument/2006/relationships/oleObject" Target="embeddings/oleObject3.bin"/><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9.wmf"/><Relationship Id="rId17" Type="http://schemas.openxmlformats.org/officeDocument/2006/relationships/oleObject" Target="embeddings/oleObject1.bin"/><Relationship Id="rId16" Type="http://schemas.openxmlformats.org/officeDocument/2006/relationships/image" Target="media/image8.jpe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UyNDI0NDY2MTI4IiwKCSJHcm91cElkIiA6ICIxMTIxNzI2MjI1IiwKCSJJbWFnZSIgOiAiaVZCT1J3MEtHZ29BQUFBTlNVaEVVZ0FBQTRnQUFBTW5DQVlBQUFCOCtuejFBQUFBQVhOU1IwSUFyczRjNlFBQUlBQkpSRUZVZUp6czNYbDhWTlg5Ly9IM3VUTVRrckFqS3ZKRkNRZ0NBY0pNY0tGWXhMWnFhN1cyMXBZdVg2MVdhOVZIdFNwaXRkYWZsclphSzhVV04rcUNXMVdxWHhXS0M5WDZ0Vm9WVnpLVEJBSUJLbEVpQ0xJdldXZnU1L2RIWnZMTlJpQVFtRUJlejhjamo1azU5OXd6bnp1UHh3eno1dHc1VndJ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bkJML0h6UGdja25HeEhSQUFBQUFBRWxGVGtTdVFtQ0MiLAoJIlRoZW1lIiA6ICIiLAoJIlR5cGUiIDogImZsb3ciLAoJIlVzZXJJZCIgOiAiMTA1NDEyODczNyIsCgkiVmVyc2lvbiIgOiAiNTAiCn0K"/>
    </extobj>
    <extobj name="ECB019B1-382A-4266-B25C-5B523AA43C14-2">
      <extobjdata type="ECB019B1-382A-4266-B25C-5B523AA43C14" data="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福建省闽创环保科技有限公司</Company>
  <Pages>65</Pages>
  <Words>3758</Words>
  <Characters>3999</Characters>
  <Lines>273</Lines>
  <Paragraphs>77</Paragraphs>
  <TotalTime>3</TotalTime>
  <ScaleCrop>false</ScaleCrop>
  <LinksUpToDate>false</LinksUpToDate>
  <CharactersWithSpaces>4068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2021-09-17T07:05:00Z</dcterms:created>
  <dc:creator>龚锐</dc:creator>
  <cp:lastModifiedBy>胡 杨</cp:lastModifiedBy>
  <cp:lastPrinted>2025-09-23T04:36:00Z</cp:lastPrinted>
  <dcterms:modified xsi:type="dcterms:W3CDTF">2025-09-26T02:53:28Z</dcterms:modified>
  <dc:title>年产25万平方米单双面及多层印制电路板项目</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BFDBB0271A414F70B5443C1384BC8CED_13</vt:lpwstr>
  </property>
  <property fmtid="{D5CDD505-2E9C-101B-9397-08002B2CF9AE}" pid="4" name="KSOTemplateDocerSaveRecord">
    <vt:lpwstr>eyJoZGlkIjoiODIxOTQwYmRmYmY3YWI0ZmJiMDI1ZTBkNDIyN2Q3YzgiLCJ1c2VySWQiOiIxMDU0MTI4NzM3In0=</vt:lpwstr>
  </property>
</Properties>
</file>